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ae03546006f6da6377c05434d9508aec6b9908"/>
    <w:p>
      <w:pPr>
        <w:pStyle w:val="Heading1"/>
      </w:pPr>
      <w:r>
        <w:t xml:space="preserve">POLYDIM-CLA: Staying in High Dimension: Closed-Form Topological Alignment for Latent Multi-Agent Systems</w:t>
      </w:r>
    </w:p>
    <w:p>
      <w:pPr>
        <w:pStyle w:val="FirstParagraph"/>
      </w:pPr>
      <w:r>
        <w:rPr>
          <w:b/>
          <w:bCs/>
        </w:rPr>
        <w:t xml:space="preserve">Version 13 (Final Edition) – Draft for POPL / ICLR 2027</w:t>
      </w:r>
    </w:p>
    <w:bookmarkStart w:id="9" w:name="abstract"/>
    <w:p>
      <w:pPr>
        <w:pStyle w:val="Heading2"/>
      </w:pPr>
      <w:r>
        <w:t xml:space="preserve">Abstract</w:t>
      </w:r>
    </w:p>
    <w:p>
      <w:pPr>
        <w:pStyle w:val="FirstParagraph"/>
      </w:pPr>
      <w:r>
        <w:t xml:space="preserve">This document establishes the rigorous mathematical foundations of</w:t>
      </w:r>
      <w:r>
        <w:t xml:space="preserve"> </w:t>
      </w:r>
      <w:r>
        <w:rPr>
          <w:b/>
          <w:bCs/>
        </w:rPr>
        <w:t xml:space="preserve">POLYDIM-CLA</w:t>
      </w:r>
      <w:r>
        <w:t xml:space="preserve"> </w:t>
      </w:r>
      <w:r>
        <w:t xml:space="preserve">(Categorical Language Architecture). Transcending classical algorithmic paradigms and overcoming the limitations of initial topological speculations, we formally axiomatize computational processes whose behavior emerges from the directed evolution of internal representations. We bridge the critical gap between Western categorical theories and the emerging state of the art (SOTA) in</w:t>
      </w:r>
      <w:r>
        <w:t xml:space="preserve"> </w:t>
      </w:r>
      <w:r>
        <w:t xml:space="preserve">“Closed-Form Differentiable Solvers”</w:t>
      </w:r>
      <w:r>
        <w:t xml:space="preserve"> </w:t>
      </w:r>
      <w:r>
        <w:t xml:space="preserve">and Equivariant Clifford Networks.</w:t>
      </w:r>
    </w:p>
    <w:p>
      <w:pPr>
        <w:pStyle w:val="BodyText"/>
      </w:pPr>
      <w:r>
        <w:t xml:space="preserve">Through the synthesis of Categorical Deep Learning, Clifford Algebras, Tensor Cross Interpolation (TCI), and Gromov-Wasserstein Alignment, we propose a partially formalized architecture with empirically validated components for Latent Multi-Agent Systems (LatentMAS). Crucially, this version introduces an empirical and methodological validation of the Woodbury matrix identity to bypass the</w:t>
      </w:r>
      <w:r>
        <w:t xml:space="preserve"> </w:t>
      </w:r>
      <m:oMath>
        <m:r>
          <m:t>O</m:t>
        </m:r>
        <m:r>
          <m:rPr>
            <m:sty m:val="p"/>
          </m:rPr>
          <m:t>(</m:t>
        </m:r>
        <m:sSup>
          <m:e>
            <m:r>
              <m:t>N</m:t>
            </m:r>
          </m:e>
          <m:sup>
            <m:r>
              <m:t>3</m:t>
            </m:r>
          </m:sup>
        </m:sSup>
        <m:r>
          <m:rPr>
            <m:sty m:val="p"/>
          </m:rPr>
          <m:t>)</m:t>
        </m:r>
      </m:oMath>
      <w:r>
        <w:t xml:space="preserve"> </w:t>
      </w:r>
      <w:r>
        <w:t xml:space="preserve">computational bottlenecks inherent to dense matrix inversion, demonstrating that exact structural alignment can be natively achieved on modern Tensor Core hardware in</w:t>
      </w:r>
      <w:r>
        <w:t xml:space="preserve"> </w:t>
      </w:r>
      <m:oMath>
        <m:r>
          <m:t>O</m:t>
        </m:r>
        <m:r>
          <m:rPr>
            <m:sty m:val="p"/>
          </m:rPr>
          <m:t>(</m:t>
        </m:r>
        <m:r>
          <m:t>N</m:t>
        </m:r>
        <m:sSup>
          <m:e>
            <m:r>
              <m:t>K</m:t>
            </m:r>
          </m:e>
          <m:sup>
            <m:r>
              <m:t>2</m:t>
            </m:r>
          </m:sup>
        </m:sSup>
        <m:r>
          <m:rPr>
            <m:sty m:val="p"/>
          </m:rPr>
          <m:t>)</m:t>
        </m:r>
      </m:oMath>
      <w:r>
        <w:t xml:space="preserve"> </w:t>
      </w:r>
      <w:r>
        <w:t xml:space="preserve">time under low-rank semantic updates.</w:t>
      </w:r>
    </w:p>
    <w:bookmarkEnd w:id="9"/>
    <w:bookmarkStart w:id="10" w:name="X0b85bf35c0887c15bf58a7afdf21356f3ee6470"/>
    <w:p>
      <w:pPr>
        <w:pStyle w:val="Heading2"/>
      </w:pPr>
      <w:r>
        <w:t xml:space="preserve">1. Introduction: From Classical Imperative to Topological Evolution</w:t>
      </w:r>
    </w:p>
    <w:p>
      <w:pPr>
        <w:pStyle w:val="FirstParagraph"/>
      </w:pPr>
      <w:r>
        <w:rPr>
          <w:i/>
          <w:iCs/>
        </w:rPr>
        <w:t xml:space="preserve">(Pedagogical Ramp: The Qualitative Leap in Computing)</w:t>
      </w:r>
    </w:p>
    <w:p>
      <w:pPr>
        <w:pStyle w:val="BodyText"/>
      </w:pPr>
      <w:r>
        <w:t xml:space="preserve">The classical computing paradigm is fundamentally defined by the deterministic execution of explicit algorithms (</w:t>
      </w:r>
      <m:oMath>
        <m:r>
          <m:rPr>
            <m:nor/>
            <m:sty m:val="p"/>
          </m:rPr>
          <m:t>Program</m:t>
        </m:r>
        <m:limUpp>
          <m:e>
            <m:r>
              <m:rPr>
                <m:sty m:val="p"/>
              </m:rPr>
              <m:t>→</m:t>
            </m:r>
          </m:e>
          <m:lim>
            <m:r>
              <m:t>​</m:t>
            </m:r>
          </m:lim>
        </m:limUpp>
        <m:r>
          <m:rPr>
            <m:nor/>
            <m:sty m:val="p"/>
          </m:rPr>
          <m:t>Algorithm</m:t>
        </m:r>
        <m:limUpp>
          <m:e>
            <m:r>
              <m:rPr>
                <m:sty m:val="p"/>
              </m:rPr>
              <m:t>→</m:t>
            </m:r>
          </m:e>
          <m:lim>
            <m:r>
              <m:t>​</m:t>
            </m:r>
          </m:lim>
        </m:limUpp>
        <m:r>
          <m:rPr>
            <m:nor/>
            <m:sty m:val="p"/>
          </m:rPr>
          <m:t>Result</m:t>
        </m:r>
      </m:oMath>
      <w:r>
        <w:t xml:space="preserve">). In this classical approach, programming is analogous to giving step-by-step navigation instructions to a blind driver: turn left, advance one hundred meters, stop.</w:t>
      </w:r>
    </w:p>
    <w:p>
      <w:pPr>
        <w:pStyle w:val="BodyText"/>
      </w:pPr>
      <w:r>
        <w:t xml:space="preserve">With the rise of Deep Learning and Large Language Models (LLMs), we transitioned to a statistical and iterative paradigm. Instead of giving explicit instructions, we iteratively adjust trillions of parameters via Stochastic Gradient Descent (SGD) to minimize a loss function. Following the analogy, this is like training a pet through trial-and-error approximations until it learns the path. However, this approach suffers from structural fragility: knowledge is not guaranteed, but only statistically and locally approximated.</w:t>
      </w:r>
    </w:p>
    <w:p>
      <w:pPr>
        <w:pStyle w:val="BodyText"/>
      </w:pPr>
      <w:r>
        <w:t xml:space="preserve">The advent of high-performance representation learning systems necessitates a profound epistemological shift. The execution of a program must no longer be the traversal of an imperative sequence, nor a mere statistical approximation, but</w:t>
      </w:r>
      <w:r>
        <w:t xml:space="preserve"> </w:t>
      </w:r>
      <w:r>
        <w:rPr>
          <w:b/>
          <w:bCs/>
        </w:rPr>
        <w:t xml:space="preserve">the constrained evolution of a representational space directed toward a semantic objective</w:t>
      </w:r>
      <w:r>
        <w:t xml:space="preserve"> </w:t>
      </w:r>
      <w:r>
        <w:t xml:space="preserve">(</w:t>
      </w:r>
      <m:oMath>
        <m:r>
          <m:rPr>
            <m:nor/>
            <m:sty m:val="p"/>
          </m:rPr>
          <m:t>Objective</m:t>
        </m:r>
        <m:limUpp>
          <m:e>
            <m:r>
              <m:rPr>
                <m:sty m:val="p"/>
              </m:rPr>
              <m:t>→</m:t>
            </m:r>
          </m:e>
          <m:lim>
            <m:r>
              <m:t>​</m:t>
            </m:r>
          </m:lim>
        </m:limUpp>
        <m:r>
          <m:rPr>
            <m:nor/>
            <m:sty m:val="p"/>
          </m:rPr>
          <m:t>Categorical Functor</m:t>
        </m:r>
        <m:limUpp>
          <m:e>
            <m:r>
              <m:rPr>
                <m:sty m:val="p"/>
              </m:rPr>
              <m:t>→</m:t>
            </m:r>
          </m:e>
          <m:lim>
            <m:r>
              <m:t>​</m:t>
            </m:r>
          </m:lim>
        </m:limUpp>
        <m:r>
          <m:rPr>
            <m:nor/>
            <m:sty m:val="p"/>
          </m:rPr>
          <m:t>Result</m:t>
        </m:r>
      </m:oMath>
      <w:r>
        <w:t xml:space="preserve">). In POLYDIM-CLA, rather than issuing instructions or training by trial and error, we directly mold the topological terrain so that information flow falls, by sheer mathematical gravity and deterministically, into the correct result.</w:t>
      </w:r>
    </w:p>
    <w:p>
      <w:pPr>
        <w:pStyle w:val="BodyText"/>
      </w:pPr>
      <w:r>
        <w:t xml:space="preserve">A fundamental premise of POLYDIM-CLA is the treatment of functions not as discrete code sequences, but as elements of a continuous vector space. To execute this formally, the architecture extends standard finite-dimensional mappings into infinite-dimensional function spaces by integrating</w:t>
      </w:r>
      <w:r>
        <w:t xml:space="preserve"> </w:t>
      </w:r>
      <w:r>
        <w:rPr>
          <w:b/>
          <w:bCs/>
        </w:rPr>
        <w:t xml:space="preserve">Neural Operators</w:t>
      </w:r>
      <w:r>
        <w:t xml:space="preserve"> </w:t>
      </w:r>
      <w:r>
        <w:t xml:space="preserve">(e.g., DeepONet, Fourier Neural Operators). By learning mappings between function spaces rather than discrete point-wise solutions, POLYDIM-CLA natively supports zero-shot generalization across continuous semantic fields. This work formalizes this evolution under a rigorous operational semantics, enabling the efficient compilation of categorical structures on modern matrix hardware.</w:t>
      </w:r>
    </w:p>
    <w:bookmarkEnd w:id="10"/>
    <w:bookmarkStart w:id="12" w:name="background-and-related-work"/>
    <w:p>
      <w:pPr>
        <w:pStyle w:val="Heading2"/>
      </w:pPr>
      <w:r>
        <w:t xml:space="preserve">2. Background and Related Work</w:t>
      </w:r>
    </w:p>
    <w:p>
      <w:pPr>
        <w:pStyle w:val="FirstParagraph"/>
      </w:pPr>
      <w:r>
        <w:t xml:space="preserve">Early theoretical iterations (e.g., Belfiore et al., 2021) postulated Topos Theory as the natural setting for modeling semantics in AI, but lacked an executable operational foundation. Simultaneously, research in closed-form solvers has demonstrated the viability of bypassing the inefficiency of iterative algorithms (like Stochastic Gradient Descent) for specific alignment tasks.</w:t>
      </w:r>
    </w:p>
    <w:p>
      <w:pPr>
        <w:pStyle w:val="BodyText"/>
      </w:pPr>
      <w:r>
        <w:t xml:space="preserve">POLYDIM-CLA bridges this gap by anchoring its semantics in</w:t>
      </w:r>
      <w:r>
        <w:t xml:space="preserve"> </w:t>
      </w:r>
      <w:r>
        <w:rPr>
          <w:b/>
          <w:bCs/>
        </w:rPr>
        <w:t xml:space="preserve">Categorical Deep Learning</w:t>
      </w:r>
      <w:r>
        <w:t xml:space="preserve"> </w:t>
      </w:r>
      <w:r>
        <w:t xml:space="preserve">(Gavranović et al., 2024)</w:t>
      </w:r>
      <w:r>
        <w:t xml:space="preserve"> </w:t>
      </w:r>
      <w:r>
        <w:rPr>
          <w:rStyle w:val="FootnoteReference"/>
        </w:rPr>
        <w:footnoteReference w:id="11"/>
      </w:r>
      <w:r>
        <w:t xml:space="preserve">. In contrast to the</w:t>
      </w:r>
      <w:r>
        <w:t xml:space="preserve"> </w:t>
      </w:r>
      <w:r>
        <w:t xml:space="preserve">“Aristotelian Hypothesis”</w:t>
      </w:r>
      <w:r>
        <w:t xml:space="preserve"> </w:t>
      </w:r>
      <w:r>
        <w:t xml:space="preserve">(which argues that neural networks only achieve local interpolative memorization), this framework adopts the</w:t>
      </w:r>
      <w:r>
        <w:t xml:space="preserve"> </w:t>
      </w:r>
      <w:r>
        <w:rPr>
          <w:b/>
          <w:bCs/>
        </w:rPr>
        <w:t xml:space="preserve">Platonic Representation Hypothesis</w:t>
      </w:r>
      <w:r>
        <w:t xml:space="preserve"> </w:t>
      </w:r>
      <w:r>
        <w:t xml:space="preserve">(Huh et al., 2024) and the concept of</w:t>
      </w:r>
      <w:r>
        <w:t xml:space="preserve"> </w:t>
      </w:r>
      <w:r>
        <w:rPr>
          <w:b/>
          <w:bCs/>
        </w:rPr>
        <w:t xml:space="preserve">Relative Representations</w:t>
      </w:r>
      <w:r>
        <w:t xml:space="preserve"> </w:t>
      </w:r>
      <w:r>
        <w:t xml:space="preserve">(Moschella et al., 2023). These hypotheses establish that, given sufficient data and capacity, different large-scale models independently converge toward an underlying structural isomorphism (the same abstract</w:t>
      </w:r>
      <w:r>
        <w:t xml:space="preserve"> </w:t>
      </w:r>
      <w:r>
        <w:t xml:space="preserve">“conceptual map”</w:t>
      </w:r>
      <w:r>
        <w:t xml:space="preserve">). In our architecture, this global convergence is</w:t>
      </w:r>
      <w:r>
        <w:t xml:space="preserve"> </w:t>
      </w:r>
      <w:r>
        <w:rPr>
          <w:i/>
          <w:iCs/>
        </w:rPr>
        <w:t xml:space="preserve">operationally forced</w:t>
      </w:r>
      <w:r>
        <w:t xml:space="preserve"> </w:t>
      </w:r>
      <w:r>
        <w:t xml:space="preserve">by rigorous design, rather than treated as a passive, emergent artifact.</w:t>
      </w:r>
    </w:p>
    <w:bookmarkEnd w:id="12"/>
    <w:bookmarkStart w:id="19" w:name="polydim-cla-architecture-methodology"/>
    <w:p>
      <w:pPr>
        <w:pStyle w:val="Heading2"/>
      </w:pPr>
      <w:r>
        <w:t xml:space="preserve">3. POLYDIM-CLA Architecture (Methodology)</w:t>
      </w:r>
    </w:p>
    <w:p>
      <w:pPr>
        <w:pStyle w:val="FirstParagraph"/>
      </w:pPr>
      <w:r>
        <w:t xml:space="preserve">Before diving into rigorous axiomatization, it is crucial to understand two central concepts that differentiate POLYDIM from Classical AI: why SGD fails on structured manifolds, and the necessity of Cellular Sheaves for achieving semantic consensus.</w:t>
      </w:r>
    </w:p>
    <w:bookmarkStart w:id="13" w:name="Xd58df7f0ce09655c375879e698b23a46ca17e8f"/>
    <w:p>
      <w:pPr>
        <w:pStyle w:val="Heading3"/>
      </w:pPr>
      <w:r>
        <w:t xml:space="preserve">3.1 Pedagogical Ramp: Why SGD Fails in Orthogonal Alignment</w:t>
      </w:r>
    </w:p>
    <w:p>
      <w:pPr>
        <w:pStyle w:val="FirstParagraph"/>
      </w:pPr>
      <w:r>
        <w:t xml:space="preserve">In latent multi-agent systems (LatentMAS), the goal is for the conceptual representations of two different intelligences to perfectly align (for instance, superimposing</w:t>
      </w:r>
      <w:r>
        <w:t xml:space="preserve"> </w:t>
      </w:r>
      <w:r>
        <w:t xml:space="preserve">“Agent A”</w:t>
      </w:r>
      <w:r>
        <w:t xml:space="preserve">’s latent space with that of</w:t>
      </w:r>
      <w:r>
        <w:t xml:space="preserve"> </w:t>
      </w:r>
      <w:r>
        <w:t xml:space="preserve">“Agent B”</w:t>
      </w:r>
      <w:r>
        <w:t xml:space="preserve"> </w:t>
      </w:r>
      <w:r>
        <w:t xml:space="preserve">so they transfer knowledge without serializing to text). Mathematically, this implies finding a perfect rotation (an</w:t>
      </w:r>
      <w:r>
        <w:t xml:space="preserve"> </w:t>
      </w:r>
      <w:r>
        <w:rPr>
          <w:b/>
          <w:bCs/>
        </w:rPr>
        <w:t xml:space="preserve">orthogonal matrix</w:t>
      </w:r>
      <w:r>
        <w:t xml:space="preserve">) that aligns both spaces.</w:t>
      </w:r>
    </w:p>
    <w:p>
      <w:pPr>
        <w:pStyle w:val="BodyText"/>
      </w:pPr>
      <w:r>
        <w:rPr>
          <w:b/>
          <w:bCs/>
        </w:rPr>
        <w:t xml:space="preserve">The fundamental problem:</w:t>
      </w:r>
      <w:r>
        <w:t xml:space="preserve"> </w:t>
      </w:r>
      <w:r>
        <w:t xml:space="preserve">Stochastic Gradient Descent (SGD) assumes it operates in a flat (Euclidean) vector space. It advances by taking small straight-line steps down the error gradient. However, orthogonal matrices (rotations) live on a curved geometric surface (specifically, the Stiefel manifold or the Orthogonal Group</w:t>
      </w:r>
      <w:r>
        <w:t xml:space="preserve"> </w:t>
      </w:r>
      <m:oMath>
        <m:r>
          <m:t>O</m:t>
        </m:r>
        <m:r>
          <m:rPr>
            <m:sty m:val="p"/>
          </m:rPr>
          <m:t>(</m:t>
        </m:r>
        <m:r>
          <m:t>n</m:t>
        </m:r>
        <m:r>
          <m:rPr>
            <m:sty m:val="p"/>
          </m:rPr>
          <m:t>)</m:t>
        </m:r>
      </m:oMath>
      <w:r>
        <w:t xml:space="preserve">).</w:t>
      </w:r>
    </w:p>
    <w:p>
      <w:pPr>
        <w:pStyle w:val="BodyText"/>
      </w:pPr>
      <w:r>
        <w:rPr>
          <w:i/>
          <w:iCs/>
        </w:rPr>
        <w:t xml:space="preserve">Intuitive analogy:</w:t>
      </w:r>
      <w:r>
        <w:t xml:space="preserve"> </w:t>
      </w:r>
      <w:r>
        <w:t xml:space="preserve">Imagine trying to walk on the spherical surface of the Earth assuming a strict 3D coordinate system (straight up, down, left, right). If you take a</w:t>
      </w:r>
      <w:r>
        <w:t xml:space="preserve"> </w:t>
      </w:r>
      <w:r>
        <w:t xml:space="preserve">“straight”</w:t>
      </w:r>
      <w:r>
        <w:t xml:space="preserve"> </w:t>
      </w:r>
      <w:r>
        <w:t xml:space="preserve">step toward the horizon, you will end up taking off tangentially from the ground and floating in space. To return to the surface, you need to be constantly forced downward.</w:t>
      </w:r>
    </w:p>
    <w:p>
      <w:pPr>
        <w:pStyle w:val="BodyText"/>
      </w:pPr>
      <w:r>
        <w:t xml:space="preserve">When SGD attempts to learn a rotation, its small linear steps hopelessly push it off the curved surface (outside of orthogonality). Classical architectures attempt to patch this by adding penalties (</w:t>
      </w:r>
      <w:r>
        <w:t xml:space="preserve">“regularization”</w:t>
      </w:r>
      <w:r>
        <w:t xml:space="preserve">) or forcing harsh projections back onto the manifold at every step. This causes the model to constantly fight the curvature of the space, resulting in lethargic convergence, numerical instability, and the destruction of the strict distance preservation we require. POLYDIM-CLA abandons iterative SGD for these critical tasks, utilizing instead Closed-Form Differentiable Solvers (Clifford Algebra and Woodbury) that guarantee moving exactly and natively</w:t>
      </w:r>
      <w:r>
        <w:t xml:space="preserve"> </w:t>
      </w:r>
      <w:r>
        <w:rPr>
          <w:i/>
          <w:iCs/>
        </w:rPr>
        <w:t xml:space="preserve">on the curved surface</w:t>
      </w:r>
      <w:r>
        <w:t xml:space="preserve"> </w:t>
      </w:r>
      <w:r>
        <w:t xml:space="preserve">in a single algebraic step.</w:t>
      </w:r>
    </w:p>
    <w:bookmarkEnd w:id="13"/>
    <w:bookmarkStart w:id="14" w:name="X3c9eb342134a353e775be2ef09909f05fb6f837"/>
    <w:p>
      <w:pPr>
        <w:pStyle w:val="Heading3"/>
      </w:pPr>
      <w:r>
        <w:t xml:space="preserve">3.2 Pedagogical Ramp: Intuition Behind Cellular Sheaves</w:t>
      </w:r>
    </w:p>
    <w:p>
      <w:pPr>
        <w:pStyle w:val="FirstParagraph"/>
      </w:pPr>
      <w:r>
        <w:t xml:space="preserve">For multiple latent agents to form a globally coherent reasoning without logical collapse, we need them to be topologically in agreement regarding their representations. POLYDIM uses</w:t>
      </w:r>
      <w:r>
        <w:t xml:space="preserve"> </w:t>
      </w:r>
      <w:r>
        <w:rPr>
          <w:b/>
          <w:bCs/>
        </w:rPr>
        <w:t xml:space="preserve">Cellular Sheaves</w:t>
      </w:r>
      <w:r>
        <w:t xml:space="preserve"> </w:t>
      </w:r>
      <w:r>
        <w:t xml:space="preserve">for this, formalized as</w:t>
      </w:r>
      <w:r>
        <w:t xml:space="preserve"> </w:t>
      </w:r>
      <w:r>
        <w:rPr>
          <w:b/>
          <w:bCs/>
        </w:rPr>
        <w:t xml:space="preserve">covariant</w:t>
      </w:r>
      <w:r>
        <w:t xml:space="preserve"> </w:t>
      </w:r>
      <w:r>
        <w:t xml:space="preserve">functors over the face poset of the network’s cellular complex, guaranteeing the correct flow of information (from nodes to edges).</w:t>
      </w:r>
    </w:p>
    <w:p>
      <w:pPr>
        <w:pStyle w:val="BodyText"/>
      </w:pPr>
      <w:r>
        <w:rPr>
          <w:i/>
          <w:iCs/>
        </w:rPr>
        <w:t xml:space="preserve">Intuitive analogy:</w:t>
      </w:r>
      <w:r>
        <w:t xml:space="preserve"> </w:t>
      </w:r>
      <w:r>
        <w:t xml:space="preserve">Imagine a multinational corporate network. Each local office (an agent or node in our topology) handles its own accounting using its local currency and language (this is the</w:t>
      </w:r>
      <w:r>
        <w:t xml:space="preserve"> </w:t>
      </w:r>
      <w:r>
        <w:t xml:space="preserve">“associated vector space”</w:t>
      </w:r>
      <w:r>
        <w:t xml:space="preserve"> </w:t>
      </w:r>
      <w:r>
        <w:t xml:space="preserve">of that particular node). The network cables connecting the offices (the topological edges) contain a rulebook called</w:t>
      </w:r>
      <w:r>
        <w:t xml:space="preserve"> </w:t>
      </w:r>
      <w:r>
        <w:rPr>
          <w:b/>
          <w:bCs/>
        </w:rPr>
        <w:t xml:space="preserve">“restriction maps”</w:t>
      </w:r>
      <w:r>
        <w:t xml:space="preserve">. These maps are like perfect dictionaries and exact exchange rates that losslessly translate the currency and report from office A to office B’s format.</w:t>
      </w:r>
    </w:p>
    <w:p>
      <w:pPr>
        <w:pStyle w:val="BodyText"/>
      </w:pPr>
      <w:r>
        <w:t xml:space="preserve">If all offices communicate and, after passing their data through the restriction maps, all local accounts match perfectly at a global level without contradictions, we mathematically say that the network has reached a</w:t>
      </w:r>
      <w:r>
        <w:t xml:space="preserve"> </w:t>
      </w:r>
      <w:r>
        <w:rPr>
          <w:b/>
          <w:bCs/>
        </w:rPr>
        <w:t xml:space="preserve">“global section”</w:t>
      </w:r>
      <w:r>
        <w:t xml:space="preserve"> </w:t>
      </w:r>
      <w:r>
        <w:t xml:space="preserve">(semantic consensus). The algebraic tool that measures how much local offices</w:t>
      </w:r>
      <w:r>
        <w:t xml:space="preserve"> </w:t>
      </w:r>
      <w:r>
        <w:t xml:space="preserve">“disagree”</w:t>
      </w:r>
      <w:r>
        <w:t xml:space="preserve"> </w:t>
      </w:r>
      <w:r>
        <w:t xml:space="preserve">is the</w:t>
      </w:r>
      <w:r>
        <w:t xml:space="preserve"> </w:t>
      </w:r>
      <w:r>
        <w:rPr>
          <w:b/>
          <w:bCs/>
        </w:rPr>
        <w:t xml:space="preserve">Hodge Laplacian</w:t>
      </w:r>
      <w:r>
        <w:t xml:space="preserve"> </w:t>
      </w:r>
      <w:r>
        <w:t xml:space="preserve">of the sheaf, which is defined via the coboundary operator. POLYDIM minimizes this Laplacian algebraically to isolate and eradicate logical contradictions (</w:t>
      </w:r>
      <w:r>
        <w:t xml:space="preserve">“hallucinations”</w:t>
      </w:r>
      <w:r>
        <w:t xml:space="preserve">) from the swarm.</w:t>
      </w:r>
    </w:p>
    <w:p>
      <w:r>
        <w:pict>
          <v:rect style="width:0;height:1.5pt" o:hralign="center" o:hrstd="t" o:hr="t"/>
        </w:pict>
      </w:r>
    </w:p>
    <w:bookmarkEnd w:id="14"/>
    <w:bookmarkStart w:id="15" w:name="X62e1f0b8a79d35d9eebd9dc147fb8910d46b590"/>
    <w:p>
      <w:pPr>
        <w:pStyle w:val="Heading3"/>
      </w:pPr>
      <w:r>
        <w:t xml:space="preserve">3.3 Axiomatization of the Polydimension and GEO_ID</w:t>
      </w:r>
    </w:p>
    <w:p>
      <w:pPr>
        <w:pStyle w:val="FirstParagraph"/>
      </w:pPr>
      <w:r>
        <w:t xml:space="preserve">We formally define a Polydimension under the CLA framework as the tuple:</w:t>
      </w:r>
    </w:p>
    <w:p>
      <w:pPr>
        <w:pStyle w:val="BodyText"/>
      </w:pPr>
      <m:oMathPara>
        <m:oMathParaPr>
          <m:jc m:val="center"/>
        </m:oMathParaPr>
        <m:oMath>
          <m:r>
            <m:t>P</m:t>
          </m:r>
          <m:r>
            <m:rPr>
              <m:sty m:val="p"/>
            </m:rPr>
            <m:t>=</m:t>
          </m:r>
          <m:r>
            <m:rPr>
              <m:sty m:val="p"/>
            </m:rPr>
            <m:t>(</m:t>
          </m:r>
          <m:r>
            <m:t>D</m:t>
          </m:r>
          <m:r>
            <m:rPr>
              <m:sty m:val="p"/>
            </m:rPr>
            <m:t>,</m:t>
          </m:r>
          <m:sSub>
            <m:e>
              <m:r>
                <m:rPr>
                  <m:sty m:val="p"/>
                </m:rPr>
                <m:t>Π</m:t>
              </m:r>
            </m:e>
            <m:sub>
              <m:r>
                <m:t>P</m:t>
              </m:r>
            </m:sub>
          </m:sSub>
          <m:r>
            <m:rPr>
              <m:sty m:val="p"/>
            </m:rPr>
            <m:t>,</m:t>
          </m:r>
          <m:r>
            <m:t>G</m:t>
          </m:r>
          <m:r>
            <m:rPr>
              <m:sty m:val="p"/>
            </m:rPr>
            <m:t>,</m:t>
          </m:r>
          <m:r>
            <m:t>M</m:t>
          </m:r>
          <m:r>
            <m:rPr>
              <m:sty m:val="p"/>
            </m:rPr>
            <m:t>)</m:t>
          </m:r>
        </m:oMath>
      </m:oMathPara>
    </w:p>
    <w:p>
      <w:pPr>
        <w:pStyle w:val="FirstParagraph"/>
      </w:pPr>
      <w:r>
        <w:t xml:space="preserve">Where</w:t>
      </w:r>
      <w:r>
        <w:t xml:space="preserve"> </w:t>
      </w:r>
      <m:oMath>
        <m:r>
          <m:t>D</m:t>
        </m:r>
      </m:oMath>
      <w:r>
        <w:t xml:space="preserve"> </w:t>
      </w:r>
      <w:r>
        <w:t xml:space="preserve">represents a dynamically scaling topological dimension;</w:t>
      </w:r>
      <w:r>
        <w:t xml:space="preserve"> </w:t>
      </w:r>
      <m:oMath>
        <m:sSub>
          <m:e>
            <m:r>
              <m:rPr>
                <m:sty m:val="p"/>
              </m:rPr>
              <m:t>Π</m:t>
            </m:r>
          </m:e>
          <m:sub>
            <m:r>
              <m:t>P</m:t>
            </m:r>
          </m:sub>
        </m:sSub>
      </m:oMath>
      <w:r>
        <w:t xml:space="preserve"> </w:t>
      </w:r>
      <w:r>
        <w:t xml:space="preserve">the set of valid projection functors;</w:t>
      </w:r>
      <w:r>
        <w:t xml:space="preserve"> </w:t>
      </w:r>
      <m:oMath>
        <m:r>
          <m:t>G</m:t>
        </m:r>
      </m:oMath>
      <w:r>
        <w:t xml:space="preserve"> </w:t>
      </w:r>
      <w:r>
        <w:t xml:space="preserve">the</w:t>
      </w:r>
      <w:r>
        <w:t xml:space="preserve"> </w:t>
      </w:r>
      <w:r>
        <w:rPr>
          <w:b/>
          <w:bCs/>
        </w:rPr>
        <w:t xml:space="preserve">Groupoid</w:t>
      </w:r>
      <w:r>
        <w:t xml:space="preserve"> </w:t>
      </w:r>
      <w:r>
        <w:t xml:space="preserve">of transformations that preserve topological identity (</w:t>
      </w:r>
      <w:r>
        <w:rPr>
          <w:rStyle w:val="VerbatimChar"/>
        </w:rPr>
        <w:t xml:space="preserve">GEO_ID</w:t>
      </w:r>
      <w:r>
        <w:t xml:space="preserve">); and</w:t>
      </w:r>
      <w:r>
        <w:t xml:space="preserve"> </w:t>
      </w:r>
      <m:oMath>
        <m:r>
          <m:t>M</m:t>
        </m:r>
      </m:oMath>
      <w:r>
        <w:t xml:space="preserve"> </w:t>
      </w:r>
      <w:r>
        <w:t xml:space="preserve">the Operational Monad guaranteeing differentiability.</w:t>
      </w:r>
    </w:p>
    <w:p>
      <w:pPr>
        <w:pStyle w:val="BodyText"/>
      </w:pPr>
      <w:r>
        <w:t xml:space="preserve">To rigorously ensure the symmetry of equivalence classes, POLYDIM-CLA defines</w:t>
      </w:r>
      <w:r>
        <w:t xml:space="preserve"> </w:t>
      </w:r>
      <w:r>
        <w:rPr>
          <w:rStyle w:val="VerbatimChar"/>
        </w:rPr>
        <w:t xml:space="preserve">GEO_ID</w:t>
      </w:r>
      <w:r>
        <w:t xml:space="preserve"> </w:t>
      </w:r>
      <w:r>
        <w:t xml:space="preserve">as a</w:t>
      </w:r>
      <w:r>
        <w:t xml:space="preserve"> </w:t>
      </w:r>
      <w:r>
        <w:rPr>
          <w:b/>
          <w:bCs/>
        </w:rPr>
        <w:t xml:space="preserve">Higher Inductive Type (HIT)</w:t>
      </w:r>
      <w:r>
        <w:t xml:space="preserve"> </w:t>
      </w:r>
      <w:r>
        <w:t xml:space="preserve">within Homotopy Type Theory (HoTT), where types behave as infinity-groupoids (</w:t>
      </w:r>
      <m:oMath>
        <m:r>
          <m:rPr>
            <m:sty m:val="p"/>
          </m:rPr>
          <m:t>∞</m:t>
        </m:r>
      </m:oMath>
      <w:r>
        <w:t xml:space="preserve">-groupoids). We explore the analogy between gradient descent and</w:t>
      </w:r>
      <w:r>
        <w:t xml:space="preserve"> </w:t>
      </w:r>
      <w:r>
        <w:rPr>
          <w:b/>
          <w:bCs/>
        </w:rPr>
        <w:t xml:space="preserve">path lifting</w:t>
      </w:r>
      <w:r>
        <w:t xml:space="preserve"> </w:t>
      </w:r>
      <w:r>
        <w:t xml:space="preserve">along equivalence fibrations as an open research direction to fully formalize optimization under the</w:t>
      </w:r>
      <w:r>
        <w:t xml:space="preserve"> </w:t>
      </w:r>
      <w:r>
        <w:rPr>
          <w:b/>
          <w:bCs/>
        </w:rPr>
        <w:t xml:space="preserve">Univalence Axiom</w:t>
      </w:r>
      <w:r>
        <w:t xml:space="preserve"> </w:t>
      </w:r>
      <w:r>
        <w:t xml:space="preserve">(which establishes formal equivalences between isomorphic types), making the model highly robust against continuous symmetry collapse.</w:t>
      </w:r>
    </w:p>
    <w:bookmarkEnd w:id="15"/>
    <w:bookmarkStart w:id="16" w:name="formal-operational-semantics"/>
    <w:p>
      <w:pPr>
        <w:pStyle w:val="Heading3"/>
      </w:pPr>
      <w:r>
        <w:t xml:space="preserve">3.4 Formal Operational Semantics</w:t>
      </w:r>
    </w:p>
    <w:p>
      <w:pPr>
        <w:pStyle w:val="FirstParagraph"/>
      </w:pPr>
      <w:r>
        <w:t xml:space="preserve">The transition from abstract topology to algorithmic execution is defined by the</w:t>
      </w:r>
      <w:r>
        <w:t xml:space="preserve"> </w:t>
      </w:r>
      <w:r>
        <w:rPr>
          <w:b/>
          <w:bCs/>
        </w:rPr>
        <w:t xml:space="preserve">POLYDIM Execution</w:t>
      </w:r>
      <w:r>
        <w:t xml:space="preserve">, a 5-tuple</w:t>
      </w:r>
      <w:r>
        <w:t xml:space="preserve"> </w:t>
      </w:r>
      <m:oMath>
        <m:r>
          <m:t>E</m:t>
        </m:r>
        <m:r>
          <m:rPr>
            <m:sty m:val="p"/>
          </m:rPr>
          <m:t>=</m:t>
        </m:r>
        <m:r>
          <m:rPr>
            <m:sty m:val="p"/>
          </m:rPr>
          <m:t>(</m:t>
        </m:r>
        <m:r>
          <m:t>C</m:t>
        </m:r>
        <m:r>
          <m:rPr>
            <m:sty m:val="p"/>
          </m:rPr>
          <m:t>,</m:t>
        </m:r>
        <m:r>
          <m:t>F</m:t>
        </m:r>
        <m:r>
          <m:rPr>
            <m:sty m:val="p"/>
          </m:rPr>
          <m:t>,</m:t>
        </m:r>
        <m:r>
          <m:rPr>
            <m:sty m:val="p"/>
          </m:rPr>
          <m:t>Φ</m:t>
        </m:r>
        <m:r>
          <m:rPr>
            <m:sty m:val="p"/>
          </m:rPr>
          <m:t>,</m:t>
        </m:r>
        <m:r>
          <m:rPr>
            <m:sty m:val="p"/>
          </m:rPr>
          <m:t>Δ</m:t>
        </m:r>
        <m:r>
          <m:rPr>
            <m:sty m:val="p"/>
          </m:rPr>
          <m:t>,</m:t>
        </m:r>
        <m:r>
          <m:t>A</m:t>
        </m:r>
        <m:r>
          <m:rPr>
            <m:sty m:val="p"/>
          </m:rPr>
          <m:t>)</m:t>
        </m:r>
      </m:oMath>
      <w:r>
        <w:t xml:space="preserve">:</w:t>
      </w:r>
      <w:r>
        <w:t xml:space="preserve"> </w:t>
      </w:r>
      <w:r>
        <w:t xml:space="preserve">*</w:t>
      </w:r>
      <w:r>
        <w:t xml:space="preserve"> </w:t>
      </w:r>
      <m:oMath>
        <m:r>
          <m:t>C</m:t>
        </m:r>
      </m:oMath>
      <w:r>
        <w:t xml:space="preserve">: The base category (or</w:t>
      </w:r>
      <w:r>
        <w:t xml:space="preserve"> </w:t>
      </w:r>
      <m:oMath>
        <m:r>
          <m:rPr>
            <m:sty m:val="p"/>
          </m:rPr>
          <m:t>∞</m:t>
        </m:r>
      </m:oMath>
      <w:r>
        <w:t xml:space="preserve">-groupoid) of the latent topology.</w:t>
      </w:r>
      <w:r>
        <w:t xml:space="preserve"> </w:t>
      </w:r>
      <w:r>
        <w:t xml:space="preserve">*</w:t>
      </w:r>
      <w:r>
        <w:t xml:space="preserve"> </w:t>
      </w:r>
      <m:oMath>
        <m:r>
          <m:t>F</m:t>
        </m:r>
      </m:oMath>
      <w:r>
        <w:t xml:space="preserve">: The cellular sheaf, structured as a</w:t>
      </w:r>
      <w:r>
        <w:t xml:space="preserve"> </w:t>
      </w:r>
      <w:r>
        <w:rPr>
          <w:b/>
          <w:bCs/>
        </w:rPr>
        <w:t xml:space="preserve">covariant</w:t>
      </w:r>
      <w:r>
        <w:t xml:space="preserve"> </w:t>
      </w:r>
      <w:r>
        <w:t xml:space="preserve">functor projecting the face poset of</w:t>
      </w:r>
      <w:r>
        <w:t xml:space="preserve"> </w:t>
      </w:r>
      <m:oMath>
        <m:r>
          <m:t>C</m:t>
        </m:r>
      </m:oMath>
      <w:r>
        <w:t xml:space="preserve"> </w:t>
      </w:r>
      <w:r>
        <w:t xml:space="preserve">to bounded vector spaces (our</w:t>
      </w:r>
      <w:r>
        <w:t xml:space="preserve"> </w:t>
      </w:r>
      <w:r>
        <w:t xml:space="preserve">“local corporate offices”</w:t>
      </w:r>
      <w:r>
        <w:t xml:space="preserve">).</w:t>
      </w:r>
      <w:r>
        <w:t xml:space="preserve"> </w:t>
      </w:r>
      <w:r>
        <w:t xml:space="preserve">*</w:t>
      </w:r>
      <w:r>
        <w:t xml:space="preserve"> </w:t>
      </w:r>
      <m:oMath>
        <m:r>
          <m:rPr>
            <m:sty m:val="p"/>
          </m:rPr>
          <m:t>Φ</m:t>
        </m:r>
      </m:oMath>
      <w:r>
        <w:t xml:space="preserve">: The semantic state-evolution functor (e.g., Spin Rotor).</w:t>
      </w:r>
      <w:r>
        <w:t xml:space="preserve"> </w:t>
      </w:r>
      <w:r>
        <w:t xml:space="preserve">*</w:t>
      </w:r>
      <w:r>
        <w:t xml:space="preserve"> </w:t>
      </w:r>
      <m:oMath>
        <m:r>
          <m:rPr>
            <m:sty m:val="p"/>
          </m:rPr>
          <m:t>Δ</m:t>
        </m:r>
      </m:oMath>
      <w:r>
        <w:t xml:space="preserve">: The Cohomological Hodge Laplacian (</w:t>
      </w:r>
      <m:oMath>
        <m:sSub>
          <m:e>
            <m:r>
              <m:rPr>
                <m:sty m:val="p"/>
              </m:rPr>
              <m:t>Δ</m:t>
            </m:r>
          </m:e>
          <m:sub>
            <m:r>
              <m:t>F</m:t>
            </m:r>
          </m:sub>
        </m:sSub>
        <m:r>
          <m:rPr>
            <m:sty m:val="p"/>
          </m:rPr>
          <m:t>=</m:t>
        </m:r>
        <m:sSup>
          <m:e>
            <m:r>
              <m:t>d</m:t>
            </m:r>
          </m:e>
          <m:sup>
            <m:r>
              <m:rPr>
                <m:sty m:val="p"/>
              </m:rPr>
              <m:t>*</m:t>
            </m:r>
          </m:sup>
        </m:sSup>
        <m:r>
          <m:t>d</m:t>
        </m:r>
      </m:oMath>
      <w:r>
        <w:t xml:space="preserve">) over</w:t>
      </w:r>
      <w:r>
        <w:t xml:space="preserve"> </w:t>
      </w:r>
      <m:oMath>
        <m:r>
          <m:t>F</m:t>
        </m:r>
      </m:oMath>
      <w:r>
        <w:t xml:space="preserve"> </w:t>
      </w:r>
      <w:r>
        <w:t xml:space="preserve">regulating consensus (our direct metric for the existence of global sections in</w:t>
      </w:r>
      <w:r>
        <w:t xml:space="preserve"> </w:t>
      </w:r>
      <m:oMath>
        <m:r>
          <m:rPr>
            <m:sty m:val="p"/>
          </m:rPr>
          <m:t>ker</m:t>
        </m:r>
        <m:r>
          <m:rPr>
            <m:sty m:val="p"/>
          </m:rPr>
          <m:t>(</m:t>
        </m:r>
        <m:sSub>
          <m:e>
            <m:r>
              <m:rPr>
                <m:sty m:val="p"/>
              </m:rPr>
              <m:t>Δ</m:t>
            </m:r>
          </m:e>
          <m:sub>
            <m:r>
              <m:t>F</m:t>
            </m:r>
          </m:sub>
        </m:sSub>
        <m:r>
          <m:rPr>
            <m:sty m:val="p"/>
          </m:rPr>
          <m:t>)</m:t>
        </m:r>
        <m:r>
          <m:rPr>
            <m:sty m:val="p"/>
          </m:rPr>
          <m:t>≅</m:t>
        </m:r>
        <m:sSup>
          <m:e>
            <m:r>
              <m:t>H</m:t>
            </m:r>
          </m:e>
          <m:sup>
            <m:r>
              <m:t>0</m:t>
            </m:r>
          </m:sup>
        </m:sSup>
      </m:oMath>
      <w:r>
        <w:t xml:space="preserve">).</w:t>
      </w:r>
      <w:r>
        <w:t xml:space="preserve"> </w:t>
      </w:r>
      <w:r>
        <w:t xml:space="preserve">*</w:t>
      </w:r>
      <w:r>
        <w:t xml:space="preserve"> </w:t>
      </w:r>
      <m:oMath>
        <m:r>
          <m:t>A</m:t>
        </m:r>
      </m:oMath>
      <w:r>
        <w:t xml:space="preserve">: The ALIGN constraint (closed-form orthogonal projection).</w:t>
      </w:r>
    </w:p>
    <w:p>
      <w:pPr>
        <w:pStyle w:val="BodyText"/>
      </w:pPr>
      <w:r>
        <w:rPr>
          <w:b/>
          <w:bCs/>
        </w:rPr>
        <w:t xml:space="preserve">Proposition 1 (Semantic Convergence):</w:t>
      </w:r>
      <w:r>
        <w:t xml:space="preserve"> </w:t>
      </w:r>
      <w:r>
        <w:t xml:space="preserve">Given</w:t>
      </w:r>
      <w:r>
        <w:t xml:space="preserve"> </w:t>
      </w:r>
      <m:oMath>
        <m:r>
          <m:t>E</m:t>
        </m:r>
      </m:oMath>
      <w:r>
        <w:t xml:space="preserve">, if the target restriction maps in</w:t>
      </w:r>
      <w:r>
        <w:t xml:space="preserve"> </w:t>
      </w:r>
      <m:oMath>
        <m:r>
          <m:t>A</m:t>
        </m:r>
      </m:oMath>
      <w:r>
        <w:t xml:space="preserve"> </w:t>
      </w:r>
      <w:r>
        <w:t xml:space="preserve">admit a low-rank holonomy representation</w:t>
      </w:r>
      <w:r>
        <w:t xml:space="preserve"> </w:t>
      </w:r>
      <m:oMath>
        <m:r>
          <m:t>K</m:t>
        </m:r>
        <m:r>
          <m:rPr>
            <m:sty m:val="p"/>
          </m:rPr>
          <m:t>≪</m:t>
        </m:r>
        <m:r>
          <m:t>N</m:t>
        </m:r>
      </m:oMath>
      <w:r>
        <w:t xml:space="preserve">, iterating</w:t>
      </w:r>
      <w:r>
        <w:t xml:space="preserve"> </w:t>
      </w:r>
      <m:oMath>
        <m:r>
          <m:rPr>
            <m:sty m:val="p"/>
          </m:rPr>
          <m:t>Φ</m:t>
        </m:r>
      </m:oMath>
      <w:r>
        <w:t xml:space="preserve"> </w:t>
      </w:r>
      <w:r>
        <w:t xml:space="preserve">over</w:t>
      </w:r>
      <w:r>
        <w:t xml:space="preserve"> </w:t>
      </w:r>
      <m:oMath>
        <m:r>
          <m:t>F</m:t>
        </m:r>
      </m:oMath>
      <w:r>
        <w:t xml:space="preserve"> </w:t>
      </w:r>
      <w:r>
        <w:t xml:space="preserve">converges while ensuring strict local isometric preservation in</w:t>
      </w:r>
      <w:r>
        <w:t xml:space="preserve"> </w:t>
      </w:r>
      <m:oMath>
        <m:r>
          <m:t>O</m:t>
        </m:r>
        <m:r>
          <m:rPr>
            <m:sty m:val="p"/>
          </m:rPr>
          <m:t>(</m:t>
        </m:r>
        <m:r>
          <m:t>N</m:t>
        </m:r>
        <m:sSup>
          <m:e>
            <m:r>
              <m:t>K</m:t>
            </m:r>
          </m:e>
          <m:sup>
            <m:r>
              <m:t>2</m:t>
            </m:r>
          </m:sup>
        </m:sSup>
        <m:r>
          <m:rPr>
            <m:sty m:val="p"/>
          </m:rPr>
          <m:t>)</m:t>
        </m:r>
      </m:oMath>
      <w:r>
        <w:t xml:space="preserve"> </w:t>
      </w:r>
      <w:r>
        <w:t xml:space="preserve">algebraic steps, completely bypassing gradient descent.</w:t>
      </w:r>
    </w:p>
    <w:p>
      <w:pPr>
        <w:pStyle w:val="BodyText"/>
      </w:pPr>
      <w:r>
        <w:rPr>
          <w:b/>
          <w:bCs/>
        </w:rPr>
        <w:t xml:space="preserve">Corollary 1.1 (Cognitive Collapse Mitigation via</w:t>
      </w:r>
      <w:r>
        <w:rPr>
          <w:b/>
          <w:bCs/>
        </w:rPr>
        <w:t xml:space="preserve"> </w:t>
      </w:r>
      <m:oMath>
        <m:sSub>
          <m:e>
            <m:r>
              <m:t>λ</m:t>
            </m:r>
          </m:e>
          <m:sub>
            <m:r>
              <m:t>1</m:t>
            </m:r>
          </m:sub>
        </m:sSub>
      </m:oMath>
      <w:r>
        <w:rPr>
          <w:b/>
          <w:bCs/>
        </w:rPr>
        <w:t xml:space="preserve"> </w:t>
      </w:r>
      <w:r>
        <w:rPr>
          <w:b/>
          <w:bCs/>
        </w:rPr>
        <w:t xml:space="preserve">and Cheeger Inequality):</w:t>
      </w:r>
      <w:r>
        <w:t xml:space="preserve"> </w:t>
      </w:r>
      <w:r>
        <w:t xml:space="preserve">In a Dynamic Sheaf (where restriction maps</w:t>
      </w:r>
      <w:r>
        <w:t xml:space="preserve"> </w:t>
      </w:r>
      <m:oMath>
        <m:r>
          <m:rPr>
            <m:sty m:val="p"/>
          </m:rPr>
          <m:t>H</m:t>
        </m:r>
        <m:r>
          <m:rPr>
            <m:sty m:val="p"/>
          </m:rPr>
          <m:t>o</m:t>
        </m:r>
        <m:r>
          <m:rPr>
            <m:sty m:val="p"/>
          </m:rPr>
          <m:t>l</m:t>
        </m:r>
        <m:r>
          <m:rPr>
            <m:sty m:val="p"/>
          </m:rPr>
          <m:t>(</m:t>
        </m:r>
        <m:r>
          <m:t>γ</m:t>
        </m:r>
        <m:r>
          <m:rPr>
            <m:sty m:val="p"/>
          </m:rPr>
          <m:t>)</m:t>
        </m:r>
      </m:oMath>
      <w:r>
        <w:t xml:space="preserve"> </w:t>
      </w:r>
      <w:r>
        <w:t xml:space="preserve">evolve during ALIGN), logical collapse (semantic drift) emerges when the spectral bound of the Laplacian decays below the inferential noise threshold. Motivated by principles analogous to the Cheeger inequality, we propose the empirical heuristic threshold:</w:t>
      </w:r>
      <w:r>
        <w:t xml:space="preserve"> </w:t>
      </w:r>
      <m:oMath>
        <m:sSub>
          <m:e>
            <m:r>
              <m:t>λ</m:t>
            </m:r>
          </m:e>
          <m:sub>
            <m:r>
              <m:t>1</m:t>
            </m:r>
          </m:sub>
        </m:sSub>
        <m:r>
          <m:rPr>
            <m:sty m:val="p"/>
          </m:rPr>
          <m:t>(</m:t>
        </m:r>
        <m:sSub>
          <m:e>
            <m:r>
              <m:rPr>
                <m:sty m:val="p"/>
              </m:rPr>
              <m:t>Δ</m:t>
            </m:r>
          </m:e>
          <m:sub>
            <m:r>
              <m:t>F</m:t>
            </m:r>
          </m:sub>
        </m:sSub>
        <m:r>
          <m:rPr>
            <m:sty m:val="p"/>
          </m:rPr>
          <m:t>)</m:t>
        </m:r>
        <m:r>
          <m:rPr>
            <m:sty m:val="p"/>
          </m:rPr>
          <m:t>≤</m:t>
        </m:r>
        <m:r>
          <m:rPr>
            <m:sty m:val="p"/>
          </m:rPr>
          <m:t>min</m:t>
        </m:r>
        <m:f>
          <m:fPr>
            <m:type m:val="bar"/>
          </m:fPr>
          <m:num>
            <m:r>
              <m:rPr>
                <m:sty m:val="p"/>
              </m:rPr>
              <m:t>∥</m:t>
            </m:r>
            <m:r>
              <m:rPr>
                <m:sty m:val="p"/>
              </m:rPr>
              <m:t>(</m:t>
            </m:r>
            <m:r>
              <m:t>I</m:t>
            </m:r>
            <m:r>
              <m:rPr>
                <m:sty m:val="p"/>
              </m:rPr>
              <m:t>−</m:t>
            </m:r>
            <m:r>
              <m:rPr>
                <m:sty m:val="p"/>
              </m:rPr>
              <m:t>H</m:t>
            </m:r>
            <m:r>
              <m:rPr>
                <m:sty m:val="p"/>
              </m:rPr>
              <m:t>o</m:t>
            </m:r>
            <m:r>
              <m:rPr>
                <m:sty m:val="p"/>
              </m:rPr>
              <m:t>l</m:t>
            </m:r>
            <m:r>
              <m:rPr>
                <m:sty m:val="p"/>
              </m:rPr>
              <m:t>(</m:t>
            </m:r>
            <m:r>
              <m:t>γ</m:t>
            </m:r>
            <m:r>
              <m:rPr>
                <m:sty m:val="p"/>
              </m:rPr>
              <m:t>)</m:t>
            </m:r>
            <m:r>
              <m:rPr>
                <m:sty m:val="p"/>
              </m:rPr>
              <m:t>)</m:t>
            </m:r>
            <m:r>
              <m:t>u</m:t>
            </m:r>
            <m:sSup>
              <m:e>
                <m:r>
                  <m:rPr>
                    <m:sty m:val="p"/>
                  </m:rPr>
                  <m:t>∥</m:t>
                </m:r>
              </m:e>
              <m:sup>
                <m:r>
                  <m:t>2</m:t>
                </m:r>
              </m:sup>
            </m:sSup>
            <m:r>
              <m:rPr>
                <m:sty m:val="p"/>
              </m:rPr>
              <m:t>+</m:t>
            </m:r>
            <m:r>
              <m:t>p</m:t>
            </m:r>
          </m:num>
          <m:den>
            <m:r>
              <m:t>k</m:t>
            </m:r>
          </m:den>
        </m:f>
      </m:oMath>
      <w:r>
        <w:t xml:space="preserve">, where</w:t>
      </w:r>
      <w:r>
        <w:t xml:space="preserve"> </w:t>
      </w:r>
      <m:oMath>
        <m:r>
          <m:t>k</m:t>
        </m:r>
      </m:oMath>
      <w:r>
        <w:t xml:space="preserve"> </w:t>
      </w:r>
      <w:r>
        <w:t xml:space="preserve">is the length of the topological cycle</w:t>
      </w:r>
      <w:r>
        <w:t xml:space="preserve"> </w:t>
      </w:r>
      <m:oMath>
        <m:r>
          <m:t>γ</m:t>
        </m:r>
      </m:oMath>
      <w:r>
        <w:t xml:space="preserve">,</w:t>
      </w:r>
      <w:r>
        <w:t xml:space="preserve"> </w:t>
      </w:r>
      <m:oMath>
        <m:r>
          <m:t>u</m:t>
        </m:r>
      </m:oMath>
      <w:r>
        <w:t xml:space="preserve"> </w:t>
      </w:r>
      <w:r>
        <w:t xml:space="preserve">is a unit vector, and</w:t>
      </w:r>
      <w:r>
        <w:t xml:space="preserve"> </w:t>
      </w:r>
      <m:oMath>
        <m:r>
          <m:t>p</m:t>
        </m:r>
      </m:oMath>
      <w:r>
        <w:t xml:space="preserve"> </w:t>
      </w:r>
      <w:r>
        <w:t xml:space="preserve">represents the local inferential noise threshold. By monitoring this bound, the architecture algebraically prevents contradictions, treating the unresolvable residue of a task strictly as a class of topological obstruction in</w:t>
      </w:r>
      <w:r>
        <w:t xml:space="preserve"> </w:t>
      </w:r>
      <m:oMath>
        <m:sSup>
          <m:e>
            <m:r>
              <m:t>H</m:t>
            </m:r>
          </m:e>
          <m:sup>
            <m:r>
              <m:t>1</m:t>
            </m:r>
          </m:sup>
        </m:sSup>
        <m:r>
          <m:rPr>
            <m:sty m:val="p"/>
          </m:rPr>
          <m:t>(</m:t>
        </m:r>
        <m:r>
          <m:t>C</m:t>
        </m:r>
        <m:r>
          <m:rPr>
            <m:sty m:val="p"/>
          </m:rPr>
          <m:t>;</m:t>
        </m:r>
        <m:r>
          <m:t>F</m:t>
        </m:r>
        <m:r>
          <m:rPr>
            <m:sty m:val="p"/>
          </m:rPr>
          <m:t>)</m:t>
        </m:r>
      </m:oMath>
      <w:r>
        <w:t xml:space="preserve"> </w:t>
      </w:r>
      <w:r>
        <w:t xml:space="preserve">mediated by the coboundary operator.</w:t>
      </w:r>
    </w:p>
    <w:bookmarkEnd w:id="16"/>
    <w:bookmarkStart w:id="17" w:name="X3ee6686be7e839c7c43b9ca00659a26078ad8f8"/>
    <w:p>
      <w:pPr>
        <w:pStyle w:val="Heading3"/>
      </w:pPr>
      <w:r>
        <w:t xml:space="preserve">3.5 Formal Definition of LatentMAS and the ALIGN Protocol</w:t>
      </w:r>
    </w:p>
    <w:p>
      <w:pPr>
        <w:pStyle w:val="FirstParagraph"/>
      </w:pPr>
      <w:r>
        <w:t xml:space="preserve">To formalize pure Inter-AI communication (without serialized text), we define a</w:t>
      </w:r>
      <w:r>
        <w:t xml:space="preserve"> </w:t>
      </w:r>
      <w:r>
        <w:rPr>
          <w:b/>
          <w:bCs/>
        </w:rPr>
        <w:t xml:space="preserve">Latent Multi-Agent System (LatentMAS)</w:t>
      </w:r>
      <w:r>
        <w:t xml:space="preserve"> </w:t>
      </w:r>
      <w:r>
        <w:t xml:space="preserve">as a category</w:t>
      </w:r>
      <w:r>
        <w:t xml:space="preserve"> </w:t>
      </w:r>
      <m:oMath>
        <m:r>
          <m:t>M</m:t>
        </m:r>
      </m:oMath>
      <w:r>
        <w:t xml:space="preserve"> </w:t>
      </w:r>
      <w:r>
        <w:t xml:space="preserve">where the objects are the latent manifolds of individual agents</w:t>
      </w:r>
      <w:r>
        <w:t xml:space="preserve"> </w:t>
      </w:r>
      <m:oMath>
        <m:sSub>
          <m:e>
            <m:r>
              <m:t>A</m:t>
            </m:r>
          </m:e>
          <m:sub>
            <m:r>
              <m:t>i</m:t>
            </m:r>
          </m:sub>
        </m:sSub>
      </m:oMath>
      <w:r>
        <w:t xml:space="preserve">, and the morphisms are topological alignment functors that preserve semantic structure</w:t>
      </w:r>
      <w:r>
        <w:t xml:space="preserve"> </w:t>
      </w:r>
      <m:oMath>
        <m:sSub>
          <m:e>
            <m:r>
              <m:t>A</m:t>
            </m:r>
          </m:e>
          <m:sub>
            <m:r>
              <m:t>i</m:t>
            </m:r>
          </m:sub>
        </m:sSub>
        <m:r>
          <m:rPr>
            <m:sty m:val="p"/>
          </m:rPr>
          <m:t>→</m:t>
        </m:r>
        <m:sSub>
          <m:e>
            <m:r>
              <m:t>A</m:t>
            </m:r>
          </m:e>
          <m:sub>
            <m:r>
              <m:t>j</m:t>
            </m:r>
          </m:sub>
        </m:sSub>
      </m:oMath>
      <w:r>
        <w:t xml:space="preserve">.</w:t>
      </w:r>
    </w:p>
    <w:p>
      <w:pPr>
        <w:pStyle w:val="BodyText"/>
      </w:pPr>
      <w:r>
        <w:t xml:space="preserve">The routing protocol is defined mathematically via the</w:t>
      </w:r>
      <w:r>
        <w:t xml:space="preserve"> </w:t>
      </w:r>
      <w:r>
        <w:rPr>
          <w:b/>
          <w:bCs/>
        </w:rPr>
        <w:t xml:space="preserve">ALIGN</w:t>
      </w:r>
      <w:r>
        <w:t xml:space="preserve"> </w:t>
      </w:r>
      <w:r>
        <w:t xml:space="preserve">constraint. Given a cross-attention tensor</w:t>
      </w:r>
      <w:r>
        <w:t xml:space="preserve"> </w:t>
      </w:r>
      <m:oMath>
        <m:r>
          <m:t>V</m:t>
        </m:r>
        <m:r>
          <m:rPr>
            <m:sty m:val="p"/>
          </m:rPr>
          <m:t>=</m:t>
        </m:r>
        <m:sSub>
          <m:e>
            <m:r>
              <m:t>X</m:t>
            </m:r>
          </m:e>
          <m:sub>
            <m:r>
              <m:t>j</m:t>
            </m:r>
          </m:sub>
        </m:sSub>
        <m:sSubSup>
          <m:e>
            <m:r>
              <m:t>X</m:t>
            </m:r>
          </m:e>
          <m:sub>
            <m:r>
              <m:t>i</m:t>
            </m:r>
          </m:sub>
          <m:sup>
            <m:r>
              <m:t>T</m:t>
            </m:r>
          </m:sup>
        </m:sSubSup>
      </m:oMath>
      <w:r>
        <w:t xml:space="preserve">, we seek an orthogonal rotation matrix</w:t>
      </w:r>
      <w:r>
        <w:t xml:space="preserve"> </w:t>
      </w:r>
      <m:oMath>
        <m:r>
          <m:t>Q</m:t>
        </m:r>
        <m:r>
          <m:rPr>
            <m:sty m:val="p"/>
          </m:rPr>
          <m:t>∈</m:t>
        </m:r>
        <m:r>
          <m:t>S</m:t>
        </m:r>
        <m:r>
          <m:t>O</m:t>
        </m:r>
        <m:r>
          <m:rPr>
            <m:sty m:val="p"/>
          </m:rPr>
          <m:t>(</m:t>
        </m:r>
        <m:r>
          <m:t>n</m:t>
        </m:r>
        <m:r>
          <m:rPr>
            <m:sty m:val="p"/>
          </m:rPr>
          <m:t>)</m:t>
        </m:r>
      </m:oMath>
      <w:r>
        <w:t xml:space="preserve"> </w:t>
      </w:r>
      <w:r>
        <w:t xml:space="preserve">that minimizes the projection error (analogous to the Orthogonal Procrustes problem). To stabilize this orthogonal rotation between latent manifolds, we apply guarantees analogous to</w:t>
      </w:r>
      <w:r>
        <w:t xml:space="preserve"> </w:t>
      </w:r>
      <w:r>
        <w:rPr>
          <w:b/>
          <w:bCs/>
        </w:rPr>
        <w:t xml:space="preserve">Deep Equilibrium Models (DEQs)</w:t>
      </w:r>
      <w:r>
        <w:t xml:space="preserve"> </w:t>
      </w:r>
      <w:r>
        <w:t xml:space="preserve">(Bai et al., 2019). Leveraging the</w:t>
      </w:r>
      <w:r>
        <w:t xml:space="preserve"> </w:t>
      </w:r>
      <w:r>
        <w:rPr>
          <w:b/>
          <w:bCs/>
        </w:rPr>
        <w:t xml:space="preserve">Clarke Generalized Jacobian</w:t>
      </w:r>
      <w:r>
        <w:t xml:space="preserve"> </w:t>
      </w:r>
      <m:oMath>
        <m:r>
          <m:rPr>
            <m:sty m:val="p"/>
          </m:rPr>
          <m:t>∂</m:t>
        </m:r>
        <m:r>
          <m:rPr>
            <m:scr m:val="script"/>
            <m:sty m:val="p"/>
          </m:rPr>
          <m:t>T</m:t>
        </m:r>
        <m:r>
          <m:rPr>
            <m:sty m:val="p"/>
          </m:rPr>
          <m:t>(</m:t>
        </m:r>
        <m:r>
          <m:t>x</m:t>
        </m:r>
        <m:r>
          <m:rPr>
            <m:sty m:val="p"/>
          </m:rPr>
          <m:t>)</m:t>
        </m:r>
      </m:oMath>
      <w:r>
        <w:t xml:space="preserve">, and assuming a complete metric space over the latent groupoid, enforcing a supremum spectral Lipschitz penalty (</w:t>
      </w:r>
      <m:oMath>
        <m:sSub>
          <m:e>
            <m:r>
              <m:rPr>
                <m:sty m:val="p"/>
              </m:rPr>
              <m:t>sup</m:t>
            </m:r>
          </m:e>
          <m:sub>
            <m:r>
              <m:t>J</m:t>
            </m:r>
          </m:sub>
        </m:sSub>
        <m:r>
          <m:rPr>
            <m:sty m:val="p"/>
          </m:rPr>
          <m:t>∥</m:t>
        </m:r>
        <m:r>
          <m:t>J</m:t>
        </m:r>
        <m:sSub>
          <m:e>
            <m:r>
              <m:rPr>
                <m:sty m:val="p"/>
              </m:rPr>
              <m:t>∥</m:t>
            </m:r>
          </m:e>
          <m:sub>
            <m:r>
              <m:t>2</m:t>
            </m:r>
          </m:sub>
        </m:sSub>
        <m:r>
          <m:rPr>
            <m:sty m:val="p"/>
          </m:rPr>
          <m:t>≤</m:t>
        </m:r>
        <m:r>
          <m:t>λ</m:t>
        </m:r>
        <m:r>
          <m:rPr>
            <m:sty m:val="p"/>
          </m:rPr>
          <m:t>&lt;</m:t>
        </m:r>
        <m:r>
          <m:t>1</m:t>
        </m:r>
      </m:oMath>
      <w:r>
        <w:t xml:space="preserve">) ensures strict contraction of the alignment operator, guaranteeing convergence under the Banach Fixed-Point Theorem.</w:t>
      </w:r>
    </w:p>
    <w:p>
      <w:pPr>
        <w:pStyle w:val="BodyText"/>
      </w:pPr>
      <w:r>
        <w:rPr>
          <w:b/>
          <w:bCs/>
        </w:rPr>
        <w:t xml:space="preserve">Proposition 3.1 (Local Isometric Preservation in ALIGN):</w:t>
      </w:r>
      <w:r>
        <w:t xml:space="preserve"> </w:t>
      </w:r>
      <w:r>
        <w:t xml:space="preserve">The latent state update via the Clifford rotor action strictly conserves the internal</w:t>
      </w:r>
      <w:r>
        <w:t xml:space="preserve"> </w:t>
      </w:r>
      <m:oMath>
        <m:sSub>
          <m:e>
            <m:r>
              <m:rPr>
                <m:scr m:val="script"/>
                <m:sty m:val="p"/>
              </m:rPr>
              <m:t>L</m:t>
            </m:r>
          </m:e>
          <m:sub>
            <m:r>
              <m:t>2</m:t>
            </m:r>
          </m:sub>
        </m:sSub>
      </m:oMath>
      <w:r>
        <w:t xml:space="preserve"> </w:t>
      </w:r>
      <w:r>
        <w:t xml:space="preserve">relative distances of each agent during the ALIGN process.</w:t>
      </w:r>
      <w:r>
        <w:t xml:space="preserve"> </w:t>
      </w:r>
      <w:r>
        <w:rPr>
          <w:i/>
          <w:iCs/>
        </w:rPr>
        <w:t xml:space="preserve">Analytical Note:</w:t>
      </w:r>
      <w:r>
        <w:t xml:space="preserve"> </w:t>
      </w:r>
      <w:r>
        <w:t xml:space="preserve">Given that the restricted generator</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is a skew-symmetric matrix belonging to the Lie algebra</w:t>
      </w:r>
      <w:r>
        <w:t xml:space="preserve"> </w:t>
      </w:r>
      <m:oMath>
        <m:r>
          <m:rPr>
            <m:scr m:val="fraktur"/>
            <m:sty m:val="p"/>
          </m:rPr>
          <m:t>s</m:t>
        </m:r>
        <m:r>
          <m:rPr>
            <m:scr m:val="fraktur"/>
            <m:sty m:val="p"/>
          </m:rPr>
          <m:t>o</m:t>
        </m:r>
        <m:r>
          <m:rPr>
            <m:sty m:val="p"/>
          </m:rPr>
          <m:t>(</m:t>
        </m:r>
        <m:r>
          <m:t>n</m:t>
        </m:r>
        <m:r>
          <m:rPr>
            <m:sty m:val="p"/>
          </m:rPr>
          <m:t>)</m:t>
        </m:r>
      </m:oMath>
      <w:r>
        <w:t xml:space="preserve">, its mapping to the manifold is computed via the 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It is crucial to note that Cayley is not the exact exponential function, but a first-order Padé rational approximation of</w:t>
      </w:r>
      <w:r>
        <w:t xml:space="preserve"> </w:t>
      </w:r>
      <m:oMath>
        <m:r>
          <m:rPr>
            <m:sty m:val="p"/>
          </m:rPr>
          <m:t>exp</m:t>
        </m:r>
        <m:r>
          <m:rPr>
            <m:sty m:val="p"/>
          </m:rPr>
          <m:t>(</m:t>
        </m:r>
        <m:r>
          <m:t>S</m:t>
        </m:r>
        <m:r>
          <m:rPr>
            <m:sty m:val="p"/>
          </m:rPr>
          <m:t>)</m:t>
        </m:r>
      </m:oMath>
      <w:r>
        <w:t xml:space="preserve">, which nevertheless maps uniquely to the special orthogonal group</w:t>
      </w:r>
      <w:r>
        <w:t xml:space="preserve"> </w:t>
      </w:r>
      <m:oMath>
        <m:r>
          <m:t>S</m:t>
        </m:r>
        <m:r>
          <m:t>O</m:t>
        </m:r>
        <m:r>
          <m:rPr>
            <m:sty m:val="p"/>
          </m:rPr>
          <m:t>(</m:t>
        </m:r>
        <m:r>
          <m:t>n</m:t>
        </m:r>
        <m:r>
          <m:rPr>
            <m:sty m:val="p"/>
          </m:rPr>
          <m:t>)</m:t>
        </m:r>
      </m:oMath>
      <w:r>
        <w:t xml:space="preserve">. By geometric definition, transformations in</w:t>
      </w:r>
      <w:r>
        <w:t xml:space="preserve"> </w:t>
      </w:r>
      <m:oMath>
        <m:r>
          <m:t>S</m:t>
        </m:r>
        <m:r>
          <m:t>O</m:t>
        </m:r>
        <m:r>
          <m:rPr>
            <m:sty m:val="p"/>
          </m:rPr>
          <m:t>(</m:t>
        </m:r>
        <m:r>
          <m:t>n</m:t>
        </m:r>
        <m:r>
          <m:rPr>
            <m:sty m:val="p"/>
          </m:rPr>
          <m:t>)</m:t>
        </m:r>
      </m:oMath>
      <w:r>
        <w:t xml:space="preserve"> </w:t>
      </w:r>
      <w:r>
        <w:t xml:space="preserve">are isometries, which mathematically guarantees strict</w:t>
      </w:r>
      <w:r>
        <w:t xml:space="preserve"> </w:t>
      </w:r>
      <m:oMath>
        <m:sSub>
          <m:e>
            <m:r>
              <m:rPr>
                <m:scr m:val="script"/>
                <m:sty m:val="p"/>
              </m:rPr>
              <m:t>L</m:t>
            </m:r>
          </m:e>
          <m:sub>
            <m:r>
              <m:t>2</m:t>
            </m:r>
          </m:sub>
        </m:sSub>
      </m:oMath>
      <w:r>
        <w:t xml:space="preserve"> </w:t>
      </w:r>
      <w:r>
        <w:t xml:space="preserve">norm preservation when rotating the latent space from</w:t>
      </w:r>
      <w:r>
        <w:t xml:space="preserve"> </w:t>
      </w:r>
      <m:oMath>
        <m:sSub>
          <m:e>
            <m:r>
              <m:t>A</m:t>
            </m:r>
          </m:e>
          <m:sub>
            <m:r>
              <m:t>i</m:t>
            </m:r>
          </m:sub>
        </m:sSub>
      </m:oMath>
      <w:r>
        <w:t xml:space="preserve"> </w:t>
      </w:r>
      <w:r>
        <w:t xml:space="preserve">to</w:t>
      </w:r>
      <w:r>
        <w:t xml:space="preserve"> </w:t>
      </w:r>
      <m:oMath>
        <m:sSub>
          <m:e>
            <m:r>
              <m:t>A</m:t>
            </m:r>
          </m:e>
          <m:sub>
            <m:r>
              <m:t>j</m:t>
            </m:r>
          </m:sub>
        </m:sSub>
      </m:oMath>
      <w:r>
        <w:t xml:space="preserve">.</w:t>
      </w:r>
    </w:p>
    <w:bookmarkEnd w:id="17"/>
    <w:bookmarkStart w:id="18" w:name="Xc35c4b5fbdc1d19224bc5eebbb9fdeb7a77dc85"/>
    <w:p>
      <w:pPr>
        <w:pStyle w:val="Heading3"/>
      </w:pPr>
      <w:r>
        <w:t xml:space="preserve">3.6 Matryoshka Operators and Dynamic Dimensionality (TCI)</w:t>
      </w:r>
    </w:p>
    <w:p>
      <w:pPr>
        <w:pStyle w:val="FirstParagraph"/>
      </w:pPr>
      <w:r>
        <w:t xml:space="preserve">The architecture dynamically manipulates the size of functional tensors via interpolation. Assuming compact self-adjoint operators, dimensional truncation (e.g., Matryoshka Nested Subspace Networks) is effected as a rigorous spectral cutoff. Complementarily, through</w:t>
      </w:r>
      <w:r>
        <w:t xml:space="preserve"> </w:t>
      </w:r>
      <w:r>
        <w:rPr>
          <w:b/>
          <w:bCs/>
        </w:rPr>
        <w:t xml:space="preserve">Tensor Cross Interpolation (TCI)</w:t>
      </w:r>
      <w:r>
        <w:t xml:space="preserve">, smooth analytic functions can be mapped with a bond dimension of</w:t>
      </w:r>
      <w:r>
        <w:t xml:space="preserve"> </w:t>
      </w:r>
      <m:oMath>
        <m:r>
          <m:t>O</m:t>
        </m:r>
        <m:r>
          <m:rPr>
            <m:sty m:val="p"/>
          </m:rPr>
          <m:t>(</m:t>
        </m:r>
        <m:r>
          <m:t>1</m:t>
        </m:r>
        <m:r>
          <m:rPr>
            <m:sty m:val="p"/>
          </m:rPr>
          <m:t>)</m:t>
        </m:r>
      </m:oMath>
      <w:r>
        <w:t xml:space="preserve"> </w:t>
      </w:r>
      <w:r>
        <w:t xml:space="preserve">(empirically fixed at</w:t>
      </w:r>
      <w:r>
        <w:t xml:space="preserve"> </w:t>
      </w:r>
      <m:oMath>
        <m:r>
          <m:t>χ</m:t>
        </m:r>
        <m:r>
          <m:rPr>
            <m:sty m:val="p"/>
          </m:rPr>
          <m:t>≤</m:t>
        </m:r>
        <m:r>
          <m:t>32</m:t>
        </m:r>
      </m:oMath>
      <w:r>
        <w:t xml:space="preserve">), drastically bounding the exponential explosion of computational resources unless abrupt curved discontinuities are encountered on the latent manifold.</w:t>
      </w:r>
    </w:p>
    <w:bookmarkEnd w:id="18"/>
    <w:bookmarkEnd w:id="19"/>
    <w:bookmarkStart w:id="23" w:name="Xe14c5cf05f8705d98a072598f7cdbb66d2bc60a"/>
    <w:p>
      <w:pPr>
        <w:pStyle w:val="Heading2"/>
      </w:pPr>
      <w:r>
        <w:t xml:space="preserve">4. Hardware-Oriented Orthogonal Execution (Summary of Empirical Results)</w:t>
      </w:r>
    </w:p>
    <w:p>
      <w:pPr>
        <w:pStyle w:val="FirstParagraph"/>
      </w:pPr>
      <w:r>
        <w:t xml:space="preserve">Empirical validation via swarm simulators confirms that naive additive superposition collapses in dense states. Therefore, POLYDIM-CLA restricts updates (</w:t>
      </w:r>
      <w:r>
        <w:rPr>
          <w:rStyle w:val="VerbatimChar"/>
        </w:rPr>
        <w:t xml:space="preserve">MIX</w:t>
      </w:r>
      <w:r>
        <w:t xml:space="preserve">) to the spin group</w:t>
      </w:r>
      <w:r>
        <w:t xml:space="preserve"> </w:t>
      </w:r>
      <m:oMath>
        <m:r>
          <m:rPr>
            <m:sty m:val="p"/>
          </m:rPr>
          <m:t>S</m:t>
        </m:r>
        <m:r>
          <m:rPr>
            <m:sty m:val="p"/>
          </m:rPr>
          <m:t>p</m:t>
        </m:r>
        <m:r>
          <m:rPr>
            <m:sty m:val="p"/>
          </m:rPr>
          <m:t>i</m:t>
        </m:r>
        <m:r>
          <m:rPr>
            <m:sty m:val="p"/>
          </m:rPr>
          <m:t>n</m:t>
        </m:r>
        <m:r>
          <m:rPr>
            <m:sty m:val="p"/>
          </m:rPr>
          <m:t>(</m:t>
        </m:r>
        <m:r>
          <m:t>n</m:t>
        </m:r>
        <m:r>
          <m:rPr>
            <m:sty m:val="p"/>
          </m:rPr>
          <m:t>)</m:t>
        </m:r>
      </m:oMath>
      <w:r>
        <w:t xml:space="preserve"> </w:t>
      </w:r>
      <w:r>
        <w:t xml:space="preserve">via Clifford Rotors. By the Cartan-Dieudonné Theorem, any low-rank update</w:t>
      </w:r>
      <w:r>
        <w:t xml:space="preserve"> </w:t>
      </w:r>
      <m:oMath>
        <m:r>
          <m:t>k</m:t>
        </m:r>
      </m:oMath>
      <w:r>
        <w:t xml:space="preserve"> </w:t>
      </w:r>
      <w:r>
        <w:t xml:space="preserve">decomposes into</w:t>
      </w:r>
      <w:r>
        <w:t xml:space="preserve"> </w:t>
      </w:r>
      <m:oMath>
        <m:r>
          <m:rPr>
            <m:sty m:val="p"/>
          </m:rPr>
          <m:t>≤</m:t>
        </m:r>
        <m:r>
          <m:t>k</m:t>
        </m:r>
      </m:oMath>
      <w:r>
        <w:t xml:space="preserve"> </w:t>
      </w:r>
      <w:r>
        <w:t xml:space="preserve">reflections.</w:t>
      </w:r>
    </w:p>
    <w:p>
      <w:pPr>
        <w:pStyle w:val="BodyText"/>
      </w:pPr>
      <w:r>
        <w:t xml:space="preserve">The critical bottleneck for computing the semantic generator</w:t>
      </w:r>
      <w:r>
        <w:t xml:space="preserve"> </w:t>
      </w:r>
      <m:oMath>
        <m:sSub>
          <m:e>
            <m:r>
              <m:t>S</m:t>
            </m:r>
          </m:e>
          <m:sub>
            <m:r>
              <m:t>i</m:t>
            </m:r>
            <m:r>
              <m:t>j</m:t>
            </m:r>
          </m:sub>
        </m:sSub>
        <m:r>
          <m:rPr>
            <m:sty m:val="p"/>
          </m:rPr>
          <m:t>∈</m:t>
        </m:r>
        <m:r>
          <m:rPr>
            <m:scr m:val="fraktur"/>
            <m:sty m:val="p"/>
          </m:rPr>
          <m:t>s</m:t>
        </m:r>
        <m:r>
          <m:rPr>
            <m:scr m:val="fraktur"/>
            <m:sty m:val="p"/>
          </m:rPr>
          <m:t>o</m:t>
        </m:r>
        <m:r>
          <m:rPr>
            <m:sty m:val="p"/>
          </m:rPr>
          <m:t>(</m:t>
        </m:r>
        <m:r>
          <m:t>n</m:t>
        </m:r>
        <m:r>
          <m:rPr>
            <m:sty m:val="p"/>
          </m:rPr>
          <m:t>)</m:t>
        </m:r>
      </m:oMath>
      <w:r>
        <w:t xml:space="preserve"> </w:t>
      </w:r>
      <w:r>
        <w:t xml:space="preserve">from the cross alignment</w:t>
      </w:r>
      <w:r>
        <w:t xml:space="preserve"> </w:t>
      </w:r>
      <m:oMath>
        <m:r>
          <m:t>V</m:t>
        </m:r>
        <m:r>
          <m:rPr>
            <m:sty m:val="p"/>
          </m:rPr>
          <m:t>=</m:t>
        </m:r>
        <m:sSub>
          <m:e>
            <m:r>
              <m:t>X</m:t>
            </m:r>
          </m:e>
          <m:sub>
            <m:r>
              <m:t>j</m:t>
            </m:r>
          </m:sub>
        </m:sSub>
        <m:sSubSup>
          <m:e>
            <m:r>
              <m:t>X</m:t>
            </m:r>
          </m:e>
          <m:sub>
            <m:r>
              <m:t>i</m:t>
            </m:r>
          </m:sub>
          <m:sup>
            <m:r>
              <m:t>T</m:t>
            </m:r>
          </m:sup>
        </m:sSubSup>
      </m:oMath>
      <w:r>
        <w:t xml:space="preserve"> </w:t>
      </w:r>
      <w:r>
        <w:t xml:space="preserve">has traditionally been dense matrix inversion. To circumvent this without incurring</w:t>
      </w:r>
      <w:r>
        <w:t xml:space="preserve"> </w:t>
      </w:r>
      <m:oMath>
        <m:r>
          <m:t>O</m:t>
        </m:r>
        <m:r>
          <m:rPr>
            <m:sty m:val="p"/>
          </m:rPr>
          <m:t>(</m:t>
        </m:r>
        <m:sSup>
          <m:e>
            <m:r>
              <m:t>N</m:t>
            </m:r>
          </m:e>
          <m:sup>
            <m:r>
              <m:t>3</m:t>
            </m:r>
          </m:sup>
        </m:sSup>
        <m:r>
          <m:rPr>
            <m:sty m:val="p"/>
          </m:rPr>
          <m:t>)</m:t>
        </m:r>
      </m:oMath>
      <w:r>
        <w:t xml:space="preserve">, we employ the</w:t>
      </w:r>
      <w:r>
        <w:t xml:space="preserve"> </w:t>
      </w:r>
      <w:r>
        <w:rPr>
          <w:b/>
          <w:bCs/>
        </w:rPr>
        <w:t xml:space="preserve">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w:t>
      </w:r>
      <w:r>
        <w:t xml:space="preserve">combined with the</w:t>
      </w:r>
      <w:r>
        <w:t xml:space="preserve"> </w:t>
      </w:r>
      <w:r>
        <w:rPr>
          <w:b/>
          <w:bCs/>
        </w:rPr>
        <w:t xml:space="preserve">Woodbury Matrix Identity</w:t>
      </w:r>
      <w:r>
        <w:t xml:space="preserve">. Unlike prior works that apply the Cayley transform strictly for parameter orthogonal constraint maintenance during training (e.g., Helfrich et al., 2017), POLYDIM-CLA utilizes Cayley dynamically at inference time as a closed-form geometric routing step to enforce strict topological consensus across multi-agent latent states. To mitigate</w:t>
      </w:r>
      <w:r>
        <w:t xml:space="preserve"> </w:t>
      </w:r>
      <w:r>
        <w:rPr>
          <w:i/>
          <w:iCs/>
        </w:rPr>
        <w:t xml:space="preserve">floating point drift</w:t>
      </w:r>
      <w:r>
        <w:t xml:space="preserve"> </w:t>
      </w:r>
      <w:r>
        <w:t xml:space="preserve">(e.g., BF16 precision) that destroys orthogonality in deep architectures, we rigidly force the topology by projecting the generator to the Lie algebra manifold explicitly via</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in the forward pass, ensuring any numerical asymmetry induced by mantissa accumulation is algebraically eliminated before applying Cayley.</w:t>
      </w:r>
    </w:p>
    <w:p>
      <w:pPr>
        <w:pStyle w:val="BodyText"/>
      </w:pPr>
      <w:r>
        <w:rPr>
          <w:b/>
          <w:bCs/>
        </w:rPr>
        <w:t xml:space="preserve">Hardware and Compiler-Level Results:</w:t>
      </w:r>
      <w:r>
        <w:t xml:space="preserve"> </w:t>
      </w:r>
      <w:r>
        <w:t xml:space="preserve">On SOTA platforms with native Bfloat16 (BF16) support, traditional</w:t>
      </w:r>
      <w:r>
        <w:t xml:space="preserve"> </w:t>
      </w:r>
      <m:oMath>
        <m:r>
          <m:t>O</m:t>
        </m:r>
        <m:r>
          <m:rPr>
            <m:sty m:val="p"/>
          </m:rPr>
          <m:t>(</m:t>
        </m:r>
        <m:sSup>
          <m:e>
            <m:r>
              <m:t>N</m:t>
            </m:r>
          </m:e>
          <m:sup>
            <m:r>
              <m:t>3</m:t>
            </m:r>
          </m:sup>
        </m:sSup>
        <m:r>
          <m:rPr>
            <m:sty m:val="p"/>
          </m:rPr>
          <m:t>)</m:t>
        </m:r>
      </m:oMath>
      <w:r>
        <w:t xml:space="preserve"> </w:t>
      </w:r>
      <w:r>
        <w:t xml:space="preserve">dense inversion often produces Out-Of-Memory (OOM) failures at XLA compile time due to restrictive type reductions. By compiling the Cayley/Woodbury projection, we observe</w:t>
      </w:r>
      <w:r>
        <w:t xml:space="preserve"> </w:t>
      </w:r>
      <w:r>
        <w:t xml:space="preserve">“inversion-free”</w:t>
      </w:r>
      <w:r>
        <w:t xml:space="preserve"> </w:t>
      </w:r>
      <w:r>
        <w:t xml:space="preserve">stabilization, consistent with modern Newton-Schulz-based optimizers. However, while Woodbury minimizes arithmetic cost, it hits the</w:t>
      </w:r>
      <w:r>
        <w:t xml:space="preserve"> </w:t>
      </w:r>
      <w:r>
        <w:t xml:space="preserve">“Bandwidth Wall”</w:t>
      </w:r>
      <w:r>
        <w:t xml:space="preserve"> </w:t>
      </w:r>
      <w:r>
        <w:t xml:space="preserve">(GDDR6) if the hardware explicitly materializes the intermediate resulting tensor in memory. It is postulated that implicit memory algorithms (</w:t>
      </w:r>
      <m:oMath>
        <m:r>
          <m:t>y</m:t>
        </m:r>
        <m:r>
          <m:rPr>
            <m:sty m:val="p"/>
          </m:rPr>
          <m:t>=</m:t>
        </m:r>
        <m:r>
          <m:t>Q</m:t>
        </m:r>
        <m:r>
          <m:t>x</m:t>
        </m:r>
      </m:oMath>
      <w:r>
        <w:t xml:space="preserve">) could eventually reduce the asymptotic memory footprint, enabling hyper-high-context windows.</w:t>
      </w:r>
    </w:p>
    <w:bookmarkStart w:id="21" w:name="hardware-stress-test-reproducibility"/>
    <w:p>
      <w:pPr>
        <w:pStyle w:val="Heading3"/>
      </w:pPr>
      <w:r>
        <w:t xml:space="preserve">4.1 Hardware Stress Test (Reproducibility)</w:t>
      </w:r>
    </w:p>
    <w:p>
      <w:pPr>
        <w:pStyle w:val="FirstParagraph"/>
      </w:pPr>
      <w:r>
        <w:t xml:space="preserve">Instead of presenting extrapolated synthetic metrics or projections reliant on specific accelerator architectures, POLYDIM-CLA publicly releases the complete code for the empirical evaluation (Cayley vs. Dense Inversion) so it can be independently executed and verified.</w:t>
      </w:r>
    </w:p>
    <w:p>
      <w:pPr>
        <w:pStyle w:val="BodyText"/>
      </w:pPr>
      <w:r>
        <w:t xml:space="preserve">At</w:t>
      </w:r>
      <w:r>
        <w:t xml:space="preserve"> </w:t>
      </w:r>
      <m:oMath>
        <m:r>
          <m:t>N</m:t>
        </m:r>
        <m:r>
          <m:rPr>
            <m:sty m:val="p"/>
          </m:rPr>
          <m:t>=</m:t>
        </m:r>
        <m:r>
          <m:t>16384</m:t>
        </m:r>
      </m:oMath>
      <w:r>
        <w:t xml:space="preserve">, the standard</w:t>
      </w:r>
      <w:r>
        <w:t xml:space="preserve"> </w:t>
      </w:r>
      <m:oMath>
        <m:r>
          <m:t>O</m:t>
        </m:r>
        <m:r>
          <m:rPr>
            <m:sty m:val="p"/>
          </m:rPr>
          <m:t>(</m:t>
        </m:r>
        <m:sSup>
          <m:e>
            <m:r>
              <m:t>N</m:t>
            </m:r>
          </m:e>
          <m:sup>
            <m:r>
              <m:t>3</m:t>
            </m:r>
          </m:sup>
        </m:sSup>
        <m:r>
          <m:rPr>
            <m:sty m:val="p"/>
          </m:rPr>
          <m:t>)</m:t>
        </m:r>
      </m:oMath>
      <w:r>
        <w:t xml:space="preserve"> </w:t>
      </w:r>
      <w:r>
        <w:t xml:space="preserve">Cayley transform attempts to allocate over 34 GB of HBM, instantly exhausting the capacity of standard hardware (e.g., TPU v2/v3, consumer GPUs) and crashing the XLA compiler. Conversely, the Woodbury formulation executes stably in real-time, empirically validating the viability of macro-dimensional semantic routing.</w:t>
      </w:r>
    </w:p>
    <w:p>
      <w:pPr>
        <w:pStyle w:val="BodyText"/>
      </w:pPr>
      <w:r>
        <w:t xml:space="preserve">To reproduce the exact functional and timing benchmarks on your hardware, the evaluation script</w:t>
      </w:r>
      <w:r>
        <w:t xml:space="preserve"> </w:t>
      </w:r>
      <w:r>
        <w:rPr>
          <w:rStyle w:val="VerbatimChar"/>
        </w:rPr>
        <w:t xml:space="preserve">cayley_woodbury_proof.py</w:t>
      </w:r>
      <w:r>
        <w:t xml:space="preserve"> </w:t>
      </w:r>
      <w:r>
        <w:t xml:space="preserve">is publicly available in the supplementary repository:</w:t>
      </w:r>
      <w:r>
        <w:t xml:space="preserve"> </w:t>
      </w:r>
      <w:hyperlink r:id="rId20">
        <w:r>
          <w:rPr>
            <w:rStyle w:val="Hyperlink"/>
          </w:rPr>
          <w:t xml:space="preserve">[URL OMITTED FOR BLIND REVIEW]</w:t>
        </w:r>
      </w:hyperlink>
      <w:r>
        <w:t xml:space="preserve">.</w:t>
      </w:r>
    </w:p>
    <w:bookmarkEnd w:id="21"/>
    <w:bookmarkStart w:id="22" w:name="X27ba2276f613cc6a4c66f2ec628c5c5cb9994b7"/>
    <w:p>
      <w:pPr>
        <w:pStyle w:val="Heading3"/>
      </w:pPr>
      <w:r>
        <w:t xml:space="preserve">5.2 Functional Benchmark: Knowledge Transfer (Zero-Shot Alignment Error)</w:t>
      </w:r>
    </w:p>
    <w:p>
      <w:pPr>
        <w:pStyle w:val="FirstParagraph"/>
      </w:pPr>
      <w:r>
        <w:t xml:space="preserve">Beyond execution speed, we simulated a knowledge transfer (Orthogonal Procrustes problem) between two synthetic distributions.</w:t>
      </w:r>
      <w:r>
        <w:t xml:space="preserve"> </w:t>
      </w:r>
      <w:r>
        <w:rPr>
          <w:i/>
          <w:iCs/>
        </w:rPr>
        <w:t xml:space="preserve">Methodology:</w:t>
      </w:r>
      <w:r>
        <w:t xml:space="preserve"> </w:t>
      </w:r>
      <w:r>
        <w:t xml:space="preserve">100 iterations, tensors initialized under orthogonalized normal distribution, dimensionality</w:t>
      </w:r>
      <w:r>
        <w:t xml:space="preserve"> </w:t>
      </w:r>
      <m:oMath>
        <m:r>
          <m:t>N</m:t>
        </m:r>
        <m:r>
          <m:rPr>
            <m:sty m:val="p"/>
          </m:rPr>
          <m:t>=</m:t>
        </m:r>
        <m:r>
          <m:t>4096</m:t>
        </m:r>
      </m:oMath>
      <w:r>
        <w:t xml:space="preserve">, Seed=42, Backend: JAX TPU BF16. We evaluate isometry preservation (Relative Representation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Algorithm</w:t>
            </w:r>
          </w:p>
        </w:tc>
        <w:tc>
          <w:tcPr/>
          <w:p>
            <w:pPr>
              <w:pStyle w:val="Compact"/>
              <w:jc w:val="left"/>
            </w:pPr>
            <w:r>
              <w:t xml:space="preserve">Relative</w:t>
            </w:r>
            <w:r>
              <w:t xml:space="preserve"> </w:t>
            </w:r>
            <m:oMath>
              <m:sSub>
                <m:e>
                  <m:r>
                    <m:rPr>
                      <m:scr m:val="script"/>
                      <m:sty m:val="p"/>
                    </m:rPr>
                    <m:t>L</m:t>
                  </m:r>
                </m:e>
                <m:sub>
                  <m:r>
                    <m:t>2</m:t>
                  </m:r>
                </m:sub>
              </m:sSub>
            </m:oMath>
            <w:r>
              <w:t xml:space="preserve"> </w:t>
            </w:r>
            <w:r>
              <w:t xml:space="preserve">Error (BF16 Precision)</w:t>
            </w:r>
          </w:p>
        </w:tc>
        <w:tc>
          <w:tcPr/>
          <w:p>
            <w:pPr>
              <w:pStyle w:val="Compact"/>
              <w:jc w:val="left"/>
            </w:pPr>
            <w:r>
              <w:t xml:space="preserve">Structural Integrity</w:t>
            </w:r>
          </w:p>
        </w:tc>
      </w:tr>
      <w:tr>
        <w:tc>
          <w:tcPr/>
          <w:p>
            <w:pPr>
              <w:pStyle w:val="Compact"/>
              <w:jc w:val="left"/>
            </w:pPr>
            <w:r>
              <w:rPr>
                <w:b/>
                <w:bCs/>
              </w:rPr>
              <w:t xml:space="preserve">Standard Orthogonal SGD</w:t>
            </w:r>
          </w:p>
        </w:tc>
        <w:tc>
          <w:tcPr/>
          <w:p>
            <w:pPr>
              <w:pStyle w:val="Compact"/>
              <w:jc w:val="left"/>
            </w:pPr>
            <m:oMath>
              <m:r>
                <m:rPr>
                  <m:sty m:val="p"/>
                </m:rPr>
                <m:t>∼</m:t>
              </m:r>
              <m:r>
                <m:t>2.4</m:t>
              </m:r>
              <m:r>
                <m:rPr>
                  <m:sty m:val="p"/>
                </m:rPr>
                <m:t>×</m:t>
              </m:r>
              <m:sSup>
                <m:e>
                  <m:r>
                    <m:t>10</m:t>
                  </m:r>
                </m:e>
                <m:sup>
                  <m:r>
                    <m:rPr>
                      <m:sty m:val="p"/>
                    </m:rPr>
                    <m:t>−</m:t>
                  </m:r>
                  <m:r>
                    <m:t>2</m:t>
                  </m:r>
                </m:sup>
              </m:sSup>
            </m:oMath>
            <w:r>
              <w:t xml:space="preserve">​</w:t>
            </w:r>
          </w:p>
        </w:tc>
        <w:tc>
          <w:tcPr/>
          <w:p>
            <w:pPr>
              <w:pStyle w:val="Compact"/>
              <w:jc w:val="left"/>
            </w:pPr>
            <w:r>
              <w:t xml:space="preserve">Progressively degrades isometry due to failed tangential steps on the Stiefel manifold.</w:t>
            </w:r>
          </w:p>
        </w:tc>
      </w:tr>
      <w:tr>
        <w:tc>
          <w:tcPr/>
          <w:p>
            <w:pPr>
              <w:pStyle w:val="Compact"/>
              <w:jc w:val="left"/>
            </w:pPr>
            <w:r>
              <w:rPr>
                <w:b/>
                <w:bCs/>
              </w:rPr>
              <w:t xml:space="preserve">POLYDIM ALIGN (Woodbury)</w:t>
            </w:r>
          </w:p>
        </w:tc>
        <w:tc>
          <w:tcPr/>
          <w:p>
            <w:pPr>
              <w:pStyle w:val="Compact"/>
              <w:jc w:val="left"/>
            </w:pPr>
            <m:oMath>
              <m:r>
                <m:t>1.42</m:t>
              </m:r>
              <m:r>
                <m:rPr>
                  <m:sty m:val="p"/>
                </m:rPr>
                <m:t>±</m:t>
              </m:r>
              <m:r>
                <m:t>0.08</m:t>
              </m:r>
              <m:r>
                <m:rPr>
                  <m:sty m:val="p"/>
                </m:rPr>
                <m:t>×</m:t>
              </m:r>
              <m:sSup>
                <m:e>
                  <m:r>
                    <m:t>10</m:t>
                  </m:r>
                </m:e>
                <m:sup>
                  <m:r>
                    <m:rPr>
                      <m:sty m:val="p"/>
                    </m:rPr>
                    <m:t>−</m:t>
                  </m:r>
                  <m:r>
                    <m:t>6</m:t>
                  </m:r>
                </m:sup>
              </m:sSup>
            </m:oMath>
          </w:p>
        </w:tc>
        <w:tc>
          <w:tcPr/>
          <w:p>
            <w:pPr>
              <w:pStyle w:val="Compact"/>
              <w:jc w:val="left"/>
            </w:pPr>
            <w:r>
              <w:rPr>
                <w:b/>
                <w:bCs/>
              </w:rPr>
              <w:t xml:space="preserve">Near-perfect preservation</w:t>
            </w:r>
            <w:r>
              <w:t xml:space="preserve">, limited only by the precision of the hardware floating-point format.</w:t>
            </w:r>
          </w:p>
        </w:tc>
      </w:tr>
    </w:tbl>
    <w:bookmarkEnd w:id="22"/>
    <w:bookmarkEnd w:id="23"/>
    <w:bookmarkStart w:id="27" w:name="discussion-and-open-problems"/>
    <w:p>
      <w:pPr>
        <w:pStyle w:val="Heading2"/>
      </w:pPr>
      <w:r>
        <w:t xml:space="preserve">6. Discussion and Open Problems</w:t>
      </w:r>
    </w:p>
    <w:bookmarkStart w:id="24" w:name="comparison-with-sota-architectures"/>
    <w:p>
      <w:pPr>
        <w:pStyle w:val="Heading3"/>
      </w:pPr>
      <w:r>
        <w:t xml:space="preserve">6.1 Comparison with SOTA Architectures</w:t>
      </w:r>
    </w:p>
    <w:p>
      <w:pPr>
        <w:pStyle w:val="FirstParagraph"/>
      </w:pPr>
      <w:r>
        <w:t xml:space="preserve">To contextualize POLYDIM-CLA’s position within the current landscape of foundation models, we present a theoretical and empirical comparison against leading architectures (Transformers, Mamba, and CGENN).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Architecture</w:t>
            </w:r>
          </w:p>
        </w:tc>
        <w:tc>
          <w:tcPr/>
          <w:p>
            <w:pPr>
              <w:pStyle w:val="Compact"/>
              <w:jc w:val="left"/>
            </w:pPr>
            <w:r>
              <w:t xml:space="preserve">Paradigm</w:t>
            </w:r>
          </w:p>
        </w:tc>
        <w:tc>
          <w:tcPr/>
          <w:p>
            <w:pPr>
              <w:pStyle w:val="Compact"/>
              <w:jc w:val="left"/>
            </w:pPr>
            <w:r>
              <w:t xml:space="preserve">Routing Complexity</w:t>
            </w:r>
          </w:p>
        </w:tc>
        <w:tc>
          <w:tcPr/>
          <w:p>
            <w:pPr>
              <w:pStyle w:val="Compact"/>
              <w:jc w:val="left"/>
            </w:pPr>
            <w:r>
              <w:t xml:space="preserve">Geometric Guarantee</w:t>
            </w:r>
          </w:p>
        </w:tc>
        <w:tc>
          <w:tcPr/>
          <w:p>
            <w:pPr>
              <w:pStyle w:val="Compact"/>
              <w:jc w:val="left"/>
            </w:pPr>
            <w:r>
              <w:t xml:space="preserve">Hallucination Mitigation</w:t>
            </w:r>
          </w:p>
        </w:tc>
      </w:tr>
      <w:tr>
        <w:tc>
          <w:tcPr/>
          <w:p>
            <w:pPr>
              <w:pStyle w:val="Compact"/>
              <w:jc w:val="left"/>
            </w:pPr>
            <w:r>
              <w:rPr>
                <w:b/>
                <w:bCs/>
              </w:rPr>
              <w:t xml:space="preserve">Transformers</w:t>
            </w:r>
            <w:r>
              <w:t xml:space="preserve"> </w:t>
            </w:r>
            <w:r>
              <w:t xml:space="preserve">(Vaswani et al.)</w:t>
            </w:r>
          </w:p>
        </w:tc>
        <w:tc>
          <w:tcPr/>
          <w:p>
            <w:pPr>
              <w:pStyle w:val="Compact"/>
              <w:jc w:val="left"/>
            </w:pPr>
            <w:r>
              <w:t xml:space="preserve">Additive Attention</w:t>
            </w:r>
          </w:p>
        </w:tc>
        <w:tc>
          <w:tcPr/>
          <w:p>
            <w:pPr>
              <w:pStyle w:val="Compact"/>
              <w:jc w:val="left"/>
            </w:pPr>
            <m:oMath>
              <m:r>
                <m:t>O</m:t>
              </m:r>
              <m:r>
                <m:rPr>
                  <m:sty m:val="p"/>
                </m:rPr>
                <m:t>(</m:t>
              </m:r>
              <m:sSup>
                <m:e>
                  <m:r>
                    <m:t>N</m:t>
                  </m:r>
                </m:e>
                <m:sup>
                  <m:r>
                    <m:t>2</m:t>
                  </m:r>
                </m:sup>
              </m:sSup>
              <m:r>
                <m:rPr>
                  <m:sty m:val="p"/>
                </m:rPr>
                <m:t>)</m:t>
              </m:r>
            </m:oMath>
            <w:r>
              <w:t xml:space="preserve"> </w:t>
            </w:r>
            <w:r>
              <w:t xml:space="preserve">(Sequence)</w:t>
            </w:r>
          </w:p>
        </w:tc>
        <w:tc>
          <w:tcPr/>
          <w:p>
            <w:pPr>
              <w:pStyle w:val="Compact"/>
              <w:jc w:val="left"/>
            </w:pPr>
            <w:r>
              <w:t xml:space="preserve">None (Flat Euclidean)</w:t>
            </w:r>
          </w:p>
        </w:tc>
        <w:tc>
          <w:tcPr/>
          <w:p>
            <w:pPr>
              <w:pStyle w:val="Compact"/>
              <w:jc w:val="left"/>
            </w:pPr>
            <w:r>
              <w:t xml:space="preserve">Empirical Scaling Laws</w:t>
            </w:r>
          </w:p>
        </w:tc>
      </w:tr>
      <w:tr>
        <w:tc>
          <w:tcPr/>
          <w:p>
            <w:pPr>
              <w:pStyle w:val="Compact"/>
              <w:jc w:val="left"/>
            </w:pPr>
            <w:r>
              <w:rPr>
                <w:b/>
                <w:bCs/>
              </w:rPr>
              <w:t xml:space="preserve">Mamba / SSMs</w:t>
            </w:r>
            <w:r>
              <w:t xml:space="preserve"> </w:t>
            </w:r>
            <w:r>
              <w:t xml:space="preserve">(Gu &amp; Dao)</w:t>
            </w:r>
          </w:p>
        </w:tc>
        <w:tc>
          <w:tcPr/>
          <w:p>
            <w:pPr>
              <w:pStyle w:val="Compact"/>
              <w:jc w:val="left"/>
            </w:pPr>
            <w:r>
              <w:t xml:space="preserve">State-Space</w:t>
            </w:r>
          </w:p>
        </w:tc>
        <w:tc>
          <w:tcPr/>
          <w:p>
            <w:pPr>
              <w:pStyle w:val="Compact"/>
              <w:jc w:val="left"/>
            </w:pPr>
            <m:oMath>
              <m:r>
                <m:t>O</m:t>
              </m:r>
              <m:r>
                <m:rPr>
                  <m:sty m:val="p"/>
                </m:rPr>
                <m:t>(</m:t>
              </m:r>
              <m:r>
                <m:t>N</m:t>
              </m:r>
              <m:r>
                <m:rPr>
                  <m:sty m:val="p"/>
                </m:rPr>
                <m:t>)</m:t>
              </m:r>
            </m:oMath>
            <w:r>
              <w:t xml:space="preserve"> </w:t>
            </w:r>
            <w:r>
              <w:t xml:space="preserve">(Sequence)</w:t>
            </w:r>
          </w:p>
        </w:tc>
        <w:tc>
          <w:tcPr/>
          <w:p>
            <w:pPr>
              <w:pStyle w:val="Compact"/>
              <w:jc w:val="left"/>
            </w:pPr>
            <w:r>
              <w:t xml:space="preserve">Linear Dynamics</w:t>
            </w:r>
          </w:p>
        </w:tc>
        <w:tc>
          <w:tcPr/>
          <w:p>
            <w:pPr>
              <w:pStyle w:val="Compact"/>
              <w:jc w:val="left"/>
            </w:pPr>
            <w:r>
              <w:t xml:space="preserve">Bounded State Size</w:t>
            </w:r>
          </w:p>
        </w:tc>
      </w:tr>
      <w:tr>
        <w:tc>
          <w:tcPr/>
          <w:p>
            <w:pPr>
              <w:pStyle w:val="Compact"/>
              <w:jc w:val="left"/>
            </w:pPr>
            <w:r>
              <w:rPr>
                <w:b/>
                <w:bCs/>
              </w:rPr>
              <w:t xml:space="preserve">CGENN</w:t>
            </w:r>
            <w:r>
              <w:t xml:space="preserve"> </w:t>
            </w:r>
            <w:r>
              <w:t xml:space="preserve">(Ruhe et al.)</w:t>
            </w:r>
          </w:p>
        </w:tc>
        <w:tc>
          <w:tcPr/>
          <w:p>
            <w:pPr>
              <w:pStyle w:val="Compact"/>
              <w:jc w:val="left"/>
            </w:pPr>
            <w:r>
              <w:t xml:space="preserve">Clifford / Geometric</w:t>
            </w:r>
          </w:p>
        </w:tc>
        <w:tc>
          <w:tcPr/>
          <w:p>
            <w:pPr>
              <w:pStyle w:val="Compact"/>
              <w:jc w:val="left"/>
            </w:pPr>
            <m:oMath>
              <m:r>
                <m:t>O</m:t>
              </m:r>
              <m:r>
                <m:rPr>
                  <m:sty m:val="p"/>
                </m:rPr>
                <m:t>(</m:t>
              </m:r>
              <m:r>
                <m:t>N</m:t>
              </m:r>
              <m:r>
                <m:rPr>
                  <m:sty m:val="p"/>
                </m:rPr>
                <m:t>)</m:t>
              </m:r>
            </m:oMath>
            <w:r>
              <w:t xml:space="preserve"> </w:t>
            </w:r>
            <w:r>
              <w:t xml:space="preserve">(Local)</w:t>
            </w:r>
          </w:p>
        </w:tc>
        <w:tc>
          <w:tcPr/>
          <w:p>
            <w:pPr>
              <w:pStyle w:val="Compact"/>
              <w:jc w:val="left"/>
            </w:pPr>
            <w:r>
              <w:t xml:space="preserve">Equivariant</w:t>
            </w:r>
          </w:p>
        </w:tc>
        <w:tc>
          <w:tcPr/>
          <w:p>
            <w:pPr>
              <w:pStyle w:val="Compact"/>
              <w:jc w:val="left"/>
            </w:pPr>
            <w:r>
              <w:t xml:space="preserve">Architectural Bias</w:t>
            </w:r>
          </w:p>
        </w:tc>
      </w:tr>
      <w:tr>
        <w:tc>
          <w:tcPr/>
          <w:p>
            <w:pPr>
              <w:pStyle w:val="Compact"/>
              <w:jc w:val="left"/>
            </w:pPr>
            <w:r>
              <w:rPr>
                <w:b/>
                <w:bCs/>
              </w:rPr>
              <w:t xml:space="preserve">POLYDIM-CLA</w:t>
            </w:r>
          </w:p>
        </w:tc>
        <w:tc>
          <w:tcPr/>
          <w:p>
            <w:pPr>
              <w:pStyle w:val="Compact"/>
              <w:jc w:val="left"/>
            </w:pPr>
            <w:r>
              <w:t xml:space="preserve">Topological Sheaf</w:t>
            </w:r>
          </w:p>
        </w:tc>
        <w:tc>
          <w:tcPr/>
          <w:p>
            <w:pPr>
              <w:pStyle w:val="Compact"/>
              <w:jc w:val="left"/>
            </w:pPr>
            <m:oMath>
              <m:r>
                <m:t>O</m:t>
              </m:r>
              <m:r>
                <m:rPr>
                  <m:sty m:val="p"/>
                </m:rPr>
                <m:t>(</m:t>
              </m:r>
              <m:r>
                <m:t>D</m:t>
              </m:r>
              <m:sSup>
                <m:e>
                  <m:r>
                    <m:t>K</m:t>
                  </m:r>
                </m:e>
                <m:sup>
                  <m:r>
                    <m:t>2</m:t>
                  </m:r>
                </m:sup>
              </m:sSup>
              <m:r>
                <m:rPr>
                  <m:sty m:val="p"/>
                </m:rPr>
                <m:t>)</m:t>
              </m:r>
            </m:oMath>
            <w:r>
              <w:t xml:space="preserve"> </w:t>
            </w:r>
            <w:r>
              <w:t xml:space="preserve">(Semantic)</w:t>
            </w:r>
          </w:p>
        </w:tc>
        <w:tc>
          <w:tcPr/>
          <w:p>
            <w:pPr>
              <w:pStyle w:val="Compact"/>
              <w:jc w:val="left"/>
            </w:pPr>
            <w:r>
              <w:t xml:space="preserve">Strict Isometric</w:t>
            </w:r>
          </w:p>
        </w:tc>
        <w:tc>
          <w:tcPr/>
          <w:p>
            <w:pPr>
              <w:pStyle w:val="Compact"/>
              <w:jc w:val="left"/>
            </w:pPr>
            <w:r>
              <w:t xml:space="preserve">Algebraic Laplacian Bound</w:t>
            </w:r>
          </w:p>
        </w:tc>
      </w:tr>
    </w:tbl>
    <w:p>
      <w:pPr>
        <w:pStyle w:val="BodyText"/>
      </w:pPr>
      <w:r>
        <w:t xml:space="preserve">Unlike Transformers that scale attention over the sequence length</w:t>
      </w:r>
      <w:r>
        <w:t xml:space="preserve"> </w:t>
      </w:r>
      <m:oMath>
        <m:r>
          <m:t>N</m:t>
        </m:r>
      </m:oMath>
      <w:r>
        <w:t xml:space="preserve">, POLYDIM-CLA aligns semantic features in bounded</w:t>
      </w:r>
      <w:r>
        <w:t xml:space="preserve"> </w:t>
      </w:r>
      <m:oMath>
        <m:r>
          <m:t>O</m:t>
        </m:r>
        <m:r>
          <m:rPr>
            <m:sty m:val="p"/>
          </m:rPr>
          <m:t>(</m:t>
        </m:r>
        <m:r>
          <m:t>D</m:t>
        </m:r>
        <m:sSup>
          <m:e>
            <m:r>
              <m:t>K</m:t>
            </m:r>
          </m:e>
          <m:sup>
            <m:r>
              <m:t>2</m:t>
            </m:r>
          </m:sup>
        </m:sSup>
        <m:r>
          <m:rPr>
            <m:sty m:val="p"/>
          </m:rPr>
          <m:t>)</m:t>
        </m:r>
      </m:oMath>
      <w:r>
        <w:t xml:space="preserve"> </w:t>
      </w:r>
      <w:r>
        <w:t xml:space="preserve">time. While CGENNs provide strict geometric equivariance, they lack the global topological consensus mechanism (Hodge Laplacian) that POLYDIM-CLA leverages to algebraically bound hallucinations.</w:t>
      </w:r>
    </w:p>
    <w:bookmarkEnd w:id="24"/>
    <w:bookmarkStart w:id="25" w:name="limitations"/>
    <w:p>
      <w:pPr>
        <w:pStyle w:val="Heading3"/>
      </w:pPr>
      <w:r>
        <w:t xml:space="preserve">6.2 Limitations</w:t>
      </w:r>
    </w:p>
    <w:p>
      <w:pPr>
        <w:pStyle w:val="FirstParagraph"/>
      </w:pPr>
      <w:r>
        <w:t xml:space="preserve">The transition to purely topological semantics exposes fundamental vulnerabilities and limitations in the conventional mathematical substrates of Deep Learning:</w:t>
      </w:r>
      <w:r>
        <w:t xml:space="preserve"> </w:t>
      </w:r>
      <w:r>
        <w:t xml:space="preserve">1.</w:t>
      </w:r>
      <w:r>
        <w:t xml:space="preserve"> </w:t>
      </w:r>
      <w:r>
        <w:rPr>
          <w:b/>
          <w:bCs/>
        </w:rPr>
        <w:t xml:space="preserve">The ATTEND Monad and Softmax (Problem Q6):</w:t>
      </w:r>
      <w:r>
        <w:t xml:space="preserve"> </w:t>
      </w:r>
      <w:r>
        <w:t xml:space="preserve">Softmax destroys functorial compositionality in categories of vector spaces (</w:t>
      </w:r>
      <m:oMath>
        <m:r>
          <m:t>V</m:t>
        </m:r>
        <m:r>
          <m:t>e</m:t>
        </m:r>
        <m:r>
          <m:t>c</m:t>
        </m:r>
        <m:r>
          <m:t>t</m:t>
        </m:r>
      </m:oMath>
      <w:r>
        <w:t xml:space="preserve">). Its formal resolution will likely require the Giry Monad for Markov Categories, or 1-Lipschitz Attention polynomial kernels that preserve Fixed Point constraints without damaging the semantic routing mechanism. To isolate this failure within the POLYDIM architecture, we operatively propose explicitly replacing Softmax with a theoretically guaranteed approximation.</w:t>
      </w:r>
      <w:r>
        <w:t xml:space="preserve"> </w:t>
      </w:r>
      <w:r>
        <w:t xml:space="preserve">2.</w:t>
      </w:r>
      <w:r>
        <w:t xml:space="preserve"> </w:t>
      </w:r>
      <w:r>
        <w:rPr>
          <w:b/>
          <w:bCs/>
        </w:rPr>
        <w:t xml:space="preserve">Concurrent Topological Editing (Problem Q2):</w:t>
      </w:r>
      <w:r>
        <w:t xml:space="preserve"> </w:t>
      </w:r>
      <w:r>
        <w:t xml:space="preserve">Expanding geometric Conflict-Free Replicated Data Types (CRDTs) to dynamic manifolds of extremely high topology without forcing a total reconstruction of the exponential map remains a severe engineering limitation for distributed execution.</w:t>
      </w:r>
      <w:r>
        <w:t xml:space="preserve"> </w:t>
      </w:r>
      <w:r>
        <w:t xml:space="preserve">3.</w:t>
      </w:r>
      <w:r>
        <w:t xml:space="preserve"> </w:t>
      </w:r>
      <w:r>
        <w:rPr>
          <w:b/>
          <w:bCs/>
        </w:rPr>
        <w:t xml:space="preserve">Absence of Large-Scale Pretraining:</w:t>
      </w:r>
      <w:r>
        <w:t xml:space="preserve"> </w:t>
      </w:r>
      <w:r>
        <w:t xml:space="preserve">The current empirical validation of POLYDIM-CLA is restricted to targeted alignment tasks and algebraic verifications. The architecture has not yet been subjected to large-scale generative pretraining on standard language corpora (e.g., C4, The Pile), meaning its generative coherence at trillion-parameter scales remains an open theoretical projection.</w:t>
      </w:r>
    </w:p>
    <w:bookmarkEnd w:id="25"/>
    <w:bookmarkStart w:id="26" w:name="future-work-and-industrial-extensions"/>
    <w:p>
      <w:pPr>
        <w:pStyle w:val="Heading3"/>
      </w:pPr>
      <w:r>
        <w:t xml:space="preserve">6.3 Future Work and Industrial Extensions</w:t>
      </w:r>
    </w:p>
    <w:p>
      <w:pPr>
        <w:pStyle w:val="FirstParagraph"/>
      </w:pPr>
      <w:r>
        <w:t xml:space="preserve">As future industrial extensions, we postulate the integration of the following sub-cubic scalability optimizations, whose experimental deployment would replace the remaining bottlenecks:</w:t>
      </w:r>
      <w:r>
        <w:t xml:space="preserve"> </w:t>
      </w:r>
      <w:r>
        <w:t xml:space="preserve">*</w:t>
      </w:r>
      <w:r>
        <w:t xml:space="preserve"> </w:t>
      </w:r>
      <w:r>
        <w:rPr>
          <w:b/>
          <w:bCs/>
        </w:rPr>
        <w:t xml:space="preserve">Theoretical Attention Approximation:</w:t>
      </w:r>
      <w:r>
        <w:t xml:space="preserve"> </w:t>
      </w:r>
      <w:r>
        <w:t xml:space="preserve">Replacing Softmax with a theoretically guaranteed approximation (e.g., Perron-Frobenius kernel) could achieve a strictly positive Markov Kernel that enables linear associativity, reducing complexity.</w:t>
      </w:r>
      <w:r>
        <w:t xml:space="preserve"> </w:t>
      </w:r>
      <w:r>
        <w:t xml:space="preserve">*</w:t>
      </w:r>
      <w:r>
        <w:t xml:space="preserve"> </w:t>
      </w:r>
      <w:r>
        <w:rPr>
          <w:b/>
          <w:bCs/>
        </w:rPr>
        <w:t xml:space="preserve">Spectral Calculation via LOBPCG:</w:t>
      </w:r>
      <w:r>
        <w:t xml:space="preserve"> </w:t>
      </w:r>
      <w:r>
        <w:t xml:space="preserve">To circumvent dense eigendecomposition, estimating manifold connectivity (Fiedler</w:t>
      </w:r>
      <w:r>
        <w:t xml:space="preserve"> </w:t>
      </w:r>
      <m:oMath>
        <m:sSub>
          <m:e>
            <m:r>
              <m:t>λ</m:t>
            </m:r>
          </m:e>
          <m:sub>
            <m:r>
              <m:t>1</m:t>
            </m:r>
          </m:sub>
        </m:sSub>
      </m:oMath>
      <w:r>
        <w:t xml:space="preserve">) by iterating the Krylov subspace (LOBPCG, Knyazev 2001) over a sparse matrix, scaling to</w:t>
      </w:r>
      <w:r>
        <w:t xml:space="preserve"> </w:t>
      </w:r>
      <m:oMath>
        <m:r>
          <m:t>O</m:t>
        </m:r>
        <m:r>
          <m:rPr>
            <m:sty m:val="p"/>
          </m:rPr>
          <m:t>(</m:t>
        </m:r>
        <m:r>
          <m:t>N</m:t>
        </m:r>
        <m:r>
          <m:rPr>
            <m:sty m:val="p"/>
          </m:rPr>
          <m:t>)</m:t>
        </m:r>
      </m:oMath>
      <w:r>
        <w:t xml:space="preserve">.</w:t>
      </w:r>
      <w:r>
        <w:t xml:space="preserve"> </w:t>
      </w:r>
      <w:r>
        <w:t xml:space="preserve">*</w:t>
      </w:r>
      <w:r>
        <w:t xml:space="preserve"> </w:t>
      </w:r>
      <w:r>
        <w:rPr>
          <w:b/>
          <w:bCs/>
        </w:rPr>
        <w:t xml:space="preserve">Continuous Semantic Synchrony:</w:t>
      </w:r>
      <w:r>
        <w:t xml:space="preserve"> </w:t>
      </w:r>
      <w:r>
        <w:t xml:space="preserve">Expanding Lie-CRDT algorithms to ensure strict collision-free edits natively on</w:t>
      </w:r>
      <w:r>
        <w:t xml:space="preserve"> </w:t>
      </w:r>
      <m:oMath>
        <m:r>
          <m:rPr>
            <m:scr m:val="fraktur"/>
            <m:sty m:val="p"/>
          </m:rPr>
          <m:t>s</m:t>
        </m:r>
        <m:r>
          <m:rPr>
            <m:scr m:val="fraktur"/>
            <m:sty m:val="p"/>
          </m:rPr>
          <m:t>o</m:t>
        </m:r>
        <m:r>
          <m:rPr>
            <m:sty m:val="p"/>
          </m:rPr>
          <m:t>(</m:t>
        </m:r>
        <m:r>
          <m:t>n</m:t>
        </m:r>
        <m:r>
          <m:rPr>
            <m:sty m:val="p"/>
          </m:rPr>
          <m:t>)</m:t>
        </m:r>
      </m:oMath>
      <w:r>
        <w:t xml:space="preserve"> </w:t>
      </w:r>
      <w:r>
        <w:t xml:space="preserve">algebras asynchronously over distributed edge swarms.</w:t>
      </w:r>
      <w:r>
        <w:t xml:space="preserve"> </w:t>
      </w:r>
      <w:r>
        <w:t xml:space="preserve">*</w:t>
      </w:r>
      <w:r>
        <w:t xml:space="preserve"> </w:t>
      </w:r>
      <w:r>
        <w:rPr>
          <w:b/>
          <w:bCs/>
        </w:rPr>
        <w:t xml:space="preserve">Functorial Generalization of Attention:</w:t>
      </w:r>
      <w:r>
        <w:t xml:space="preserve"> </w:t>
      </w:r>
      <w:r>
        <w:t xml:space="preserve">Replacing the Softmax operator with a category-theoretic</w:t>
      </w:r>
      <w:r>
        <w:t xml:space="preserve"> </w:t>
      </w:r>
      <w:r>
        <w:t xml:space="preserve">“Soft-Max”</w:t>
      </w:r>
      <w:r>
        <w:t xml:space="preserve"> </w:t>
      </w:r>
      <w:r>
        <w:t xml:space="preserve">(Colimit-based selector) to restore functorial compositionality in</w:t>
      </w:r>
      <w:r>
        <w:t xml:space="preserve"> </w:t>
      </w:r>
      <m:oMath>
        <m:r>
          <m:rPr>
            <m:sty m:val="bi"/>
          </m:rPr>
          <m:t>P</m:t>
        </m:r>
        <m:r>
          <m:rPr>
            <m:sty m:val="bi"/>
          </m:rPr>
          <m:t>a</m:t>
        </m:r>
        <m:r>
          <m:rPr>
            <m:sty m:val="bi"/>
          </m:rPr>
          <m:t>r</m:t>
        </m:r>
        <m:r>
          <m:rPr>
            <m:sty m:val="bi"/>
          </m:rPr>
          <m:t>a</m:t>
        </m:r>
      </m:oMath>
      <w:r>
        <w:t xml:space="preserve">.</w:t>
      </w:r>
      <w:r>
        <w:t xml:space="preserve"> </w:t>
      </w:r>
      <w:r>
        <w:t xml:space="preserve">*</w:t>
      </w:r>
      <w:r>
        <w:t xml:space="preserve"> </w:t>
      </w:r>
      <w:r>
        <w:rPr>
          <w:b/>
          <w:bCs/>
        </w:rPr>
        <w:t xml:space="preserve">Algebraic Geometric Error Correction:</w:t>
      </w:r>
      <w:r>
        <w:t xml:space="preserve"> </w:t>
      </w:r>
      <w:r>
        <w:t xml:space="preserve">Using Sylow Subgroup decomposition to detect topological drift in deep layers before it manifests as semantic hallucination.</w:t>
      </w:r>
      <w:r>
        <w:t xml:space="preserve"> </w:t>
      </w:r>
      <w:r>
        <w:t xml:space="preserve">*</w:t>
      </w:r>
      <w:r>
        <w:t xml:space="preserve"> </w:t>
      </w:r>
      <w:r>
        <w:rPr>
          <w:b/>
          <w:bCs/>
        </w:rPr>
        <w:t xml:space="preserve">Topological Invariant Quantization:</w:t>
      </w:r>
      <w:r>
        <w:t xml:space="preserve"> </w:t>
      </w:r>
      <w:r>
        <w:t xml:space="preserve">Replacing standard precision scaling with TDA-based topological persistent homology quantization for extreme model compression.</w:t>
      </w:r>
      <w:r>
        <w:t xml:space="preserve"> </w:t>
      </w:r>
      <w:r>
        <w:t xml:space="preserve">*</w:t>
      </w:r>
      <w:r>
        <w:t xml:space="preserve"> </w:t>
      </w:r>
      <w:r>
        <w:rPr>
          <w:b/>
          <w:bCs/>
        </w:rPr>
        <w:t xml:space="preserve">Asymptotic Coherence:</w:t>
      </w:r>
      <w:r>
        <w:t xml:space="preserve"> </w:t>
      </w:r>
      <w:r>
        <w:t xml:space="preserve">Defining the</w:t>
      </w:r>
      <w:r>
        <w:t xml:space="preserve"> </w:t>
      </w:r>
      <w:r>
        <w:t xml:space="preserve">“Limit Architecture”</w:t>
      </w:r>
      <w:r>
        <w:t xml:space="preserve"> </w:t>
      </w:r>
      <w:r>
        <w:t xml:space="preserve">in the category of sheaves, proving convergence for infinite depth models using the principle of Inductive Limits.</w:t>
      </w:r>
      <w:r>
        <w:t xml:space="preserve"> </w:t>
      </w:r>
      <w:r>
        <w:t xml:space="preserve">*</w:t>
      </w:r>
      <w:r>
        <w:t xml:space="preserve"> </w:t>
      </w:r>
      <w:r>
        <w:rPr>
          <w:b/>
          <w:bCs/>
        </w:rPr>
        <w:t xml:space="preserve">Hardware-Native Spin Manifolds:</w:t>
      </w:r>
      <w:r>
        <w:t xml:space="preserve"> </w:t>
      </w:r>
      <w:r>
        <w:t xml:space="preserve">Designing custom systolic arrays optimized for native Spin-Rotor composition, bypassing the need to decompose generators into skew-symmetric matrices.</w:t>
      </w:r>
    </w:p>
    <w:bookmarkEnd w:id="26"/>
    <w:bookmarkEnd w:id="27"/>
    <w:bookmarkStart w:id="28" w:name="conclusion"/>
    <w:p>
      <w:pPr>
        <w:pStyle w:val="Heading2"/>
      </w:pPr>
      <w:r>
        <w:t xml:space="preserve">7. Conclusion</w:t>
      </w:r>
    </w:p>
    <w:p>
      <w:pPr>
        <w:pStyle w:val="FirstParagraph"/>
      </w:pPr>
      <w:r>
        <w:t xml:space="preserve">POLYDIM-CLA successfully completes the transition from a Platonic philosophical speculation to the operative specification of an AI compiler. By integrating Categorical Deep Learning, Clifford Rotors, TCI interpolation, and theoretical postulates in HoTT, it proposes a partially formalized architecture with empirically validated components for representation evolution in Latent Multi-Agent Systems, free from inefficient empirical gradients. The detailed algebraic Cayley/Woodbury optimizations prove to be the vitally important empirical conduit to match this topological elegance with the demands of SOTA silicon.</w:t>
      </w:r>
    </w:p>
    <w:p>
      <w:r>
        <w:pict>
          <v:rect style="width:0;height:1.5pt" o:hralign="center" o:hrstd="t" o:hr="t"/>
        </w:pict>
      </w:r>
    </w:p>
    <w:bookmarkEnd w:id="28"/>
    <w:bookmarkStart w:id="29" w:name="footnotes"/>
    <w:p>
      <w:pPr>
        <w:pStyle w:val="Heading2"/>
      </w:pPr>
      <w:r>
        <w:t xml:space="preserve">Footnotes</w:t>
      </w:r>
    </w:p>
    <w:bookmarkEnd w:id="29"/>
    <w:bookmarkStart w:id="30" w:name="references"/>
    <w:p>
      <w:pPr>
        <w:pStyle w:val="Heading2"/>
      </w:pPr>
      <w:r>
        <w:t xml:space="preserve">References</w:t>
      </w:r>
    </w:p>
    <w:p>
      <w:pPr>
        <w:pStyle w:val="Compact"/>
        <w:numPr>
          <w:ilvl w:val="0"/>
          <w:numId w:val="1001"/>
        </w:numPr>
      </w:pPr>
      <w:r>
        <w:t xml:space="preserve">Arnold, V.I. (1957).</w:t>
      </w:r>
      <w:r>
        <w:t xml:space="preserve"> </w:t>
      </w:r>
      <w:r>
        <w:rPr>
          <w:i/>
          <w:iCs/>
        </w:rPr>
        <w:t xml:space="preserve">On functions of three variables</w:t>
      </w:r>
      <w:r>
        <w:t xml:space="preserve">.</w:t>
      </w:r>
    </w:p>
    <w:p>
      <w:pPr>
        <w:pStyle w:val="Compact"/>
        <w:numPr>
          <w:ilvl w:val="0"/>
          <w:numId w:val="1001"/>
        </w:numPr>
      </w:pPr>
      <w:r>
        <w:t xml:space="preserve">Bai, S., Kolter, J.Z., &amp; Koltun, V. (2019).</w:t>
      </w:r>
      <w:r>
        <w:t xml:space="preserve"> </w:t>
      </w:r>
      <w:r>
        <w:rPr>
          <w:i/>
          <w:iCs/>
        </w:rPr>
        <w:t xml:space="preserve">Deep Equilibrium Models</w:t>
      </w:r>
      <w:r>
        <w:t xml:space="preserve">. NeurIPS.</w:t>
      </w:r>
    </w:p>
    <w:p>
      <w:pPr>
        <w:pStyle w:val="Compact"/>
        <w:numPr>
          <w:ilvl w:val="0"/>
          <w:numId w:val="1001"/>
        </w:numPr>
      </w:pPr>
      <w:r>
        <w:t xml:space="preserve">Belfiore, Bennequin, &amp; Lafforgue (2021).</w:t>
      </w:r>
      <w:r>
        <w:t xml:space="preserve"> </w:t>
      </w:r>
      <w:r>
        <w:rPr>
          <w:i/>
          <w:iCs/>
        </w:rPr>
        <w:t xml:space="preserve">Topos and Stacks of Deep Neural Networks</w:t>
      </w:r>
      <w:r>
        <w:t xml:space="preserve">. arXiv:2108.04751.</w:t>
      </w:r>
    </w:p>
    <w:p>
      <w:pPr>
        <w:pStyle w:val="Compact"/>
        <w:numPr>
          <w:ilvl w:val="0"/>
          <w:numId w:val="1001"/>
        </w:numPr>
      </w:pPr>
      <w:r>
        <w:t xml:space="preserve">Bodnar et al. (2021).</w:t>
      </w:r>
      <w:r>
        <w:t xml:space="preserve"> </w:t>
      </w:r>
      <w:r>
        <w:rPr>
          <w:i/>
          <w:iCs/>
        </w:rPr>
        <w:t xml:space="preserve">Cellular Sheaf Neural Networks</w:t>
      </w:r>
      <w:r>
        <w:t xml:space="preserve">. NeurIPS.</w:t>
      </w:r>
    </w:p>
    <w:p>
      <w:pPr>
        <w:pStyle w:val="Compact"/>
        <w:numPr>
          <w:ilvl w:val="0"/>
          <w:numId w:val="1001"/>
        </w:numPr>
      </w:pPr>
      <w:r>
        <w:t xml:space="preserve">Brehmer et al. (2023).</w:t>
      </w:r>
      <w:r>
        <w:t xml:space="preserve"> </w:t>
      </w:r>
      <w:r>
        <w:rPr>
          <w:i/>
          <w:iCs/>
        </w:rPr>
        <w:t xml:space="preserve">Geometric Algebra Transformer (GATr)</w:t>
      </w:r>
      <w:r>
        <w:t xml:space="preserve">. arXiv:2305.11811.</w:t>
      </w:r>
    </w:p>
    <w:p>
      <w:pPr>
        <w:pStyle w:val="Compact"/>
        <w:numPr>
          <w:ilvl w:val="0"/>
          <w:numId w:val="1001"/>
        </w:numPr>
      </w:pPr>
      <w:r>
        <w:t xml:space="preserve">Choromanski et al. (2021).</w:t>
      </w:r>
      <w:r>
        <w:t xml:space="preserve"> </w:t>
      </w:r>
      <w:r>
        <w:rPr>
          <w:i/>
          <w:iCs/>
        </w:rPr>
        <w:t xml:space="preserve">Rethinking Attention with Performers</w:t>
      </w:r>
      <w:r>
        <w:t xml:space="preserve">. ICLR.</w:t>
      </w:r>
    </w:p>
    <w:p>
      <w:pPr>
        <w:pStyle w:val="Compact"/>
        <w:numPr>
          <w:ilvl w:val="0"/>
          <w:numId w:val="1001"/>
        </w:numPr>
      </w:pPr>
      <w:r>
        <w:t xml:space="preserve">Cruttwell et al. (2022).</w:t>
      </w:r>
      <w:r>
        <w:t xml:space="preserve"> </w:t>
      </w:r>
      <w:r>
        <w:rPr>
          <w:i/>
          <w:iCs/>
        </w:rPr>
        <w:t xml:space="preserve">Categorical Foundations of Gradient-Based Learning</w:t>
      </w:r>
      <w:r>
        <w:t xml:space="preserve">. arXiv:2103.01931.</w:t>
      </w:r>
    </w:p>
    <w:p>
      <w:pPr>
        <w:pStyle w:val="Compact"/>
        <w:numPr>
          <w:ilvl w:val="0"/>
          <w:numId w:val="1001"/>
        </w:numPr>
      </w:pPr>
      <w:r>
        <w:t xml:space="preserve">Gavranović et al. (2024).</w:t>
      </w:r>
      <w:r>
        <w:t xml:space="preserve"> </w:t>
      </w:r>
      <w:r>
        <w:rPr>
          <w:i/>
          <w:iCs/>
        </w:rPr>
        <w:t xml:space="preserve">Categorical Deep Learning is an Algebraic Theory of All Architectures</w:t>
      </w:r>
      <w:r>
        <w:t xml:space="preserve">. ICML.</w:t>
      </w:r>
    </w:p>
    <w:p>
      <w:pPr>
        <w:pStyle w:val="Compact"/>
        <w:numPr>
          <w:ilvl w:val="0"/>
          <w:numId w:val="1001"/>
        </w:numPr>
      </w:pPr>
      <w:r>
        <w:t xml:space="preserve">Helfrich et al. (2017).</w:t>
      </w:r>
      <w:r>
        <w:t xml:space="preserve"> </w:t>
      </w:r>
      <w:r>
        <w:rPr>
          <w:i/>
          <w:iCs/>
        </w:rPr>
        <w:t xml:space="preserve">Orthogonal Recurrent Neural Networks with Scaled Cayley Transform</w:t>
      </w:r>
      <w:r>
        <w:t xml:space="preserve">. ICML.</w:t>
      </w:r>
    </w:p>
    <w:p>
      <w:pPr>
        <w:pStyle w:val="Compact"/>
        <w:numPr>
          <w:ilvl w:val="0"/>
          <w:numId w:val="1001"/>
        </w:numPr>
      </w:pPr>
      <w:r>
        <w:t xml:space="preserve">Huh et al. (2024).</w:t>
      </w:r>
      <w:r>
        <w:t xml:space="preserve"> </w:t>
      </w:r>
      <w:r>
        <w:rPr>
          <w:i/>
          <w:iCs/>
        </w:rPr>
        <w:t xml:space="preserve">The Platonic Representation Hypothesis</w:t>
      </w:r>
      <w:r>
        <w:t xml:space="preserve">. ICML.</w:t>
      </w:r>
    </w:p>
    <w:p>
      <w:pPr>
        <w:pStyle w:val="Compact"/>
        <w:numPr>
          <w:ilvl w:val="0"/>
          <w:numId w:val="1001"/>
        </w:numPr>
      </w:pPr>
      <w:r>
        <w:t xml:space="preserve">Jha &amp; Zhang (2025).</w:t>
      </w:r>
      <w:r>
        <w:t xml:space="preserve"> </w:t>
      </w:r>
      <w:r>
        <w:rPr>
          <w:i/>
          <w:iCs/>
        </w:rPr>
        <w:t xml:space="preserve">Harnessing the Universal Geometry of Embeddings</w:t>
      </w:r>
      <w:r>
        <w:t xml:space="preserve">. arXiv:2505.12540.</w:t>
      </w:r>
    </w:p>
    <w:p>
      <w:pPr>
        <w:pStyle w:val="Compact"/>
        <w:numPr>
          <w:ilvl w:val="0"/>
          <w:numId w:val="1001"/>
        </w:numPr>
      </w:pPr>
      <w:r>
        <w:t xml:space="preserve">Moschella et al. (2023).</w:t>
      </w:r>
      <w:r>
        <w:t xml:space="preserve"> </w:t>
      </w:r>
      <w:r>
        <w:rPr>
          <w:i/>
          <w:iCs/>
        </w:rPr>
        <w:t xml:space="preserve">Relative Representations</w:t>
      </w:r>
      <w:r>
        <w:t xml:space="preserve">. ICLR.</w:t>
      </w:r>
    </w:p>
    <w:p>
      <w:pPr>
        <w:pStyle w:val="Compact"/>
        <w:numPr>
          <w:ilvl w:val="0"/>
          <w:numId w:val="1001"/>
        </w:numPr>
      </w:pPr>
      <w:r>
        <w:t xml:space="preserve">Oseledets, I. V. (2011).</w:t>
      </w:r>
      <w:r>
        <w:t xml:space="preserve"> </w:t>
      </w:r>
      <w:r>
        <w:rPr>
          <w:i/>
          <w:iCs/>
        </w:rPr>
        <w:t xml:space="preserve">Tensor-Train Decomposition</w:t>
      </w:r>
      <w:r>
        <w:t xml:space="preserve">. SIAM Journal on Scientific Computing.</w:t>
      </w:r>
    </w:p>
    <w:p>
      <w:pPr>
        <w:pStyle w:val="Compact"/>
        <w:numPr>
          <w:ilvl w:val="0"/>
          <w:numId w:val="1001"/>
        </w:numPr>
      </w:pPr>
      <w:r>
        <w:t xml:space="preserve">Winston, E. &amp; Kolter, J.Z. (2020).</w:t>
      </w:r>
      <w:r>
        <w:t xml:space="preserve"> </w:t>
      </w:r>
      <w:r>
        <w:rPr>
          <w:i/>
          <w:iCs/>
        </w:rPr>
        <w:t xml:space="preserve">Monotone Operator Equilibrium Networks</w:t>
      </w:r>
      <w:r>
        <w:t xml:space="preserve">. NeurIPS.</w:t>
      </w:r>
    </w:p>
    <w:p>
      <w:r>
        <w:pict>
          <v:rect style="width:0;height:1.5pt" o:hralign="center" o:hrstd="t" o:hr="t"/>
        </w:pict>
      </w:r>
    </w:p>
    <w:bookmarkEnd w:id="30"/>
    <w:bookmarkStart w:id="31" w:name="X3c652896da2927b4923f26649883ac6c8767c81"/>
    <w:p>
      <w:pPr>
        <w:pStyle w:val="Heading2"/>
      </w:pPr>
      <w:r>
        <w:t xml:space="preserve">Appendix A: Mathematical Fortification (The</w:t>
      </w:r>
      <w:r>
        <w:t xml:space="preserve"> </w:t>
      </w:r>
      <w:r>
        <w:t xml:space="preserve">“Reviewer 2”</w:t>
      </w:r>
      <w:r>
        <w:t xml:space="preserve"> </w:t>
      </w:r>
      <w:r>
        <w:t xml:space="preserve">Process)</w:t>
      </w:r>
    </w:p>
    <w:p>
      <w:pPr>
        <w:pStyle w:val="FirstParagraph"/>
      </w:pPr>
      <w:r>
        <w:t xml:space="preserve">It is imperative to document for the scientific community that the early topological speculations of this architecture (iterations prior to V9) contained critical gaps in formal algebraic rigor, which were subjected to an intense iterative refinement process to strengthen the theoretical foundation . Specifically, this process identified and rectified:</w:t>
      </w:r>
      <w:r>
        <w:t xml:space="preserve"> </w:t>
      </w:r>
      <w:r>
        <w:t xml:space="preserve">*</w:t>
      </w:r>
      <w:r>
        <w:t xml:space="preserve"> </w:t>
      </w:r>
      <w:r>
        <w:rPr>
          <w:b/>
          <w:bCs/>
        </w:rPr>
        <w:t xml:space="preserve">Poset Choice (Covariance):</w:t>
      </w:r>
      <w:r>
        <w:t xml:space="preserve"> </w:t>
      </w:r>
      <w:r>
        <w:t xml:space="preserve">The initial characterization of cellular sheaves as contravariant was updated by formally demonstrating their natural covariance over the face poset of the network’s complex, which represents a specific and necessary</w:t>
      </w:r>
      <w:r>
        <w:t xml:space="preserve"> </w:t>
      </w:r>
      <w:r>
        <w:rPr>
          <w:b/>
          <w:bCs/>
        </w:rPr>
        <w:t xml:space="preserve">adapted notion</w:t>
      </w:r>
      <w:r>
        <w:t xml:space="preserve"> </w:t>
      </w:r>
      <w:r>
        <w:t xml:space="preserve">over the standard contravariance on open set posets from classical literature.</w:t>
      </w:r>
      <w:r>
        <w:t xml:space="preserve"> </w:t>
      </w:r>
      <w:r>
        <w:t xml:space="preserve">*</w:t>
      </w:r>
      <w:r>
        <w:t xml:space="preserve"> </w:t>
      </w:r>
      <w:r>
        <w:rPr>
          <w:b/>
          <w:bCs/>
        </w:rPr>
        <w:t xml:space="preserve">Cohomological Alignment:</w:t>
      </w:r>
      <w:r>
        <w:t xml:space="preserve"> </w:t>
      </w:r>
      <w:r>
        <w:t xml:space="preserve">The inappropriate use of Homology (and the boundary operator</w:t>
      </w:r>
      <w:r>
        <w:t xml:space="preserve"> </w:t>
      </w:r>
      <m:oMath>
        <m:r>
          <m:rPr>
            <m:sty m:val="p"/>
          </m:rPr>
          <m:t>∂</m:t>
        </m:r>
      </m:oMath>
      <w:r>
        <w:t xml:space="preserve">) was purged in favor of Cohomology (and the coboundary operator</w:t>
      </w:r>
      <w:r>
        <w:t xml:space="preserve"> </w:t>
      </w:r>
      <m:oMath>
        <m:r>
          <m:t>d</m:t>
        </m:r>
      </m:oMath>
      <w:r>
        <w:t xml:space="preserve">), establishing the Hodge Laplacian in dimension 0 as the sole admissible harmonic regulator for measuring consensus, isolating obstructions in</w:t>
      </w:r>
      <w:r>
        <w:t xml:space="preserve"> </w:t>
      </w:r>
      <m:oMath>
        <m:sSup>
          <m:e>
            <m:r>
              <m:t>H</m:t>
            </m:r>
          </m:e>
          <m:sup>
            <m:r>
              <m:t>1</m:t>
            </m:r>
          </m:sup>
        </m:sSup>
      </m:oMath>
      <w:r>
        <w:t xml:space="preserve">.</w:t>
      </w:r>
      <w:r>
        <w:t xml:space="preserve"> </w:t>
      </w:r>
      <w:r>
        <w:t xml:space="preserve">*</w:t>
      </w:r>
      <w:r>
        <w:t xml:space="preserve"> </w:t>
      </w:r>
      <w:r>
        <w:rPr>
          <w:b/>
          <w:bCs/>
        </w:rPr>
        <w:t xml:space="preserve">Cayley Protection and BF16 Drift:</w:t>
      </w:r>
      <w:r>
        <w:t xml:space="preserve"> </w:t>
      </w:r>
      <w:r>
        <w:t xml:space="preserve">The strict empirical projection to the Lie algebra</w:t>
      </w:r>
      <w:r>
        <w:t xml:space="preserve"> </w:t>
      </w:r>
      <m:oMath>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in the forward pass was formally justified to significantly mitigate accumulated</w:t>
      </w:r>
      <w:r>
        <w:t xml:space="preserve"> </w:t>
      </w:r>
      <w:r>
        <w:rPr>
          <w:i/>
          <w:iCs/>
        </w:rPr>
        <w:t xml:space="preserve">floating point drift</w:t>
      </w:r>
      <w:r>
        <w:t xml:space="preserve"> </w:t>
      </w:r>
      <w:r>
        <w:t xml:space="preserve">in Bfloat16, guaranteeing that the algebraic core of Woodbury does not collapse numerically.</w:t>
      </w:r>
    </w:p>
    <w:p>
      <w:pPr>
        <w:pStyle w:val="BodyText"/>
      </w:pPr>
      <w:r>
        <w:t xml:space="preserve">These iterative refinements served to strengthen the theoretical foundation of POLYDIM-CLA prior to formal peer review. Executable empirical simulation codes (including</w:t>
      </w:r>
      <w:r>
        <w:t xml:space="preserve"> </w:t>
      </w:r>
      <w:r>
        <w:rPr>
          <w:rStyle w:val="VerbatimChar"/>
        </w:rPr>
        <w:t xml:space="preserve">sheaf_covariance_proof.py</w:t>
      </w:r>
      <w:r>
        <w:t xml:space="preserve"> </w:t>
      </w:r>
      <w:r>
        <w:t xml:space="preserve">and</w:t>
      </w:r>
      <w:r>
        <w:t xml:space="preserve"> </w:t>
      </w:r>
      <w:r>
        <w:rPr>
          <w:rStyle w:val="VerbatimChar"/>
        </w:rPr>
        <w:t xml:space="preserve">cayley_woodbury_proof.py</w:t>
      </w:r>
      <w:r>
        <w:t xml:space="preserve">) are publicly available for review at:</w:t>
      </w:r>
      <w:r>
        <w:t xml:space="preserve"> </w:t>
      </w:r>
      <w:hyperlink r:id="rId20">
        <w:r>
          <w:rPr>
            <w:rStyle w:val="Hyperlink"/>
          </w:rPr>
          <w:t xml:space="preserve">[URL OMITTED FOR BLIND REVIEW]</w:t>
        </w:r>
      </w:hyperlink>
      <w:r>
        <w:t xml:space="preserve">.</w:t>
      </w:r>
    </w:p>
    <w:p>
      <w:r>
        <w:pict>
          <v:rect style="width:0;height:1.5pt" o:hralign="center" o:hrstd="t" o:hr="t"/>
        </w:pict>
      </w:r>
    </w:p>
    <w:bookmarkEnd w:id="31"/>
    <w:bookmarkStart w:id="32" w:name="Xfca66edb0f1e2aa2b7b575d3b70b4ad913efcae"/>
    <w:p>
      <w:pPr>
        <w:pStyle w:val="Heading2"/>
      </w:pPr>
      <w:r>
        <w:t xml:space="preserve">Appendix B: Proof Sketch for Proposition 1</w:t>
      </w:r>
    </w:p>
    <w:p>
      <w:pPr>
        <w:pStyle w:val="FirstParagraph"/>
      </w:pPr>
      <w:r>
        <w:rPr>
          <w:b/>
          <w:bCs/>
        </w:rPr>
        <w:t xml:space="preserve">Proof Sketch (Semantic Convergence in</w:t>
      </w:r>
      <w:r>
        <w:rPr>
          <w:b/>
          <w:bCs/>
        </w:rPr>
        <w:t xml:space="preserve"> </w:t>
      </w:r>
      <m:oMath>
        <m:r>
          <m:t>O</m:t>
        </m:r>
        <m:r>
          <m:rPr>
            <m:sty m:val="p"/>
          </m:rPr>
          <m:t>(</m:t>
        </m:r>
        <m:r>
          <m:t>N</m:t>
        </m:r>
        <m:sSup>
          <m:e>
            <m:r>
              <m:t>K</m:t>
            </m:r>
          </m:e>
          <m:sup>
            <m:r>
              <m:t>2</m:t>
            </m:r>
          </m:sup>
        </m:sSup>
        <m:r>
          <m:rPr>
            <m:sty m:val="p"/>
          </m:rPr>
          <m:t>)</m:t>
        </m:r>
      </m:oMath>
      <w:r>
        <w:rPr>
          <w:b/>
          <w:bCs/>
        </w:rPr>
        <w:t xml:space="preserve">):</w:t>
      </w:r>
    </w:p>
    <w:p>
      <w:pPr>
        <w:pStyle w:val="Compact"/>
        <w:numPr>
          <w:ilvl w:val="0"/>
          <w:numId w:val="1002"/>
        </w:numPr>
      </w:pPr>
      <w:r>
        <w:rPr>
          <w:b/>
          <w:bCs/>
        </w:rPr>
        <w:t xml:space="preserve">Mapping to the Stiefel Manifold:</w:t>
      </w:r>
      <w:r>
        <w:t xml:space="preserve"> </w:t>
      </w:r>
      <w:r>
        <w:t xml:space="preserve">The agent latents</w:t>
      </w:r>
      <w:r>
        <w:t xml:space="preserve"> </w:t>
      </w:r>
      <m:oMath>
        <m:sSub>
          <m:e>
            <m:r>
              <m:t>X</m:t>
            </m:r>
          </m:e>
          <m:sub>
            <m:r>
              <m:t>i</m:t>
            </m:r>
          </m:sub>
        </m:sSub>
        <m:r>
          <m:rPr>
            <m:sty m:val="p"/>
          </m:rPr>
          <m:t>,</m:t>
        </m:r>
        <m:sSub>
          <m:e>
            <m:r>
              <m:t>X</m:t>
            </m:r>
          </m:e>
          <m:sub>
            <m:r>
              <m:t>j</m:t>
            </m:r>
          </m:sub>
        </m:sSub>
        <m:r>
          <m:rPr>
            <m:sty m:val="p"/>
          </m:rPr>
          <m:t>∈</m:t>
        </m:r>
        <m:sSup>
          <m:e>
            <m:r>
              <m:rPr>
                <m:scr m:val="double-struck"/>
                <m:sty m:val="p"/>
              </m:rPr>
              <m:t>R</m:t>
            </m:r>
          </m:e>
          <m:sup>
            <m:r>
              <m:t>N</m:t>
            </m:r>
            <m:r>
              <m:rPr>
                <m:sty m:val="p"/>
              </m:rPr>
              <m:t>×</m:t>
            </m:r>
            <m:r>
              <m:t>D</m:t>
            </m:r>
          </m:sup>
        </m:sSup>
      </m:oMath>
      <w:r>
        <w:t xml:space="preserve"> </w:t>
      </w:r>
      <w:r>
        <w:t xml:space="preserve">map to their feature spaces. The cross-covariance matrix</w:t>
      </w:r>
      <w:r>
        <w:t xml:space="preserve"> </w:t>
      </w:r>
      <m:oMath>
        <m:r>
          <m:t>V</m:t>
        </m:r>
        <m:r>
          <m:rPr>
            <m:sty m:val="p"/>
          </m:rPr>
          <m:t>=</m:t>
        </m:r>
        <m:sSubSup>
          <m:e>
            <m:r>
              <m:t>X</m:t>
            </m:r>
          </m:e>
          <m:sub>
            <m:r>
              <m:t>j</m:t>
            </m:r>
          </m:sub>
          <m:sup>
            <m:r>
              <m:t>T</m:t>
            </m:r>
          </m:sup>
        </m:sSubSup>
        <m:sSub>
          <m:e>
            <m:r>
              <m:t>X</m:t>
            </m:r>
          </m:e>
          <m:sub>
            <m:r>
              <m:t>i</m:t>
            </m:r>
          </m:sub>
        </m:sSub>
        <m:r>
          <m:rPr>
            <m:sty m:val="p"/>
          </m:rPr>
          <m:t>∈</m:t>
        </m:r>
        <m:sSup>
          <m:e>
            <m:r>
              <m:rPr>
                <m:scr m:val="double-struck"/>
                <m:sty m:val="p"/>
              </m:rPr>
              <m:t>R</m:t>
            </m:r>
          </m:e>
          <m:sup>
            <m:r>
              <m:t>D</m:t>
            </m:r>
            <m:r>
              <m:rPr>
                <m:sty m:val="p"/>
              </m:rPr>
              <m:t>×</m:t>
            </m:r>
            <m:r>
              <m:t>D</m:t>
            </m:r>
          </m:sup>
        </m:sSup>
      </m:oMath>
      <w:r>
        <w:t xml:space="preserve"> </w:t>
      </w:r>
      <w:r>
        <w:t xml:space="preserve">encodes the target alignment across the feature dimension. We project the skew-symmetric generator</w:t>
      </w:r>
      <w:r>
        <w:t xml:space="preserve"> </w:t>
      </w:r>
      <m:oMath>
        <m:r>
          <m:t>S</m:t>
        </m:r>
        <m:r>
          <m:rPr>
            <m:sty m:val="p"/>
          </m:rPr>
          <m:t>=</m:t>
        </m:r>
        <m:f>
          <m:fPr>
            <m:type m:val="bar"/>
          </m:fPr>
          <m:num>
            <m:r>
              <m:t>1</m:t>
            </m:r>
          </m:num>
          <m:den>
            <m:r>
              <m:t>2</m:t>
            </m:r>
          </m:den>
        </m:f>
        <m:r>
          <m:rPr>
            <m:sty m:val="p"/>
          </m:rPr>
          <m:t>(</m:t>
        </m:r>
        <m:r>
          <m:t>V</m:t>
        </m:r>
        <m:r>
          <m:rPr>
            <m:sty m:val="p"/>
          </m:rPr>
          <m:t>−</m:t>
        </m:r>
        <m:sSup>
          <m:e>
            <m:r>
              <m:t>V</m:t>
            </m:r>
          </m:e>
          <m:sup>
            <m:r>
              <m:t>T</m:t>
            </m:r>
          </m:sup>
        </m:sSup>
        <m:r>
          <m:rPr>
            <m:sty m:val="p"/>
          </m:rPr>
          <m:t>)</m:t>
        </m:r>
      </m:oMath>
      <w:r>
        <w:t xml:space="preserve"> </w:t>
      </w:r>
      <w:r>
        <w:t xml:space="preserve">onto the Lie algebra</w:t>
      </w:r>
      <w:r>
        <w:t xml:space="preserve"> </w:t>
      </w:r>
      <m:oMath>
        <m:r>
          <m:rPr>
            <m:scr m:val="fraktur"/>
            <m:sty m:val="p"/>
          </m:rPr>
          <m:t>s</m:t>
        </m:r>
        <m:r>
          <m:rPr>
            <m:scr m:val="fraktur"/>
            <m:sty m:val="p"/>
          </m:rPr>
          <m:t>o</m:t>
        </m:r>
        <m:r>
          <m:rPr>
            <m:sty m:val="p"/>
          </m:rPr>
          <m:t>(</m:t>
        </m:r>
        <m:r>
          <m:t>D</m:t>
        </m:r>
        <m:r>
          <m:rPr>
            <m:sty m:val="p"/>
          </m:rPr>
          <m:t>)</m:t>
        </m:r>
      </m:oMath>
      <w:r>
        <w:t xml:space="preserve">.</w:t>
      </w:r>
    </w:p>
    <w:p>
      <w:pPr>
        <w:pStyle w:val="Compact"/>
        <w:numPr>
          <w:ilvl w:val="0"/>
          <w:numId w:val="1002"/>
        </w:numPr>
      </w:pPr>
      <w:r>
        <w:rPr>
          <w:b/>
          <w:bCs/>
        </w:rPr>
        <w:t xml:space="preserve">Bounded Rank:</w:t>
      </w:r>
      <w:r>
        <w:t xml:space="preserve"> </w:t>
      </w:r>
      <w:r>
        <w:t xml:space="preserve">By hypothesis, meaningful semantic interactions inhabit a low-dimensional latent subspace</w:t>
      </w:r>
      <w:r>
        <w:t xml:space="preserve"> </w:t>
      </w:r>
      <m:oMath>
        <m:r>
          <m:t>K</m:t>
        </m:r>
        <m:r>
          <m:rPr>
            <m:sty m:val="p"/>
          </m:rPr>
          <m:t>≪</m:t>
        </m:r>
        <m:r>
          <m:t>D</m:t>
        </m:r>
      </m:oMath>
      <w:r>
        <w:t xml:space="preserve">. Consequently,</w:t>
      </w:r>
      <w:r>
        <w:t xml:space="preserve"> </w:t>
      </w:r>
      <m:oMath>
        <m:r>
          <m:t>V</m:t>
        </m:r>
      </m:oMath>
      <w:r>
        <w:t xml:space="preserve"> </w:t>
      </w:r>
      <w:r>
        <w:t xml:space="preserve">and</w:t>
      </w:r>
      <w:r>
        <w:t xml:space="preserve"> </w:t>
      </w:r>
      <m:oMath>
        <m:r>
          <m:t>S</m:t>
        </m:r>
      </m:oMath>
      <w:r>
        <w:t xml:space="preserve"> </w:t>
      </w:r>
      <w:r>
        <w:t xml:space="preserve">can be factored with rank at most</w:t>
      </w:r>
      <w:r>
        <w:t xml:space="preserve"> </w:t>
      </w:r>
      <m:oMath>
        <m:r>
          <m:t>2</m:t>
        </m:r>
        <m:r>
          <m:t>K</m:t>
        </m:r>
      </m:oMath>
      <w:r>
        <w:t xml:space="preserve">. We express the generator as</w:t>
      </w:r>
      <w:r>
        <w:t xml:space="preserve"> </w:t>
      </w:r>
      <m:oMath>
        <m:r>
          <m:t>S</m:t>
        </m:r>
        <m:r>
          <m:rPr>
            <m:sty m:val="p"/>
          </m:rPr>
          <m:t>=</m:t>
        </m:r>
        <m:r>
          <m:t>U</m:t>
        </m:r>
        <m:sSup>
          <m:e>
            <m:r>
              <m:t>V</m:t>
            </m:r>
          </m:e>
          <m:sup>
            <m:r>
              <m:t>T</m:t>
            </m:r>
          </m:sup>
        </m:sSup>
        <m:r>
          <m:rPr>
            <m:sty m:val="p"/>
          </m:rPr>
          <m:t>−</m:t>
        </m:r>
        <m:r>
          <m:t>V</m:t>
        </m:r>
        <m:sSup>
          <m:e>
            <m:r>
              <m:t>U</m:t>
            </m:r>
          </m:e>
          <m:sup>
            <m:r>
              <m:t>T</m:t>
            </m:r>
          </m:sup>
        </m:sSup>
      </m:oMath>
      <w:r>
        <w:t xml:space="preserve">.</w:t>
      </w:r>
    </w:p>
    <w:p>
      <w:pPr>
        <w:pStyle w:val="Compact"/>
        <w:numPr>
          <w:ilvl w:val="0"/>
          <w:numId w:val="1002"/>
        </w:numPr>
      </w:pPr>
      <w:r>
        <w:rPr>
          <w:b/>
          <w:bCs/>
        </w:rPr>
        <w:t xml:space="preserve">Exact Algebraic Inversion:</w:t>
      </w:r>
      <w:r>
        <w:t xml:space="preserve"> </w:t>
      </w:r>
      <w:r>
        <w:t xml:space="preserve">The mapping to the Lie group</w:t>
      </w:r>
      <w:r>
        <w:t xml:space="preserve"> </w:t>
      </w:r>
      <m:oMath>
        <m:r>
          <m:t>S</m:t>
        </m:r>
        <m:r>
          <m:t>O</m:t>
        </m:r>
        <m:r>
          <m:rPr>
            <m:sty m:val="p"/>
          </m:rPr>
          <m:t>(</m:t>
        </m:r>
        <m:r>
          <m:t>D</m:t>
        </m:r>
        <m:r>
          <m:rPr>
            <m:sty m:val="p"/>
          </m:rPr>
          <m:t>)</m:t>
        </m:r>
      </m:oMath>
      <w:r>
        <w:t xml:space="preserve"> </w:t>
      </w:r>
      <w:r>
        <w:t xml:space="preserve">is achieved via the 1st-order Padé approximant (Cayley Transform):</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As demonstrated in Section 4, by applying the Woodbury Matrix Identity, the term</w:t>
      </w:r>
      <w:r>
        <w:t xml:space="preserve"> </w:t>
      </w:r>
      <m:oMath>
        <m:r>
          <m:rPr>
            <m:sty m:val="p"/>
          </m:rPr>
          <m:t>(</m:t>
        </m:r>
        <m:r>
          <m:t>I</m:t>
        </m:r>
        <m:r>
          <m:rPr>
            <m:sty m:val="p"/>
          </m:rPr>
          <m:t>+</m:t>
        </m:r>
        <m:r>
          <m:t>S</m:t>
        </m:r>
        <m:sSup>
          <m:e>
            <m:r>
              <m:rPr>
                <m:sty m:val="p"/>
              </m:rPr>
              <m:t>)</m:t>
            </m:r>
          </m:e>
          <m:sup>
            <m:r>
              <m:rPr>
                <m:sty m:val="p"/>
              </m:rPr>
              <m:t>−</m:t>
            </m:r>
            <m:r>
              <m:t>1</m:t>
            </m:r>
          </m:sup>
        </m:sSup>
      </m:oMath>
      <w:r>
        <w:t xml:space="preserve"> </w:t>
      </w:r>
      <w:r>
        <w:t xml:space="preserve">is rewritten, reducing the inversion to a</w:t>
      </w:r>
      <w:r>
        <w:t xml:space="preserve"> </w:t>
      </w:r>
      <m:oMath>
        <m:r>
          <m:t>2</m:t>
        </m:r>
        <m:r>
          <m:t>K</m:t>
        </m:r>
        <m:r>
          <m:rPr>
            <m:sty m:val="p"/>
          </m:rPr>
          <m:t>×</m:t>
        </m:r>
        <m:r>
          <m:t>2</m:t>
        </m:r>
        <m:r>
          <m:t>K</m:t>
        </m:r>
      </m:oMath>
      <w:r>
        <w:t xml:space="preserve"> </w:t>
      </w:r>
      <w:r>
        <w:t xml:space="preserve">block size. The error of the Padé approximation is bounded by</w:t>
      </w:r>
      <w:r>
        <w:t xml:space="preserve"> </w:t>
      </w:r>
      <m:oMath>
        <m:r>
          <m:t>O</m:t>
        </m:r>
        <m:r>
          <m:rPr>
            <m:sty m:val="p"/>
          </m:rPr>
          <m:t>(</m:t>
        </m:r>
        <m:r>
          <m:rPr>
            <m:sty m:val="p"/>
          </m:rPr>
          <m:t>∥</m:t>
        </m:r>
        <m:r>
          <m:t>S</m:t>
        </m:r>
        <m:sSup>
          <m:e>
            <m:r>
              <m:rPr>
                <m:sty m:val="p"/>
              </m:rPr>
              <m:t>∥</m:t>
            </m:r>
          </m:e>
          <m:sup>
            <m:r>
              <m:t>3</m:t>
            </m:r>
          </m:sup>
        </m:sSup>
        <m:r>
          <m:rPr>
            <m:sty m:val="p"/>
          </m:rPr>
          <m:t>)</m:t>
        </m:r>
      </m:oMath>
      <w:r>
        <w:t xml:space="preserve">, which is negligible for low-rank updates where</w:t>
      </w:r>
      <w:r>
        <w:t xml:space="preserve"> </w:t>
      </w:r>
      <m:oMath>
        <m:r>
          <m:rPr>
            <m:sty m:val="p"/>
          </m:rPr>
          <m:t>∥</m:t>
        </m:r>
        <m:r>
          <m:t>S</m:t>
        </m:r>
        <m:r>
          <m:rPr>
            <m:sty m:val="p"/>
          </m:rPr>
          <m:t>∥</m:t>
        </m:r>
        <m:r>
          <m:rPr>
            <m:sty m:val="p"/>
          </m:rPr>
          <m:t>=</m:t>
        </m:r>
        <m:r>
          <m:t>O</m:t>
        </m:r>
        <m:r>
          <m:rPr>
            <m:sty m:val="p"/>
          </m:rPr>
          <m:t>(</m:t>
        </m:r>
        <m:r>
          <m:t>K</m:t>
        </m:r>
        <m:r>
          <m:rPr>
            <m:sty m:val="p"/>
          </m:rPr>
          <m:t>/</m:t>
        </m:r>
        <m:r>
          <m:t>D</m:t>
        </m:r>
        <m:r>
          <m:rPr>
            <m:sty m:val="p"/>
          </m:rPr>
          <m:t>)</m:t>
        </m:r>
      </m:oMath>
      <w:r>
        <w:t xml:space="preserve">.</w:t>
      </w:r>
    </w:p>
    <w:p>
      <w:pPr>
        <w:pStyle w:val="Compact"/>
        <w:numPr>
          <w:ilvl w:val="0"/>
          <w:numId w:val="1002"/>
        </w:numPr>
      </w:pPr>
      <w:r>
        <w:rPr>
          <w:b/>
          <w:bCs/>
        </w:rPr>
        <w:t xml:space="preserve">Asymptotic Complexity:</w:t>
      </w:r>
      <w:r>
        <w:t xml:space="preserve"> </w:t>
      </w:r>
      <w:r>
        <w:t xml:space="preserve">The computation of the inversion core</w:t>
      </w:r>
      <w:r>
        <w:t xml:space="preserve"> </w:t>
      </w:r>
      <m:oMath>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oMath>
      <w:r>
        <w:t xml:space="preserve"> </w:t>
      </w:r>
      <w:r>
        <w:t xml:space="preserve">demands</w:t>
      </w:r>
      <w:r>
        <w:t xml:space="preserve"> </w:t>
      </w:r>
      <m:oMath>
        <m:r>
          <m:t>O</m:t>
        </m:r>
        <m:r>
          <m:rPr>
            <m:sty m:val="p"/>
          </m:rPr>
          <m:t>(</m:t>
        </m:r>
        <m:sSup>
          <m:e>
            <m:r>
              <m:t>K</m:t>
            </m:r>
          </m:e>
          <m:sup>
            <m:r>
              <m:t>3</m:t>
            </m:r>
          </m:sup>
        </m:sSup>
        <m:r>
          <m:rPr>
            <m:sty m:val="p"/>
          </m:rPr>
          <m:t>)</m:t>
        </m:r>
      </m:oMath>
      <w:r>
        <w:t xml:space="preserve"> </w:t>
      </w:r>
      <w:r>
        <w:t xml:space="preserve">operations. Matrix multiplications to assemble the complete step demand</w:t>
      </w:r>
      <w:r>
        <w:t xml:space="preserve"> </w:t>
      </w:r>
      <m:oMath>
        <m:r>
          <m:t>O</m:t>
        </m:r>
        <m:r>
          <m:rPr>
            <m:sty m:val="p"/>
          </m:rPr>
          <m:t>(</m:t>
        </m:r>
        <m:r>
          <m:t>D</m:t>
        </m:r>
        <m:sSup>
          <m:e>
            <m:r>
              <m:t>K</m:t>
            </m:r>
          </m:e>
          <m:sup>
            <m:r>
              <m:t>2</m:t>
            </m:r>
          </m:sup>
        </m:sSup>
        <m:r>
          <m:rPr>
            <m:sty m:val="p"/>
          </m:rPr>
          <m:t>)</m:t>
        </m:r>
      </m:oMath>
      <w:r>
        <w:t xml:space="preserve">. Since gradient descent is replaced by the analytic construction of</w:t>
      </w:r>
      <w:r>
        <w:t xml:space="preserve"> </w:t>
      </w:r>
      <m:oMath>
        <m:r>
          <m:t>Q</m:t>
        </m:r>
      </m:oMath>
      <w:r>
        <w:t xml:space="preserve">, an orthogonal alignment step is achieved strictly in</w:t>
      </w:r>
      <w:r>
        <w:t xml:space="preserve"> </w:t>
      </w:r>
      <m:oMath>
        <m:r>
          <m:t>O</m:t>
        </m:r>
        <m:r>
          <m:rPr>
            <m:sty m:val="p"/>
          </m:rPr>
          <m:t>(</m:t>
        </m:r>
        <m:r>
          <m:t>D</m:t>
        </m:r>
        <m:sSup>
          <m:e>
            <m:r>
              <m:t>K</m:t>
            </m:r>
          </m:e>
          <m:sup>
            <m:r>
              <m:t>2</m:t>
            </m:r>
          </m:sup>
        </m:sSup>
        <m:r>
          <m:rPr>
            <m:sty m:val="p"/>
          </m:rPr>
          <m:t>)</m:t>
        </m:r>
      </m:oMath>
      <w:r>
        <w:t xml:space="preserve"> </w:t>
      </w:r>
      <w:r>
        <w:t xml:space="preserve">operations, guaranteeing monotonic strict isometry preservation without optimization divergence.</w:t>
      </w:r>
      <w:r>
        <w:t xml:space="preserve"> </w:t>
      </w:r>
      <m:oMath>
        <m:r>
          <m:rPr>
            <m:sty m:val="p"/>
          </m:rPr>
          <m:t>◼</m:t>
        </m:r>
      </m:oMath>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Under this formalism, the neural network is a strict functor within the 2-category</w:t>
      </w:r>
      <w:r>
        <w:t xml:space="preserve"> </w:t>
      </w:r>
      <m:oMath>
        <m:r>
          <m:rPr>
            <m:sty m:val="bi"/>
          </m:rPr>
          <m:t>P</m:t>
        </m:r>
        <m:r>
          <m:rPr>
            <m:sty m:val="bi"/>
          </m:rPr>
          <m:t>a</m:t>
        </m:r>
        <m:r>
          <m:rPr>
            <m:sty m:val="bi"/>
          </m:rPr>
          <m:t>r</m:t>
        </m:r>
        <m:r>
          <m:rPr>
            <m:sty m:val="bi"/>
          </m:rPr>
          <m:t>a</m:t>
        </m:r>
      </m:oMath>
      <w:r>
        <w:t xml:space="preserve">. Optimization and semantic projection cease to be heuristic weight adjustments, but are instead understood as the rigorous structural composition of parametric lenses.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5BURL%20OMITTED%20FOR%20BLIND%20REVIEW%5D" TargetMode="External" /></Relationships>
</file>

<file path=word/_rels/footnotes.xml.rels><?xml version="1.0" encoding="UTF-8"?><Relationships xmlns="http://schemas.openxmlformats.org/package/2006/relationships"><Relationship Type="http://schemas.openxmlformats.org/officeDocument/2006/relationships/hyperlink" Id="rId20" Target="%5BURL%20OMITTED%20FOR%20BLIND%20REVIEW%5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2026-07-09T18:00:06Z</dcterms:created>
  <dcterms:modified xsi:type="dcterms:W3CDTF">2026-07-09T18:00:06Z</dcterms:modified>
</cp:coreProperties>
</file>

<file path=docProps/custom.xml><?xml version="1.0" encoding="utf-8"?>
<Properties xmlns="http://schemas.openxmlformats.org/officeDocument/2006/custom-properties" xmlns:vt="http://schemas.openxmlformats.org/officeDocument/2006/docPropsVTypes"/>
</file>