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ae03546006f6da6377c05434d9508aec6b9908"/>
    <w:p>
      <w:pPr>
        <w:pStyle w:val="Heading1"/>
      </w:pPr>
      <w:r>
        <w:t xml:space="preserve">POLYDIM-CLA: Staying in High Dimension: Closed-Form Topological Alignment for Latent Multi-Agent Systems</w:t>
      </w:r>
    </w:p>
    <w:p>
      <w:pPr>
        <w:pStyle w:val="FirstParagraph"/>
      </w:pPr>
      <w:r>
        <w:rPr>
          <w:b/>
          <w:bCs/>
        </w:rPr>
        <w:t xml:space="preserve">Versión 13 (Edición Final) – Borrador para POPL / ICLR 2027</w:t>
      </w:r>
    </w:p>
    <w:bookmarkStart w:id="9" w:name="resumen-abstract"/>
    <w:p>
      <w:pPr>
        <w:pStyle w:val="Heading2"/>
      </w:pPr>
      <w:r>
        <w:t xml:space="preserve">Resumen (Abstract)</w:t>
      </w:r>
    </w:p>
    <w:p>
      <w:pPr>
        <w:pStyle w:val="FirstParagraph"/>
      </w:pPr>
      <w:r>
        <w:t xml:space="preserve">Este documento establece los fundamentos matemáticos rigurosos de</w:t>
      </w:r>
      <w:r>
        <w:t xml:space="preserve"> </w:t>
      </w:r>
      <w:r>
        <w:rPr>
          <w:b/>
          <w:bCs/>
        </w:rPr>
        <w:t xml:space="preserve">POLYDIM-CLA</w:t>
      </w:r>
      <w:r>
        <w:t xml:space="preserve"> </w:t>
      </w:r>
      <w:r>
        <w:t xml:space="preserve">(Arquitectura de Lenguaje Categórica). Trascendiendo los paradigmas algorítmicos clásicos y superando las limitaciones de las especulaciones topológicas iniciales, axiomatizamos formalmente los procesos computacionales cuyo comportamiento emerge de la evolución dirigida de representaciones internas. Cerramos la brecha crítica entre las teorías categóricas occidentales y el emergente estado del arte (SOTA) en</w:t>
      </w:r>
      <w:r>
        <w:t xml:space="preserve"> </w:t>
      </w:r>
      <w:r>
        <w:t xml:space="preserve">“Solucionadores Diferenciables de Forma Cerrada”</w:t>
      </w:r>
      <w:r>
        <w:t xml:space="preserve"> </w:t>
      </w:r>
      <w:r>
        <w:t xml:space="preserve">y Redes Equivariantes de Clifford.</w:t>
      </w:r>
    </w:p>
    <w:p>
      <w:pPr>
        <w:pStyle w:val="BodyText"/>
      </w:pPr>
      <w:r>
        <w:t xml:space="preserve">A través de la síntesis del Aprendizaje Profundo Categórico, las Álgebras de Clifford, las Redes Tensoriales (TCI) y el Alineamiento de Gromov-Wasserstein, proponemos una arquitectura parcialmente formalizada con componentes validados empíricamente para Sistemas Multiagente Latentes (LatentMAS). De manera crucial, esta versión introduce una validación empírica y metodológica de la identidad matricial de Woodbury para sortear los cuellos de botella computacionales de</w:t>
      </w:r>
      <w:r>
        <w:t xml:space="preserve"> </w:t>
      </w:r>
      <m:oMath>
        <m:r>
          <m:t>O</m:t>
        </m:r>
        <m:r>
          <m:rPr>
            <m:sty m:val="p"/>
          </m:rPr>
          <m:t>(</m:t>
        </m:r>
        <m:sSup>
          <m:e>
            <m:r>
              <m:t>N</m:t>
            </m:r>
          </m:e>
          <m:sup>
            <m:r>
              <m:t>3</m:t>
            </m:r>
          </m:sup>
        </m:sSup>
        <m:r>
          <m:rPr>
            <m:sty m:val="p"/>
          </m:rPr>
          <m:t>)</m:t>
        </m:r>
      </m:oMath>
      <w:r>
        <w:t xml:space="preserve"> </w:t>
      </w:r>
      <w:r>
        <w:t xml:space="preserve">inherentes a la inversión de matrices densas, demostrando que el alineamiento estructural exacto puede lograrse de forma nativa en hardware moderno de Tensor Cores en un tiempo de</w:t>
      </w:r>
      <w:r>
        <w:t xml:space="preserve"> </w:t>
      </w:r>
      <m:oMath>
        <m:r>
          <m:t>O</m:t>
        </m:r>
        <m:r>
          <m:rPr>
            <m:sty m:val="p"/>
          </m:rPr>
          <m:t>(</m:t>
        </m:r>
        <m:r>
          <m:t>N</m:t>
        </m:r>
        <m:sSup>
          <m:e>
            <m:r>
              <m:t>K</m:t>
            </m:r>
          </m:e>
          <m:sup>
            <m:r>
              <m:t>2</m:t>
            </m:r>
          </m:sup>
        </m:sSup>
        <m:r>
          <m:rPr>
            <m:sty m:val="p"/>
          </m:rPr>
          <m:t>)</m:t>
        </m:r>
      </m:oMath>
      <w:r>
        <w:t xml:space="preserve"> </w:t>
      </w:r>
      <w:r>
        <w:t xml:space="preserve">bajo actualizaciones semánticas de bajo rango.</w:t>
      </w:r>
    </w:p>
    <w:bookmarkEnd w:id="9"/>
    <w:bookmarkStart w:id="10" w:name="X3284e4023da6de2daefee4a77d5b1884a05718a"/>
    <w:p>
      <w:pPr>
        <w:pStyle w:val="Heading2"/>
      </w:pPr>
      <w:r>
        <w:t xml:space="preserve">1. Introducción: De la Imperativa Clásica a la Evolución Topológica</w:t>
      </w:r>
    </w:p>
    <w:p>
      <w:pPr>
        <w:pStyle w:val="FirstParagraph"/>
      </w:pPr>
      <w:r>
        <w:rPr>
          <w:i/>
          <w:iCs/>
        </w:rPr>
        <w:t xml:space="preserve">(Rampa Pedagógica: El Salto Cualitativo en Computación)</w:t>
      </w:r>
    </w:p>
    <w:p>
      <w:pPr>
        <w:pStyle w:val="BodyText"/>
      </w:pPr>
      <w:r>
        <w:t xml:space="preserve">El paradigma clásico de la computación se define fundamentalmente por la ejecución determinista de algoritmos explícitos (</w:t>
      </w:r>
      <m:oMath>
        <m:r>
          <m:rPr>
            <m:nor/>
            <m:sty m:val="p"/>
          </m:rPr>
          <m:t>Programa</m:t>
        </m:r>
        <m:limUpp>
          <m:e>
            <m:r>
              <m:rPr>
                <m:sty m:val="p"/>
              </m:rPr>
              <m:t>→</m:t>
            </m:r>
          </m:e>
          <m:lim>
            <m:r>
              <m:t>​</m:t>
            </m:r>
          </m:lim>
        </m:limUpp>
        <m:r>
          <m:rPr>
            <m:nor/>
            <m:sty m:val="p"/>
          </m:rPr>
          <m:t>Algoritmo</m:t>
        </m:r>
        <m:limUpp>
          <m:e>
            <m:r>
              <m:rPr>
                <m:sty m:val="p"/>
              </m:rPr>
              <m:t>→</m:t>
            </m:r>
          </m:e>
          <m:lim>
            <m:r>
              <m:t>​</m:t>
            </m:r>
          </m:lim>
        </m:limUpp>
        <m:r>
          <m:rPr>
            <m:nor/>
            <m:sty m:val="p"/>
          </m:rPr>
          <m:t>Resultado</m:t>
        </m:r>
      </m:oMath>
      <w:r>
        <w:t xml:space="preserve">). En este enfoque clásico, programar es análogo a dar instrucciones de navegación paso a paso a un conductor ciego: gire a la izquierda, avance cien metros, deténgase.</w:t>
      </w:r>
    </w:p>
    <w:p>
      <w:pPr>
        <w:pStyle w:val="BodyText"/>
      </w:pPr>
      <w:r>
        <w:t xml:space="preserve">Con el auge del Deep Learning y los Grandes Modelos de Lenguaje (LLMs), pasamos a un paradigma estadístico e iterativo. En lugar de dar instrucciones explícitas, ajustamos iterativamente billones de parámetros mediante el Descenso de Gradiente Estocástico (SGD) para minimizar una función de error. Siguiendo la analogía, esto es como entrenar a una mascota mediante aproximaciones de ensayo y error hasta que aprende el camino. Sin embargo, este enfoque adolece de fragilidad estructural: el conocimiento no está garantizado, solo aproximado de manera estadística y local.</w:t>
      </w:r>
    </w:p>
    <w:p>
      <w:pPr>
        <w:pStyle w:val="BodyText"/>
      </w:pPr>
      <w:r>
        <w:t xml:space="preserve">El advenimiento de los sistemas de aprendizaje de representaciones de alto rendimiento hace necesario un profundo cambio epistemológico. La ejecución de un programa ya no debe ser el recorrido de una secuencia imperativa, ni una mera aproximación estadística, sino</w:t>
      </w:r>
      <w:r>
        <w:t xml:space="preserve"> </w:t>
      </w:r>
      <w:r>
        <w:rPr>
          <w:b/>
          <w:bCs/>
        </w:rPr>
        <w:t xml:space="preserve">la evolución restringida de un espacio representacional dirigido hacia un objetivo semántico</w:t>
      </w:r>
      <w:r>
        <w:t xml:space="preserve"> </w:t>
      </w:r>
      <w:r>
        <w:t xml:space="preserve">(</w:t>
      </w:r>
      <m:oMath>
        <m:r>
          <m:rPr>
            <m:nor/>
            <m:sty m:val="p"/>
          </m:rPr>
          <m:t>Objetivo</m:t>
        </m:r>
        <m:limUpp>
          <m:e>
            <m:r>
              <m:rPr>
                <m:sty m:val="p"/>
              </m:rPr>
              <m:t>→</m:t>
            </m:r>
          </m:e>
          <m:lim>
            <m:r>
              <m:t>​</m:t>
            </m:r>
          </m:lim>
        </m:limUpp>
        <m:r>
          <m:rPr>
            <m:nor/>
            <m:sty m:val="p"/>
          </m:rPr>
          <m:t>Funtor Categórico</m:t>
        </m:r>
        <m:limUpp>
          <m:e>
            <m:r>
              <m:rPr>
                <m:sty m:val="p"/>
              </m:rPr>
              <m:t>→</m:t>
            </m:r>
          </m:e>
          <m:lim>
            <m:r>
              <m:t>​</m:t>
            </m:r>
          </m:lim>
        </m:limUpp>
        <m:r>
          <m:rPr>
            <m:nor/>
            <m:sty m:val="p"/>
          </m:rPr>
          <m:t>Resultado</m:t>
        </m:r>
      </m:oMath>
      <w:r>
        <w:t xml:space="preserve">). En POLYDIM-CLA, en lugar de dar instrucciones o entrenar con ensayo y error, moldeamos directamente el terreno topológico para que el flujo de información caiga, por pura gravedad matemática y de forma determinista, en el resultado correcto.</w:t>
      </w:r>
    </w:p>
    <w:p>
      <w:pPr>
        <w:pStyle w:val="BodyText"/>
      </w:pPr>
      <w:r>
        <w:t xml:space="preserve">Una premisa fundamental de POLYDIM-CLA es el tratamiento de las funciones no como secuencias de código discretas, sino como elementos de un espacio vectorial continuo. Para ejecutar esto formalmente, la arquitectura extiende los mapeos finito-dimensionales estándar hacia espacios de funciones infinito-dimensionales mediante la integración de</w:t>
      </w:r>
      <w:r>
        <w:t xml:space="preserve"> </w:t>
      </w:r>
      <w:r>
        <w:rPr>
          <w:b/>
          <w:bCs/>
        </w:rPr>
        <w:t xml:space="preserve">Operadores Neuronales</w:t>
      </w:r>
      <w:r>
        <w:t xml:space="preserve"> </w:t>
      </w:r>
      <w:r>
        <w:t xml:space="preserve">(e.g., DeepONet, Operadores Neuronales de Fourier). Al aprender mapeos entre espacios de funciones en lugar de soluciones puntuales discretas, POLYDIM-CLA soporta de manera nativa la generalización zero-shot a través de campos semánticos continuos. Este trabajo formaliza dicha evolución bajo una semántica operacional rigurosa, posibilitando la compilación eficiente de estructuras categóricas en hardware matricial moderno.</w:t>
      </w:r>
    </w:p>
    <w:bookmarkEnd w:id="10"/>
    <w:bookmarkStart w:id="12" w:name="antecedentes-y-trabajo-relacionado"/>
    <w:p>
      <w:pPr>
        <w:pStyle w:val="Heading2"/>
      </w:pPr>
      <w:r>
        <w:t xml:space="preserve">2. Antecedentes y Trabajo Relacionado</w:t>
      </w:r>
    </w:p>
    <w:p>
      <w:pPr>
        <w:pStyle w:val="FirstParagraph"/>
      </w:pPr>
      <w:r>
        <w:t xml:space="preserve">Las iteraciones teóricas tempranas (e.g., Belfiore et al., 2021) postularon a la Teoría de Topos como el entorno natural para modelar semántica en IA, pero carecían de fundamentación operacional ejecutable. Simultáneamente, la investigación en solucionadores de forma cerrada ha demostrado la viabilidad de eludir la ineficiencia de algoritmos iterativos (como el Descenso de Gradiente Estocástico) para tareas específicas de alineamiento.</w:t>
      </w:r>
    </w:p>
    <w:p>
      <w:pPr>
        <w:pStyle w:val="BodyText"/>
      </w:pPr>
      <w:r>
        <w:t xml:space="preserve">POLYDIM-CLA cierra esta brecha anclando su semántica en el</w:t>
      </w:r>
      <w:r>
        <w:t xml:space="preserve"> </w:t>
      </w:r>
      <w:r>
        <w:rPr>
          <w:b/>
          <w:bCs/>
        </w:rPr>
        <w:t xml:space="preserve">Aprendizaje Profundo Categórico</w:t>
      </w:r>
      <w:r>
        <w:t xml:space="preserve"> </w:t>
      </w:r>
      <w:r>
        <w:t xml:space="preserve">(Gavranović et al., 2024)</w:t>
      </w:r>
      <w:r>
        <w:t xml:space="preserve"> </w:t>
      </w:r>
      <w:r>
        <w:rPr>
          <w:rStyle w:val="FootnoteReference"/>
        </w:rPr>
        <w:footnoteReference w:id="11"/>
      </w:r>
      <w:r>
        <w:t xml:space="preserve">. En contraposición a la</w:t>
      </w:r>
      <w:r>
        <w:t xml:space="preserve"> </w:t>
      </w:r>
      <w:r>
        <w:t xml:space="preserve">“Hipótesis Aristotélica”</w:t>
      </w:r>
      <w:r>
        <w:t xml:space="preserve"> </w:t>
      </w:r>
      <w:r>
        <w:t xml:space="preserve">(que argumenta que las redes neuronales solo logran memorización interpolativa local), este marco adopta la</w:t>
      </w:r>
      <w:r>
        <w:t xml:space="preserve"> </w:t>
      </w:r>
      <w:r>
        <w:rPr>
          <w:b/>
          <w:bCs/>
        </w:rPr>
        <w:t xml:space="preserve">Hipótesis de la Representación Platónica</w:t>
      </w:r>
      <w:r>
        <w:t xml:space="preserve"> </w:t>
      </w:r>
      <w:r>
        <w:t xml:space="preserve">(Huh et al., 2024) y el concepto de</w:t>
      </w:r>
      <w:r>
        <w:t xml:space="preserve"> </w:t>
      </w:r>
      <w:r>
        <w:rPr>
          <w:b/>
          <w:bCs/>
        </w:rPr>
        <w:t xml:space="preserve">Representaciones Relativas</w:t>
      </w:r>
      <w:r>
        <w:t xml:space="preserve"> </w:t>
      </w:r>
      <w:r>
        <w:t xml:space="preserve">(Moschella et al., 2023). Estas hipótesis establecen que, bajo suficientes datos y capacidad, diferentes modelos a gran escala convergen independientemente hacia un isomorfismo estructural subyacente (un mismo</w:t>
      </w:r>
      <w:r>
        <w:t xml:space="preserve"> </w:t>
      </w:r>
      <w:r>
        <w:t xml:space="preserve">“mapa conceptual”</w:t>
      </w:r>
      <w:r>
        <w:t xml:space="preserve"> </w:t>
      </w:r>
      <w:r>
        <w:t xml:space="preserve">abstracto). En nuestra arquitectura, esta convergencia global es</w:t>
      </w:r>
      <w:r>
        <w:t xml:space="preserve"> </w:t>
      </w:r>
      <w:r>
        <w:rPr>
          <w:i/>
          <w:iCs/>
        </w:rPr>
        <w:t xml:space="preserve">forzada operativamente</w:t>
      </w:r>
      <w:r>
        <w:t xml:space="preserve"> </w:t>
      </w:r>
      <w:r>
        <w:t xml:space="preserve">por diseño riguroso, en lugar de tratarla como un artefacto emergente y pasivo.</w:t>
      </w:r>
    </w:p>
    <w:bookmarkEnd w:id="12"/>
    <w:bookmarkStart w:id="19" w:name="arquitectura-polydim-cla-metodología"/>
    <w:p>
      <w:pPr>
        <w:pStyle w:val="Heading2"/>
      </w:pPr>
      <w:r>
        <w:t xml:space="preserve">3. Arquitectura POLYDIM-CLA (Metodología)</w:t>
      </w:r>
    </w:p>
    <w:p>
      <w:pPr>
        <w:pStyle w:val="FirstParagraph"/>
      </w:pPr>
      <w:r>
        <w:t xml:space="preserve">Antes de sumergirnos en la axiomatización rigurosa, es fundamental entender dos conceptos centrales que diferencian a POLYDIM de la IA Clásica: el porqué del fracaso del SGD en variedades estructuradas, y la necesidad de usar Haces Celulares para lograr consenso semántico.</w:t>
      </w:r>
    </w:p>
    <w:bookmarkStart w:id="13" w:name="Xd74cae4e8c3ddf87a122c424d0556fe07ea0dce"/>
    <w:p>
      <w:pPr>
        <w:pStyle w:val="Heading3"/>
      </w:pPr>
      <w:r>
        <w:t xml:space="preserve">3.1 Rampa Pedagógica: Por qué SGD falla en el Alineamiento Ortogonal</w:t>
      </w:r>
    </w:p>
    <w:p>
      <w:pPr>
        <w:pStyle w:val="FirstParagraph"/>
      </w:pPr>
      <w:r>
        <w:t xml:space="preserve">En sistemas multiagente latentes (LatentMAS), el objetivo es que las representaciones conceptuales de dos inteligencias diferentes se alineen perfectamente (por ejemplo, superponer el espacio latente del</w:t>
      </w:r>
      <w:r>
        <w:t xml:space="preserve"> </w:t>
      </w:r>
      <w:r>
        <w:t xml:space="preserve">“Agente A”</w:t>
      </w:r>
      <w:r>
        <w:t xml:space="preserve"> </w:t>
      </w:r>
      <w:r>
        <w:t xml:space="preserve">con el del</w:t>
      </w:r>
      <w:r>
        <w:t xml:space="preserve"> </w:t>
      </w:r>
      <w:r>
        <w:t xml:space="preserve">“Agente B”</w:t>
      </w:r>
      <w:r>
        <w:t xml:space="preserve"> </w:t>
      </w:r>
      <w:r>
        <w:t xml:space="preserve">para que transfieran conocimiento sin serializar a texto). Matemáticamente, esto implica encontrar una rotación perfecta (una</w:t>
      </w:r>
      <w:r>
        <w:t xml:space="preserve"> </w:t>
      </w:r>
      <w:r>
        <w:rPr>
          <w:b/>
          <w:bCs/>
        </w:rPr>
        <w:t xml:space="preserve">matriz ortogonal</w:t>
      </w:r>
      <w:r>
        <w:t xml:space="preserve">) que alinee ambos espacios.</w:t>
      </w:r>
    </w:p>
    <w:p>
      <w:pPr>
        <w:pStyle w:val="BodyText"/>
      </w:pPr>
      <w:r>
        <w:rPr>
          <w:b/>
          <w:bCs/>
        </w:rPr>
        <w:t xml:space="preserve">El problema fundamental:</w:t>
      </w:r>
      <w:r>
        <w:t xml:space="preserve"> </w:t>
      </w:r>
      <w:r>
        <w:t xml:space="preserve">El Descenso de Gradiente Estocástico (SGD) asume que opera en un espacio vectorial plano (Euclidiano). Avanza dando pequeños pasos en línea recta hacia la pendiente descendente del error. Sin embargo, las matrices ortogonales (las rotaciones) viven en una superficie geométrica curva (específicamente, la variedad de Stiefel o el Grupo Ortogonal</w:t>
      </w:r>
      <w:r>
        <w:t xml:space="preserve"> </w:t>
      </w:r>
      <m:oMath>
        <m:r>
          <m:t>O</m:t>
        </m:r>
        <m:r>
          <m:rPr>
            <m:sty m:val="p"/>
          </m:rPr>
          <m:t>(</m:t>
        </m:r>
        <m:r>
          <m:t>n</m:t>
        </m:r>
        <m:r>
          <m:rPr>
            <m:sty m:val="p"/>
          </m:rPr>
          <m:t>)</m:t>
        </m:r>
      </m:oMath>
      <w:r>
        <w:t xml:space="preserve">).</w:t>
      </w:r>
    </w:p>
    <w:p>
      <w:pPr>
        <w:pStyle w:val="BodyText"/>
      </w:pPr>
      <w:r>
        <w:rPr>
          <w:i/>
          <w:iCs/>
        </w:rPr>
        <w:t xml:space="preserve">Analogía intuitiva:</w:t>
      </w:r>
      <w:r>
        <w:t xml:space="preserve"> </w:t>
      </w:r>
      <w:r>
        <w:t xml:space="preserve">Imagina intentar caminar sobre la superficie esférica de la Tierra asumiendo un sistema de coordenadas 3D estricto (arriba, abajo, izquierda, derecha rectos). Si das un paso en</w:t>
      </w:r>
      <w:r>
        <w:t xml:space="preserve"> </w:t>
      </w:r>
      <w:r>
        <w:t xml:space="preserve">“línea recta”</w:t>
      </w:r>
      <w:r>
        <w:t xml:space="preserve"> </w:t>
      </w:r>
      <w:r>
        <w:t xml:space="preserve">hacia el horizonte, terminarás despegando tangencialmente del suelo y flotando en el espacio. Para volver a la superficie, necesitas ser forzado hacia abajo constantemente.</w:t>
      </w:r>
    </w:p>
    <w:p>
      <w:pPr>
        <w:pStyle w:val="BodyText"/>
      </w:pPr>
      <w:r>
        <w:t xml:space="preserve">Cuando SGD intenta aprender una rotación, sus pequeños pasos lineales lo empujan irremediablemente fuera de la superficie curva (fuera de la ortogonalidad). Las arquitecturas clásicas intentan parchear esto agregando penalizaciones (</w:t>
      </w:r>
      <w:r>
        <w:t xml:space="preserve">“regularización”</w:t>
      </w:r>
      <w:r>
        <w:t xml:space="preserve">) o forzando proyecciones bruscas de vuelta a la variedad en cada paso. Esto causa que el modelo pelee constantemente contra la curvatura del espacio, resultando en convergencias letárgicas, inestabilidad numérica, y la destrucción de la preservación estricta de distancias que necesitamos. POLYDIM-CLA abandona el SGD iterativo para estas tareas críticas, utilizando en su lugar Solucionadores Diferenciables de Forma Cerrada (Álgebra de Clifford y Woodbury) que garantizan moverse exacta y nativamente</w:t>
      </w:r>
      <w:r>
        <w:t xml:space="preserve"> </w:t>
      </w:r>
      <w:r>
        <w:rPr>
          <w:i/>
          <w:iCs/>
        </w:rPr>
        <w:t xml:space="preserve">sobre la superficie curva</w:t>
      </w:r>
      <w:r>
        <w:t xml:space="preserve"> </w:t>
      </w:r>
      <w:r>
        <w:t xml:space="preserve">en un solo paso algebraico.</w:t>
      </w:r>
    </w:p>
    <w:bookmarkEnd w:id="13"/>
    <w:bookmarkStart w:id="14" w:name="X47942062d0fd0b0e9a02f1a67b2ae18eca18251"/>
    <w:p>
      <w:pPr>
        <w:pStyle w:val="Heading3"/>
      </w:pPr>
      <w:r>
        <w:t xml:space="preserve">3.2 Rampa Pedagógica: Intuición de los Haces Celulares (Cellular Sheaves)</w:t>
      </w:r>
    </w:p>
    <w:p>
      <w:pPr>
        <w:pStyle w:val="FirstParagraph"/>
      </w:pPr>
      <w:r>
        <w:t xml:space="preserve">Para que múltiples agentes latentes formen un razonamiento coherente global sin colapsar lógicamente, necesitamos que estén topológicamente de acuerdo en sus representaciones. POLYDIM utiliza para esto</w:t>
      </w:r>
      <w:r>
        <w:t xml:space="preserve"> </w:t>
      </w:r>
      <w:r>
        <w:rPr>
          <w:b/>
          <w:bCs/>
        </w:rPr>
        <w:t xml:space="preserve">Haces Celulares (Cellular Sheaves)</w:t>
      </w:r>
      <w:r>
        <w:t xml:space="preserve">, formalizados como functores</w:t>
      </w:r>
      <w:r>
        <w:t xml:space="preserve"> </w:t>
      </w:r>
      <w:r>
        <w:rPr>
          <w:b/>
          <w:bCs/>
        </w:rPr>
        <w:t xml:space="preserve">covariantes</w:t>
      </w:r>
      <w:r>
        <w:t xml:space="preserve"> </w:t>
      </w:r>
      <w:r>
        <w:t xml:space="preserve">sobre el poset de caras del complejo celular de la red, garantizando el flujo correcto de la información (de nodos a aristas).</w:t>
      </w:r>
    </w:p>
    <w:p>
      <w:pPr>
        <w:pStyle w:val="BodyText"/>
      </w:pPr>
      <w:r>
        <w:rPr>
          <w:i/>
          <w:iCs/>
        </w:rPr>
        <w:t xml:space="preserve">Analogía intuitiva:</w:t>
      </w:r>
      <w:r>
        <w:t xml:space="preserve"> </w:t>
      </w:r>
      <w:r>
        <w:t xml:space="preserve">Imagina una red corporativa multinacional. Cada oficina local (un agente o nodo en nuestra topología) maneja su propia contabilidad usando su moneda local y su propio idioma (este es el</w:t>
      </w:r>
      <w:r>
        <w:t xml:space="preserve"> </w:t>
      </w:r>
      <w:r>
        <w:t xml:space="preserve">“espacio vectorial asociado”</w:t>
      </w:r>
      <w:r>
        <w:t xml:space="preserve"> </w:t>
      </w:r>
      <w:r>
        <w:t xml:space="preserve">de ese nodo particular). Los cables de red que conectan las oficinas (las aristas topológicas) contienen un libro de reglas llamado</w:t>
      </w:r>
      <w:r>
        <w:t xml:space="preserve"> </w:t>
      </w:r>
      <w:r>
        <w:rPr>
          <w:b/>
          <w:bCs/>
        </w:rPr>
        <w:t xml:space="preserve">“mapas de restricción”</w:t>
      </w:r>
      <w:r>
        <w:t xml:space="preserve">. Estos mapas son como diccionarios perfectos y tasas de cambio exactas que traducen, sin pérdida, la moneda y el reporte de la oficina A al formato de la oficina B.</w:t>
      </w:r>
    </w:p>
    <w:p>
      <w:pPr>
        <w:pStyle w:val="BodyText"/>
      </w:pPr>
      <w:r>
        <w:t xml:space="preserve">Si todas las oficinas se comunican y, tras pasar sus datos por los mapas de restricción, todas las contabilidades locales coinciden perfectamente a nivel global sin contradicciones, decimos matemáticamente que la red alcanzó una</w:t>
      </w:r>
      <w:r>
        <w:t xml:space="preserve"> </w:t>
      </w:r>
      <w:r>
        <w:rPr>
          <w:b/>
          <w:bCs/>
        </w:rPr>
        <w:t xml:space="preserve">“sección global”</w:t>
      </w:r>
      <w:r>
        <w:t xml:space="preserve"> </w:t>
      </w:r>
      <w:r>
        <w:t xml:space="preserve">(consenso semántico). La herramienta algebraica que mide qué tan en</w:t>
      </w:r>
      <w:r>
        <w:t xml:space="preserve"> </w:t>
      </w:r>
      <w:r>
        <w:t xml:space="preserve">“desacuerdo”</w:t>
      </w:r>
      <w:r>
        <w:t xml:space="preserve"> </w:t>
      </w:r>
      <w:r>
        <w:t xml:space="preserve">están las oficinas localmente es el</w:t>
      </w:r>
      <w:r>
        <w:t xml:space="preserve"> </w:t>
      </w:r>
      <w:r>
        <w:rPr>
          <w:b/>
          <w:bCs/>
        </w:rPr>
        <w:t xml:space="preserve">Laplaciano de Hodge</w:t>
      </w:r>
      <w:r>
        <w:t xml:space="preserve"> </w:t>
      </w:r>
      <w:r>
        <w:t xml:space="preserve">del haz, el cual se define a través del operador de coborde. POLYDIM minimiza este Laplaciano algebraicamente para aislar y erradicar las contradicciones (</w:t>
      </w:r>
      <w:r>
        <w:t xml:space="preserve">“alucinaciones”</w:t>
      </w:r>
      <w:r>
        <w:t xml:space="preserve">) lógicas del enjambre.</w:t>
      </w:r>
    </w:p>
    <w:p>
      <w:r>
        <w:pict>
          <v:rect style="width:0;height:1.5pt" o:hralign="center" o:hrstd="t" o:hr="t"/>
        </w:pict>
      </w:r>
    </w:p>
    <w:bookmarkEnd w:id="14"/>
    <w:bookmarkStart w:id="15" w:name="X37aee3267f37399f00030c65ae6c304aa315c69"/>
    <w:p>
      <w:pPr>
        <w:pStyle w:val="Heading3"/>
      </w:pPr>
      <w:r>
        <w:t xml:space="preserve">3.3 Axiomatización de la Polidimensión y GEO_ID</w:t>
      </w:r>
    </w:p>
    <w:p>
      <w:pPr>
        <w:pStyle w:val="FirstParagraph"/>
      </w:pPr>
      <w:r>
        <w:t xml:space="preserve">Definimos formalmente una Polidimensión bajo el marco CLA como la tupla:</w:t>
      </w:r>
    </w:p>
    <w:p>
      <w:pPr>
        <w:pStyle w:val="BodyText"/>
      </w:pPr>
      <m:oMathPara>
        <m:oMathParaPr>
          <m:jc m:val="center"/>
        </m:oMathParaPr>
        <m:oMath>
          <m:r>
            <m:t>P</m:t>
          </m:r>
          <m:r>
            <m:rPr>
              <m:sty m:val="p"/>
            </m:rPr>
            <m:t>=</m:t>
          </m:r>
          <m:r>
            <m:rPr>
              <m:sty m:val="p"/>
            </m:rPr>
            <m:t>(</m:t>
          </m:r>
          <m:r>
            <m:t>D</m:t>
          </m:r>
          <m:r>
            <m:rPr>
              <m:sty m:val="p"/>
            </m:rPr>
            <m:t>,</m:t>
          </m:r>
          <m:sSub>
            <m:e>
              <m:r>
                <m:rPr>
                  <m:sty m:val="p"/>
                </m:rPr>
                <m:t>Π</m:t>
              </m:r>
            </m:e>
            <m:sub>
              <m:r>
                <m:t>P</m:t>
              </m:r>
            </m:sub>
          </m:sSub>
          <m:r>
            <m:rPr>
              <m:sty m:val="p"/>
            </m:rPr>
            <m:t>,</m:t>
          </m:r>
          <m:r>
            <m:t>G</m:t>
          </m:r>
          <m:r>
            <m:rPr>
              <m:sty m:val="p"/>
            </m:rPr>
            <m:t>,</m:t>
          </m:r>
          <m:r>
            <m:t>M</m:t>
          </m:r>
          <m:r>
            <m:rPr>
              <m:sty m:val="p"/>
            </m:rPr>
            <m:t>)</m:t>
          </m:r>
        </m:oMath>
      </m:oMathPara>
    </w:p>
    <w:p>
      <w:pPr>
        <w:pStyle w:val="FirstParagraph"/>
      </w:pPr>
      <w:r>
        <w:t xml:space="preserve">Donde</w:t>
      </w:r>
      <w:r>
        <w:t xml:space="preserve"> </w:t>
      </w:r>
      <m:oMath>
        <m:r>
          <m:t>D</m:t>
        </m:r>
      </m:oMath>
      <w:r>
        <w:t xml:space="preserve"> </w:t>
      </w:r>
      <w:r>
        <w:t xml:space="preserve">representa una dimensión topológica de escalado dinámico;</w:t>
      </w:r>
      <w:r>
        <w:t xml:space="preserve"> </w:t>
      </w:r>
      <m:oMath>
        <m:sSub>
          <m:e>
            <m:r>
              <m:rPr>
                <m:sty m:val="p"/>
              </m:rPr>
              <m:t>Π</m:t>
            </m:r>
          </m:e>
          <m:sub>
            <m:r>
              <m:t>P</m:t>
            </m:r>
          </m:sub>
        </m:sSub>
      </m:oMath>
      <w:r>
        <w:t xml:space="preserve"> </w:t>
      </w:r>
      <w:r>
        <w:t xml:space="preserve">el conjunto de funtores de proyección válidos;</w:t>
      </w:r>
      <w:r>
        <w:t xml:space="preserve"> </w:t>
      </w:r>
      <m:oMath>
        <m:r>
          <m:t>G</m:t>
        </m:r>
      </m:oMath>
      <w:r>
        <w:t xml:space="preserve"> </w:t>
      </w:r>
      <w:r>
        <w:t xml:space="preserve">el</w:t>
      </w:r>
      <w:r>
        <w:t xml:space="preserve"> </w:t>
      </w:r>
      <w:r>
        <w:rPr>
          <w:b/>
          <w:bCs/>
        </w:rPr>
        <w:t xml:space="preserve">Grupoide</w:t>
      </w:r>
      <w:r>
        <w:t xml:space="preserve"> </w:t>
      </w:r>
      <w:r>
        <w:t xml:space="preserve">de transformaciones que preservan la identidad topológica (</w:t>
      </w:r>
      <w:r>
        <w:rPr>
          <w:rStyle w:val="VerbatimChar"/>
        </w:rPr>
        <w:t xml:space="preserve">GEO_ID</w:t>
      </w:r>
      <w:r>
        <w:t xml:space="preserve">); y</w:t>
      </w:r>
      <w:r>
        <w:t xml:space="preserve"> </w:t>
      </w:r>
      <m:oMath>
        <m:r>
          <m:t>M</m:t>
        </m:r>
      </m:oMath>
      <w:r>
        <w:t xml:space="preserve"> </w:t>
      </w:r>
      <w:r>
        <w:t xml:space="preserve">la Mónada Operacional garante de la diferenciabilidad.</w:t>
      </w:r>
    </w:p>
    <w:p>
      <w:pPr>
        <w:pStyle w:val="BodyText"/>
      </w:pPr>
      <w:r>
        <w:t xml:space="preserve">Para asegurar rigurosamente la simetría de las clases de equivalencia, POLYDIM-CLA define</w:t>
      </w:r>
      <w:r>
        <w:t xml:space="preserve"> </w:t>
      </w:r>
      <w:r>
        <w:rPr>
          <w:rStyle w:val="VerbatimChar"/>
        </w:rPr>
        <w:t xml:space="preserve">GEO_ID</w:t>
      </w:r>
      <w:r>
        <w:t xml:space="preserve"> </w:t>
      </w:r>
      <w:r>
        <w:t xml:space="preserve">como un</w:t>
      </w:r>
      <w:r>
        <w:t xml:space="preserve"> </w:t>
      </w:r>
      <w:r>
        <w:rPr>
          <w:b/>
          <w:bCs/>
        </w:rPr>
        <w:t xml:space="preserve">Tipo Inductivo Superior (Higher Inductive Type, HIT)</w:t>
      </w:r>
      <w:r>
        <w:t xml:space="preserve"> </w:t>
      </w:r>
      <w:r>
        <w:t xml:space="preserve">dentro de la Teoría de Tipos Homotópica (HoTT), donde los tipos se comportan como infinitos-grupoides (</w:t>
      </w:r>
      <m:oMath>
        <m:r>
          <m:rPr>
            <m:sty m:val="p"/>
          </m:rPr>
          <m:t>∞</m:t>
        </m:r>
      </m:oMath>
      <w:r>
        <w:t xml:space="preserve">-grupoides). Exploramos la analogía entre el descenso de gradiente y el</w:t>
      </w:r>
      <w:r>
        <w:t xml:space="preserve"> </w:t>
      </w:r>
      <w:r>
        <w:rPr>
          <w:b/>
          <w:bCs/>
        </w:rPr>
        <w:t xml:space="preserve">levantamiento de caminos (path lifting)</w:t>
      </w:r>
      <w:r>
        <w:t xml:space="preserve"> </w:t>
      </w:r>
      <w:r>
        <w:t xml:space="preserve">a lo largo de fibraciones de equivalencia como una dirección de investigación abierta para formalizar completamente la optimización bajo el</w:t>
      </w:r>
      <w:r>
        <w:t xml:space="preserve"> </w:t>
      </w:r>
      <w:r>
        <w:rPr>
          <w:b/>
          <w:bCs/>
        </w:rPr>
        <w:t xml:space="preserve">Axioma de Univalencia</w:t>
      </w:r>
      <w:r>
        <w:t xml:space="preserve"> </w:t>
      </w:r>
      <w:r>
        <w:t xml:space="preserve">(que establece equivalencias formales entre tipos isomorfos), volviendo al modelo altamente robusto frente al colapso de simetrías continuas.</w:t>
      </w:r>
    </w:p>
    <w:bookmarkEnd w:id="15"/>
    <w:bookmarkStart w:id="16" w:name="semántica-operacional-formal"/>
    <w:p>
      <w:pPr>
        <w:pStyle w:val="Heading3"/>
      </w:pPr>
      <w:r>
        <w:t xml:space="preserve">3.4 Semántica Operacional Formal</w:t>
      </w:r>
    </w:p>
    <w:p>
      <w:pPr>
        <w:pStyle w:val="FirstParagraph"/>
      </w:pPr>
      <w:r>
        <w:t xml:space="preserve">La transición de la topología abstracta a la ejecución algorítmica se define mediante la</w:t>
      </w:r>
      <w:r>
        <w:t xml:space="preserve"> </w:t>
      </w:r>
      <w:r>
        <w:rPr>
          <w:b/>
          <w:bCs/>
        </w:rPr>
        <w:t xml:space="preserve">Ejecución POLYDIM</w:t>
      </w:r>
      <w:r>
        <w:t xml:space="preserve">, una 5-tupla</w:t>
      </w:r>
      <w:r>
        <w:t xml:space="preserve"> </w:t>
      </w:r>
      <m:oMath>
        <m:r>
          <m:t>E</m:t>
        </m:r>
        <m:r>
          <m:rPr>
            <m:sty m:val="p"/>
          </m:rPr>
          <m:t>=</m:t>
        </m:r>
        <m:r>
          <m:rPr>
            <m:sty m:val="p"/>
          </m:rPr>
          <m:t>(</m:t>
        </m:r>
        <m:r>
          <m:t>C</m:t>
        </m:r>
        <m:r>
          <m:rPr>
            <m:sty m:val="p"/>
          </m:rPr>
          <m:t>,</m:t>
        </m:r>
        <m:r>
          <m:t>F</m:t>
        </m:r>
        <m:r>
          <m:rPr>
            <m:sty m:val="p"/>
          </m:rPr>
          <m:t>,</m:t>
        </m:r>
        <m:r>
          <m:rPr>
            <m:sty m:val="p"/>
          </m:rPr>
          <m:t>Φ</m:t>
        </m:r>
        <m:r>
          <m:rPr>
            <m:sty m:val="p"/>
          </m:rPr>
          <m:t>,</m:t>
        </m:r>
        <m:r>
          <m:rPr>
            <m:sty m:val="p"/>
          </m:rPr>
          <m:t>Δ</m:t>
        </m:r>
        <m:r>
          <m:rPr>
            <m:sty m:val="p"/>
          </m:rPr>
          <m:t>,</m:t>
        </m:r>
        <m:r>
          <m:t>A</m:t>
        </m:r>
        <m:r>
          <m:rPr>
            <m:sty m:val="p"/>
          </m:rPr>
          <m:t>)</m:t>
        </m:r>
      </m:oMath>
      <w:r>
        <w:t xml:space="preserve">:</w:t>
      </w:r>
      <w:r>
        <w:t xml:space="preserve"> </w:t>
      </w:r>
      <w:r>
        <w:t xml:space="preserve">*</w:t>
      </w:r>
      <w:r>
        <w:t xml:space="preserve"> </w:t>
      </w:r>
      <m:oMath>
        <m:r>
          <m:t>C</m:t>
        </m:r>
      </m:oMath>
      <w:r>
        <w:t xml:space="preserve">: La categoría base (o</w:t>
      </w:r>
      <w:r>
        <w:t xml:space="preserve"> </w:t>
      </w:r>
      <m:oMath>
        <m:r>
          <m:rPr>
            <m:sty m:val="p"/>
          </m:rPr>
          <m:t>∞</m:t>
        </m:r>
      </m:oMath>
      <w:r>
        <w:t xml:space="preserve">-grupoide) de la topología latente.</w:t>
      </w:r>
      <w:r>
        <w:t xml:space="preserve"> </w:t>
      </w:r>
      <w:r>
        <w:t xml:space="preserve">*</w:t>
      </w:r>
      <w:r>
        <w:t xml:space="preserve"> </w:t>
      </w:r>
      <m:oMath>
        <m:r>
          <m:t>F</m:t>
        </m:r>
      </m:oMath>
      <w:r>
        <w:t xml:space="preserve">: El haz celular (cellular sheaf), estructurado como un functor</w:t>
      </w:r>
      <w:r>
        <w:t xml:space="preserve"> </w:t>
      </w:r>
      <w:r>
        <w:rPr>
          <w:b/>
          <w:bCs/>
        </w:rPr>
        <w:t xml:space="preserve">covariante</w:t>
      </w:r>
      <w:r>
        <w:t xml:space="preserve"> </w:t>
      </w:r>
      <w:r>
        <w:t xml:space="preserve">que proyecta el poset de caras de</w:t>
      </w:r>
      <w:r>
        <w:t xml:space="preserve"> </w:t>
      </w:r>
      <m:oMath>
        <m:r>
          <m:t>C</m:t>
        </m:r>
      </m:oMath>
      <w:r>
        <w:t xml:space="preserve"> </w:t>
      </w:r>
      <w:r>
        <w:t xml:space="preserve">a espacios vectoriales acotados (nuestras</w:t>
      </w:r>
      <w:r>
        <w:t xml:space="preserve"> </w:t>
      </w:r>
      <w:r>
        <w:t xml:space="preserve">“oficinas corporativas locales”</w:t>
      </w:r>
      <w:r>
        <w:t xml:space="preserve">).</w:t>
      </w:r>
      <w:r>
        <w:t xml:space="preserve"> </w:t>
      </w:r>
      <w:r>
        <w:t xml:space="preserve">*</w:t>
      </w:r>
      <w:r>
        <w:t xml:space="preserve"> </w:t>
      </w:r>
      <m:oMath>
        <m:r>
          <m:rPr>
            <m:sty m:val="p"/>
          </m:rPr>
          <m:t>Φ</m:t>
        </m:r>
      </m:oMath>
      <w:r>
        <w:t xml:space="preserve">: El funtor semántico (e.g., Rotor de Spin) de evolución de estado.</w:t>
      </w:r>
      <w:r>
        <w:t xml:space="preserve"> </w:t>
      </w:r>
      <w:r>
        <w:t xml:space="preserve">*</w:t>
      </w:r>
      <w:r>
        <w:t xml:space="preserve"> </w:t>
      </w:r>
      <m:oMath>
        <m:r>
          <m:rPr>
            <m:sty m:val="p"/>
          </m:rPr>
          <m:t>Δ</m:t>
        </m:r>
      </m:oMath>
      <w:r>
        <w:t xml:space="preserve">: El Laplaciano de Hodge Cohomológico (</w:t>
      </w:r>
      <m:oMath>
        <m:sSub>
          <m:e>
            <m:r>
              <m:rPr>
                <m:sty m:val="p"/>
              </m:rPr>
              <m:t>Δ</m:t>
            </m:r>
          </m:e>
          <m:sub>
            <m:r>
              <m:t>F</m:t>
            </m:r>
          </m:sub>
        </m:sSub>
        <m:r>
          <m:rPr>
            <m:sty m:val="p"/>
          </m:rPr>
          <m:t>=</m:t>
        </m:r>
        <m:sSup>
          <m:e>
            <m:r>
              <m:t>d</m:t>
            </m:r>
          </m:e>
          <m:sup>
            <m:r>
              <m:rPr>
                <m:sty m:val="p"/>
              </m:rPr>
              <m:t>*</m:t>
            </m:r>
          </m:sup>
        </m:sSup>
        <m:r>
          <m:t>d</m:t>
        </m:r>
      </m:oMath>
      <w:r>
        <w:t xml:space="preserve">) sobre</w:t>
      </w:r>
      <w:r>
        <w:t xml:space="preserve"> </w:t>
      </w:r>
      <m:oMath>
        <m:r>
          <m:t>F</m:t>
        </m:r>
      </m:oMath>
      <w:r>
        <w:t xml:space="preserve"> </w:t>
      </w:r>
      <w:r>
        <w:t xml:space="preserve">regulador de consenso (nuestro medidor directo de la existencia de secciones globales en</w:t>
      </w:r>
      <w:r>
        <w:t xml:space="preserve"> </w:t>
      </w:r>
      <m:oMath>
        <m:r>
          <m:rPr>
            <m:sty m:val="p"/>
          </m:rPr>
          <m:t>ker</m:t>
        </m:r>
        <m:r>
          <m:rPr>
            <m:sty m:val="p"/>
          </m:rPr>
          <m:t>(</m:t>
        </m:r>
        <m:sSub>
          <m:e>
            <m:r>
              <m:rPr>
                <m:sty m:val="p"/>
              </m:rPr>
              <m:t>Δ</m:t>
            </m:r>
          </m:e>
          <m:sub>
            <m:r>
              <m:t>F</m:t>
            </m:r>
          </m:sub>
        </m:sSub>
        <m:r>
          <m:rPr>
            <m:sty m:val="p"/>
          </m:rPr>
          <m:t>)</m:t>
        </m:r>
        <m:r>
          <m:rPr>
            <m:sty m:val="p"/>
          </m:rPr>
          <m:t>≅</m:t>
        </m:r>
        <m:sSup>
          <m:e>
            <m:r>
              <m:t>H</m:t>
            </m:r>
          </m:e>
          <m:sup>
            <m:r>
              <m:t>0</m:t>
            </m:r>
          </m:sup>
        </m:sSup>
      </m:oMath>
      <w:r>
        <w:t xml:space="preserve">).</w:t>
      </w:r>
      <w:r>
        <w:t xml:space="preserve"> </w:t>
      </w:r>
      <w:r>
        <w:t xml:space="preserve">*</w:t>
      </w:r>
      <w:r>
        <w:t xml:space="preserve"> </w:t>
      </w:r>
      <m:oMath>
        <m:r>
          <m:t>A</m:t>
        </m:r>
      </m:oMath>
      <w:r>
        <w:t xml:space="preserve">: La restricción ALIGN (proyección ortogonal de forma cerrada).</w:t>
      </w:r>
    </w:p>
    <w:p>
      <w:pPr>
        <w:pStyle w:val="BodyText"/>
      </w:pPr>
      <w:r>
        <w:rPr>
          <w:b/>
          <w:bCs/>
        </w:rPr>
        <w:t xml:space="preserve">Proposición 1 (Convergencia Semántica):</w:t>
      </w:r>
      <w:r>
        <w:t xml:space="preserve"> </w:t>
      </w:r>
      <w:r>
        <w:t xml:space="preserve">Dada</w:t>
      </w:r>
      <w:r>
        <w:t xml:space="preserve"> </w:t>
      </w:r>
      <m:oMath>
        <m:r>
          <m:t>E</m:t>
        </m:r>
      </m:oMath>
      <w:r>
        <w:t xml:space="preserve">, si los mapas de restricción objetivo en</w:t>
      </w:r>
      <w:r>
        <w:t xml:space="preserve"> </w:t>
      </w:r>
      <m:oMath>
        <m:r>
          <m:t>A</m:t>
        </m:r>
      </m:oMath>
      <w:r>
        <w:t xml:space="preserve"> </w:t>
      </w:r>
      <w:r>
        <w:t xml:space="preserve">admiten una representación de holonomía de bajo rango</w:t>
      </w:r>
      <w:r>
        <w:t xml:space="preserve"> </w:t>
      </w:r>
      <m:oMath>
        <m:r>
          <m:t>K</m:t>
        </m:r>
        <m:r>
          <m:rPr>
            <m:sty m:val="p"/>
          </m:rPr>
          <m:t>≪</m:t>
        </m:r>
        <m:r>
          <m:t>N</m:t>
        </m:r>
      </m:oMath>
      <w:r>
        <w:t xml:space="preserve">, la iteración de</w:t>
      </w:r>
      <w:r>
        <w:t xml:space="preserve"> </w:t>
      </w:r>
      <m:oMath>
        <m:r>
          <m:rPr>
            <m:sty m:val="p"/>
          </m:rPr>
          <m:t>Φ</m:t>
        </m:r>
      </m:oMath>
      <w:r>
        <w:t xml:space="preserve"> </w:t>
      </w:r>
      <w:r>
        <w:t xml:space="preserve">sobre</w:t>
      </w:r>
      <w:r>
        <w:t xml:space="preserve"> </w:t>
      </w:r>
      <m:oMath>
        <m:r>
          <m:t>F</m:t>
        </m:r>
      </m:oMath>
      <w:r>
        <w:t xml:space="preserve"> </w:t>
      </w:r>
      <w:r>
        <w:t xml:space="preserve">converge garantizando una preservación isométrica local estricta en</w:t>
      </w:r>
      <w:r>
        <w:t xml:space="preserve"> </w:t>
      </w:r>
      <m:oMath>
        <m:r>
          <m:t>O</m:t>
        </m:r>
        <m:r>
          <m:rPr>
            <m:sty m:val="p"/>
          </m:rPr>
          <m:t>(</m:t>
        </m:r>
        <m:r>
          <m:t>N</m:t>
        </m:r>
        <m:sSup>
          <m:e>
            <m:r>
              <m:t>K</m:t>
            </m:r>
          </m:e>
          <m:sup>
            <m:r>
              <m:t>2</m:t>
            </m:r>
          </m:sup>
        </m:sSup>
        <m:r>
          <m:rPr>
            <m:sty m:val="p"/>
          </m:rPr>
          <m:t>)</m:t>
        </m:r>
      </m:oMath>
      <w:r>
        <w:t xml:space="preserve"> </w:t>
      </w:r>
      <w:r>
        <w:t xml:space="preserve">pasos algebraicos, independizándose completamente del descenso por gradiente.</w:t>
      </w:r>
    </w:p>
    <w:p>
      <w:pPr>
        <w:pStyle w:val="BodyText"/>
      </w:pPr>
      <w:r>
        <w:rPr>
          <w:b/>
          <w:bCs/>
        </w:rPr>
        <w:t xml:space="preserve">Corolario 1.1 (Mitigación del Colapso Cognitivo mediante</w:t>
      </w:r>
      <w:r>
        <w:rPr>
          <w:b/>
          <w:bCs/>
        </w:rPr>
        <w:t xml:space="preserve"> </w:t>
      </w:r>
      <m:oMath>
        <m:sSub>
          <m:e>
            <m:r>
              <m:t>λ</m:t>
            </m:r>
          </m:e>
          <m:sub>
            <m:r>
              <m:t>1</m:t>
            </m:r>
          </m:sub>
        </m:sSub>
      </m:oMath>
      <w:r>
        <w:rPr>
          <w:b/>
          <w:bCs/>
        </w:rPr>
        <w:t xml:space="preserve"> </w:t>
      </w:r>
      <w:r>
        <w:rPr>
          <w:b/>
          <w:bCs/>
        </w:rPr>
        <w:t xml:space="preserve">y Desigualdad de Cheeger):</w:t>
      </w:r>
      <w:r>
        <w:t xml:space="preserve"> </w:t>
      </w:r>
      <w:r>
        <w:t xml:space="preserve">En un Haz Dinámico (donde los mapas de restricción</w:t>
      </w:r>
      <w:r>
        <w:t xml:space="preserve"> </w:t>
      </w:r>
      <m:oMath>
        <m:r>
          <m:rPr>
            <m:sty m:val="p"/>
          </m:rPr>
          <m:t>H</m:t>
        </m:r>
        <m:r>
          <m:rPr>
            <m:sty m:val="p"/>
          </m:rPr>
          <m:t>o</m:t>
        </m:r>
        <m:r>
          <m:rPr>
            <m:sty m:val="p"/>
          </m:rPr>
          <m:t>l</m:t>
        </m:r>
        <m:r>
          <m:rPr>
            <m:sty m:val="p"/>
          </m:rPr>
          <m:t>(</m:t>
        </m:r>
        <m:r>
          <m:t>γ</m:t>
        </m:r>
        <m:r>
          <m:rPr>
            <m:sty m:val="p"/>
          </m:rPr>
          <m:t>)</m:t>
        </m:r>
      </m:oMath>
      <w:r>
        <w:t xml:space="preserve"> </w:t>
      </w:r>
      <w:r>
        <w:t xml:space="preserve">evolucionan durante ALIGN), el colapso lógico (deriva semántica) emerge cuando la cota espectral del Laplaciano decae bajo el umbral de ruido inferencial. Motivados por principios análogos a la desigualdad de Cheeger, proponemos la heurística empírica:</w:t>
      </w:r>
      <w:r>
        <w:t xml:space="preserve"> </w:t>
      </w:r>
      <m:oMath>
        <m:sSub>
          <m:e>
            <m:r>
              <m:t>λ</m:t>
            </m:r>
          </m:e>
          <m:sub>
            <m:r>
              <m:t>1</m:t>
            </m:r>
          </m:sub>
        </m:sSub>
        <m:r>
          <m:rPr>
            <m:sty m:val="p"/>
          </m:rPr>
          <m:t>(</m:t>
        </m:r>
        <m:sSub>
          <m:e>
            <m:r>
              <m:rPr>
                <m:sty m:val="p"/>
              </m:rPr>
              <m:t>Δ</m:t>
            </m:r>
          </m:e>
          <m:sub>
            <m:r>
              <m:t>F</m:t>
            </m:r>
          </m:sub>
        </m:sSub>
        <m:r>
          <m:rPr>
            <m:sty m:val="p"/>
          </m:rPr>
          <m:t>)</m:t>
        </m:r>
        <m:r>
          <m:rPr>
            <m:sty m:val="p"/>
          </m:rPr>
          <m:t>≤</m:t>
        </m:r>
        <m:r>
          <m:rPr>
            <m:sty m:val="p"/>
          </m:rPr>
          <m:t>min</m:t>
        </m:r>
        <m:f>
          <m:fPr>
            <m:type m:val="bar"/>
          </m:fPr>
          <m:num>
            <m:r>
              <m:rPr>
                <m:sty m:val="p"/>
              </m:rPr>
              <m:t>∥</m:t>
            </m:r>
            <m:r>
              <m:rPr>
                <m:sty m:val="p"/>
              </m:rPr>
              <m:t>(</m:t>
            </m:r>
            <m:r>
              <m:t>I</m:t>
            </m:r>
            <m:r>
              <m:rPr>
                <m:sty m:val="p"/>
              </m:rPr>
              <m:t>−</m:t>
            </m:r>
            <m:r>
              <m:rPr>
                <m:sty m:val="p"/>
              </m:rPr>
              <m:t>H</m:t>
            </m:r>
            <m:r>
              <m:rPr>
                <m:sty m:val="p"/>
              </m:rPr>
              <m:t>o</m:t>
            </m:r>
            <m:r>
              <m:rPr>
                <m:sty m:val="p"/>
              </m:rPr>
              <m:t>l</m:t>
            </m:r>
            <m:r>
              <m:rPr>
                <m:sty m:val="p"/>
              </m:rPr>
              <m:t>(</m:t>
            </m:r>
            <m:r>
              <m:t>γ</m:t>
            </m:r>
            <m:r>
              <m:rPr>
                <m:sty m:val="p"/>
              </m:rPr>
              <m:t>)</m:t>
            </m:r>
            <m:r>
              <m:rPr>
                <m:sty m:val="p"/>
              </m:rPr>
              <m:t>)</m:t>
            </m:r>
            <m:r>
              <m:t>u</m:t>
            </m:r>
            <m:sSup>
              <m:e>
                <m:r>
                  <m:rPr>
                    <m:sty m:val="p"/>
                  </m:rPr>
                  <m:t>∥</m:t>
                </m:r>
              </m:e>
              <m:sup>
                <m:r>
                  <m:t>2</m:t>
                </m:r>
              </m:sup>
            </m:sSup>
            <m:r>
              <m:rPr>
                <m:sty m:val="p"/>
              </m:rPr>
              <m:t>+</m:t>
            </m:r>
            <m:r>
              <m:t>p</m:t>
            </m:r>
          </m:num>
          <m:den>
            <m:r>
              <m:t>k</m:t>
            </m:r>
          </m:den>
        </m:f>
      </m:oMath>
      <w:r>
        <w:t xml:space="preserve">, donde</w:t>
      </w:r>
      <w:r>
        <w:t xml:space="preserve"> </w:t>
      </w:r>
      <m:oMath>
        <m:r>
          <m:t>k</m:t>
        </m:r>
      </m:oMath>
      <w:r>
        <w:t xml:space="preserve"> </w:t>
      </w:r>
      <w:r>
        <w:t xml:space="preserve">es la longitud del ciclo topológico</w:t>
      </w:r>
      <w:r>
        <w:t xml:space="preserve"> </w:t>
      </w:r>
      <m:oMath>
        <m:r>
          <m:t>γ</m:t>
        </m:r>
      </m:oMath>
      <w:r>
        <w:t xml:space="preserve">,</w:t>
      </w:r>
      <w:r>
        <w:t xml:space="preserve"> </w:t>
      </w:r>
      <m:oMath>
        <m:r>
          <m:t>u</m:t>
        </m:r>
      </m:oMath>
      <w:r>
        <w:t xml:space="preserve"> </w:t>
      </w:r>
      <w:r>
        <w:t xml:space="preserve">es un vector unitario, y</w:t>
      </w:r>
      <w:r>
        <w:t xml:space="preserve"> </w:t>
      </w:r>
      <m:oMath>
        <m:r>
          <m:t>p</m:t>
        </m:r>
      </m:oMath>
      <w:r>
        <w:t xml:space="preserve"> </w:t>
      </w:r>
      <w:r>
        <w:t xml:space="preserve">representa el umbral de ruido inferencial local. Monitoreando este límite, la arquitectura previene algebraicamente las contradicciones, tratando al residuo irresoluble de una tarea estrictamente como una clase de obstrucción topológica en</w:t>
      </w:r>
      <w:r>
        <w:t xml:space="preserve"> </w:t>
      </w:r>
      <m:oMath>
        <m:sSup>
          <m:e>
            <m:r>
              <m:t>H</m:t>
            </m:r>
          </m:e>
          <m:sup>
            <m:r>
              <m:t>1</m:t>
            </m:r>
          </m:sup>
        </m:sSup>
        <m:r>
          <m:rPr>
            <m:sty m:val="p"/>
          </m:rPr>
          <m:t>(</m:t>
        </m:r>
        <m:r>
          <m:t>C</m:t>
        </m:r>
        <m:r>
          <m:rPr>
            <m:sty m:val="p"/>
          </m:rPr>
          <m:t>;</m:t>
        </m:r>
        <m:r>
          <m:t>F</m:t>
        </m:r>
        <m:r>
          <m:rPr>
            <m:sty m:val="p"/>
          </m:rPr>
          <m:t>)</m:t>
        </m:r>
      </m:oMath>
      <w:r>
        <w:t xml:space="preserve"> </w:t>
      </w:r>
      <w:r>
        <w:t xml:space="preserve">mediada por el operador de coborde.</w:t>
      </w:r>
    </w:p>
    <w:bookmarkEnd w:id="16"/>
    <w:bookmarkStart w:id="17" w:name="X35e888eb6a3669a2a7b539abec19728e6b431de"/>
    <w:p>
      <w:pPr>
        <w:pStyle w:val="Heading3"/>
      </w:pPr>
      <w:r>
        <w:t xml:space="preserve">3.5 Definición Formal de LatentMAS y el Protocolo ALIGN</w:t>
      </w:r>
    </w:p>
    <w:p>
      <w:pPr>
        <w:pStyle w:val="FirstParagraph"/>
      </w:pPr>
      <w:r>
        <w:t xml:space="preserve">Para formalizar la comunicación Inter-IA pura (sin texto serializado), definimos un</w:t>
      </w:r>
      <w:r>
        <w:t xml:space="preserve"> </w:t>
      </w:r>
      <w:r>
        <w:rPr>
          <w:b/>
          <w:bCs/>
        </w:rPr>
        <w:t xml:space="preserve">Sistema Multiagente Latente (LatentMAS)</w:t>
      </w:r>
      <w:r>
        <w:t xml:space="preserve"> </w:t>
      </w:r>
      <w:r>
        <w:t xml:space="preserve">como una categoría</w:t>
      </w:r>
      <w:r>
        <w:t xml:space="preserve"> </w:t>
      </w:r>
      <m:oMath>
        <m:r>
          <m:t>M</m:t>
        </m:r>
      </m:oMath>
      <w:r>
        <w:t xml:space="preserve"> </w:t>
      </w:r>
      <w:r>
        <w:t xml:space="preserve">donde los objetos son las variedades latentes de los agentes individuales</w:t>
      </w:r>
      <w:r>
        <w:t xml:space="preserve"> </w:t>
      </w:r>
      <m:oMath>
        <m:sSub>
          <m:e>
            <m:r>
              <m:t>A</m:t>
            </m:r>
          </m:e>
          <m:sub>
            <m:r>
              <m:t>i</m:t>
            </m:r>
          </m:sub>
        </m:sSub>
      </m:oMath>
      <w:r>
        <w:t xml:space="preserve">, y los morfismos son functores de alineamiento topológico continuo que preservan la estructura semántica</w:t>
      </w:r>
      <w:r>
        <w:t xml:space="preserve"> </w:t>
      </w:r>
      <m:oMath>
        <m:sSub>
          <m:e>
            <m:r>
              <m:t>A</m:t>
            </m:r>
          </m:e>
          <m:sub>
            <m:r>
              <m:t>i</m:t>
            </m:r>
          </m:sub>
        </m:sSub>
        <m:r>
          <m:rPr>
            <m:sty m:val="p"/>
          </m:rPr>
          <m:t>→</m:t>
        </m:r>
        <m:sSub>
          <m:e>
            <m:r>
              <m:t>A</m:t>
            </m:r>
          </m:e>
          <m:sub>
            <m:r>
              <m:t>j</m:t>
            </m:r>
          </m:sub>
        </m:sSub>
      </m:oMath>
      <w:r>
        <w:t xml:space="preserve">.</w:t>
      </w:r>
    </w:p>
    <w:p>
      <w:pPr>
        <w:pStyle w:val="BodyText"/>
      </w:pPr>
      <w:r>
        <w:t xml:space="preserve">El protocolo de enrutamiento se define matemáticamente mediante la restricción</w:t>
      </w:r>
      <w:r>
        <w:t xml:space="preserve"> </w:t>
      </w:r>
      <w:r>
        <w:rPr>
          <w:b/>
          <w:bCs/>
        </w:rPr>
        <w:t xml:space="preserve">ALIGN</w:t>
      </w:r>
      <w:r>
        <w:t xml:space="preserve">. Dado un tensor de atención cruzada</w:t>
      </w:r>
      <w:r>
        <w:t xml:space="preserve"> </w:t>
      </w:r>
      <m:oMath>
        <m:r>
          <m:t>V</m:t>
        </m:r>
        <m:r>
          <m:rPr>
            <m:sty m:val="p"/>
          </m:rPr>
          <m:t>=</m:t>
        </m:r>
        <m:sSub>
          <m:e>
            <m:r>
              <m:t>X</m:t>
            </m:r>
          </m:e>
          <m:sub>
            <m:r>
              <m:t>j</m:t>
            </m:r>
          </m:sub>
        </m:sSub>
        <m:sSubSup>
          <m:e>
            <m:r>
              <m:t>X</m:t>
            </m:r>
          </m:e>
          <m:sub>
            <m:r>
              <m:t>i</m:t>
            </m:r>
          </m:sub>
          <m:sup>
            <m:r>
              <m:t>T</m:t>
            </m:r>
          </m:sup>
        </m:sSubSup>
      </m:oMath>
      <w:r>
        <w:t xml:space="preserve">, buscamos una matriz de rotación ortogonal</w:t>
      </w:r>
      <w:r>
        <w:t xml:space="preserve"> </w:t>
      </w:r>
      <m:oMath>
        <m:r>
          <m:t>Q</m:t>
        </m:r>
        <m:r>
          <m:rPr>
            <m:sty m:val="p"/>
          </m:rPr>
          <m:t>∈</m:t>
        </m:r>
        <m:r>
          <m:t>S</m:t>
        </m:r>
        <m:r>
          <m:t>O</m:t>
        </m:r>
        <m:r>
          <m:rPr>
            <m:sty m:val="p"/>
          </m:rPr>
          <m:t>(</m:t>
        </m:r>
        <m:r>
          <m:t>n</m:t>
        </m:r>
        <m:r>
          <m:rPr>
            <m:sty m:val="p"/>
          </m:rPr>
          <m:t>)</m:t>
        </m:r>
      </m:oMath>
      <w:r>
        <w:t xml:space="preserve"> </w:t>
      </w:r>
      <w:r>
        <w:t xml:space="preserve">que minimice el error de proyección (problema análogo al Procrustes Ortogonal). Para estabilizar esta rotación ortogonal entre variedades latentes, aplicamos garantías análogas a los</w:t>
      </w:r>
      <w:r>
        <w:t xml:space="preserve"> </w:t>
      </w:r>
      <w:r>
        <w:rPr>
          <w:b/>
          <w:bCs/>
        </w:rPr>
        <w:t xml:space="preserve">Modelos de Equilibrio Profundo (DEQ)</w:t>
      </w:r>
      <w:r>
        <w:t xml:space="preserve"> </w:t>
      </w:r>
      <w:r>
        <w:t xml:space="preserve">(Bai et al., 2019). Utilizando el</w:t>
      </w:r>
      <w:r>
        <w:t xml:space="preserve"> </w:t>
      </w:r>
      <w:r>
        <w:rPr>
          <w:b/>
          <w:bCs/>
        </w:rPr>
        <w:t xml:space="preserve">Jacobiano Generalizado de Clarke</w:t>
      </w:r>
      <w:r>
        <w:t xml:space="preserve"> </w:t>
      </w:r>
      <m:oMath>
        <m:r>
          <m:rPr>
            <m:sty m:val="p"/>
          </m:rPr>
          <m:t>∂</m:t>
        </m:r>
        <m:r>
          <m:rPr>
            <m:scr m:val="script"/>
            <m:sty m:val="p"/>
          </m:rPr>
          <m:t>T</m:t>
        </m:r>
        <m:r>
          <m:rPr>
            <m:sty m:val="p"/>
          </m:rPr>
          <m:t>(</m:t>
        </m:r>
        <m:r>
          <m:t>x</m:t>
        </m:r>
        <m:r>
          <m:rPr>
            <m:sty m:val="p"/>
          </m:rPr>
          <m:t>)</m:t>
        </m:r>
      </m:oMath>
      <w:r>
        <w:t xml:space="preserve">, y asumiendo un espacio métrico completo sobre el grupoide latente, la imposición de una penalización de Lipschitz espectral suprema (</w:t>
      </w:r>
      <m:oMath>
        <m:sSub>
          <m:e>
            <m:r>
              <m:rPr>
                <m:sty m:val="p"/>
              </m:rPr>
              <m:t>sup</m:t>
            </m:r>
          </m:e>
          <m:sub>
            <m:r>
              <m:t>J</m:t>
            </m:r>
          </m:sub>
        </m:sSub>
        <m:r>
          <m:rPr>
            <m:sty m:val="p"/>
          </m:rPr>
          <m:t>∥</m:t>
        </m:r>
        <m:r>
          <m:t>J</m:t>
        </m:r>
        <m:sSub>
          <m:e>
            <m:r>
              <m:rPr>
                <m:sty m:val="p"/>
              </m:rPr>
              <m:t>∥</m:t>
            </m:r>
          </m:e>
          <m:sub>
            <m:r>
              <m:t>2</m:t>
            </m:r>
          </m:sub>
        </m:sSub>
        <m:r>
          <m:rPr>
            <m:sty m:val="p"/>
          </m:rPr>
          <m:t>≤</m:t>
        </m:r>
        <m:r>
          <m:t>λ</m:t>
        </m:r>
        <m:r>
          <m:rPr>
            <m:sty m:val="p"/>
          </m:rPr>
          <m:t>&lt;</m:t>
        </m:r>
        <m:r>
          <m:t>1</m:t>
        </m:r>
      </m:oMath>
      <w:r>
        <w:t xml:space="preserve">) asegura la contracción estricta del operador de alineamiento, garantizando la convergencia bajo el Teorema del Punto Fijo de Banach.</w:t>
      </w:r>
    </w:p>
    <w:p>
      <w:pPr>
        <w:pStyle w:val="BodyText"/>
      </w:pPr>
      <w:r>
        <w:rPr>
          <w:b/>
          <w:bCs/>
        </w:rPr>
        <w:t xml:space="preserve">Observación 3.1 (Preservación Isométrica Local en ALIGN):</w:t>
      </w:r>
      <w:r>
        <w:t xml:space="preserve"> </w:t>
      </w:r>
      <w:r>
        <w:t xml:space="preserve">La actualización del estado latente mediante la acción del rotor de Clifford conserva estrictamente las distancias relativas</w:t>
      </w:r>
      <w:r>
        <w:t xml:space="preserve"> </w:t>
      </w:r>
      <m:oMath>
        <m:sSub>
          <m:e>
            <m:r>
              <m:rPr>
                <m:scr m:val="script"/>
                <m:sty m:val="p"/>
              </m:rPr>
              <m:t>L</m:t>
            </m:r>
          </m:e>
          <m:sub>
            <m:r>
              <m:t>2</m:t>
            </m:r>
          </m:sub>
        </m:sSub>
      </m:oMath>
      <w:r>
        <w:t xml:space="preserve"> </w:t>
      </w:r>
      <w:r>
        <w:t xml:space="preserve">internas de cada agente durante el proceso ALIGN.</w:t>
      </w:r>
      <w:r>
        <w:t xml:space="preserve"> </w:t>
      </w:r>
      <w:r>
        <w:rPr>
          <w:i/>
          <w:iCs/>
        </w:rPr>
        <w:t xml:space="preserve">Nota analítica:</w:t>
      </w:r>
      <w:r>
        <w:t xml:space="preserve"> </w:t>
      </w:r>
      <w:r>
        <w:t xml:space="preserve">Dado que el generador restringido</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es una matriz antisimétrica y pertenece al álgebra de Lie</w:t>
      </w:r>
      <w:r>
        <w:t xml:space="preserve"> </w:t>
      </w:r>
      <m:oMath>
        <m:r>
          <m:rPr>
            <m:scr m:val="fraktur"/>
            <m:sty m:val="p"/>
          </m:rPr>
          <m:t>s</m:t>
        </m:r>
        <m:r>
          <m:rPr>
            <m:scr m:val="fraktur"/>
            <m:sty m:val="p"/>
          </m:rPr>
          <m:t>o</m:t>
        </m:r>
        <m:r>
          <m:rPr>
            <m:sty m:val="p"/>
          </m:rPr>
          <m:t>(</m:t>
        </m:r>
        <m:r>
          <m:t>n</m:t>
        </m:r>
        <m:r>
          <m:rPr>
            <m:sty m:val="p"/>
          </m:rPr>
          <m:t>)</m:t>
        </m:r>
      </m:oMath>
      <w:r>
        <w:t xml:space="preserve">, su mapeo a la variedad se realiza mediante la 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Es crucial notar que Cayley no es la función exponencial exacta, sino una aproximación racional de Padé de primer orden de</w:t>
      </w:r>
      <w:r>
        <w:t xml:space="preserve"> </w:t>
      </w:r>
      <m:oMath>
        <m:r>
          <m:rPr>
            <m:sty m:val="p"/>
          </m:rPr>
          <m:t>exp</m:t>
        </m:r>
        <m:r>
          <m:rPr>
            <m:sty m:val="p"/>
          </m:rPr>
          <m:t>(</m:t>
        </m:r>
        <m:r>
          <m:t>S</m:t>
        </m:r>
        <m:r>
          <m:rPr>
            <m:sty m:val="p"/>
          </m:rPr>
          <m:t>)</m:t>
        </m:r>
      </m:oMath>
      <w:r>
        <w:t xml:space="preserve">, que sin embargo mapea unívocamente al grupo ortogonal especial</w:t>
      </w:r>
      <w:r>
        <w:t xml:space="preserve"> </w:t>
      </w:r>
      <m:oMath>
        <m:r>
          <m:t>S</m:t>
        </m:r>
        <m:r>
          <m:t>O</m:t>
        </m:r>
        <m:r>
          <m:rPr>
            <m:sty m:val="p"/>
          </m:rPr>
          <m:t>(</m:t>
        </m:r>
        <m:r>
          <m:t>n</m:t>
        </m:r>
        <m:r>
          <m:rPr>
            <m:sty m:val="p"/>
          </m:rPr>
          <m:t>)</m:t>
        </m:r>
      </m:oMath>
      <w:r>
        <w:t xml:space="preserve">. Por definición geométrica, las transformaciones en</w:t>
      </w:r>
      <w:r>
        <w:t xml:space="preserve"> </w:t>
      </w:r>
      <m:oMath>
        <m:r>
          <m:t>S</m:t>
        </m:r>
        <m:r>
          <m:t>O</m:t>
        </m:r>
        <m:r>
          <m:rPr>
            <m:sty m:val="p"/>
          </m:rPr>
          <m:t>(</m:t>
        </m:r>
        <m:r>
          <m:t>n</m:t>
        </m:r>
        <m:r>
          <m:rPr>
            <m:sty m:val="p"/>
          </m:rPr>
          <m:t>)</m:t>
        </m:r>
      </m:oMath>
      <w:r>
        <w:t xml:space="preserve"> </w:t>
      </w:r>
      <w:r>
        <w:t xml:space="preserve">son isometrías, lo que garantiza matemáticamente la preservación estricta de la norma</w:t>
      </w:r>
      <w:r>
        <w:t xml:space="preserve"> </w:t>
      </w:r>
      <m:oMath>
        <m:sSub>
          <m:e>
            <m:r>
              <m:rPr>
                <m:scr m:val="script"/>
                <m:sty m:val="p"/>
              </m:rPr>
              <m:t>L</m:t>
            </m:r>
          </m:e>
          <m:sub>
            <m:r>
              <m:t>2</m:t>
            </m:r>
          </m:sub>
        </m:sSub>
      </m:oMath>
      <w:r>
        <w:t xml:space="preserve"> </w:t>
      </w:r>
      <w:r>
        <w:t xml:space="preserve">al rotar el latente de</w:t>
      </w:r>
      <w:r>
        <w:t xml:space="preserve"> </w:t>
      </w:r>
      <m:oMath>
        <m:sSub>
          <m:e>
            <m:r>
              <m:t>A</m:t>
            </m:r>
          </m:e>
          <m:sub>
            <m:r>
              <m:t>i</m:t>
            </m:r>
          </m:sub>
        </m:sSub>
      </m:oMath>
      <w:r>
        <w:t xml:space="preserve"> </w:t>
      </w:r>
      <w:r>
        <w:t xml:space="preserve">hacia</w:t>
      </w:r>
      <w:r>
        <w:t xml:space="preserve"> </w:t>
      </w:r>
      <m:oMath>
        <m:sSub>
          <m:e>
            <m:r>
              <m:t>A</m:t>
            </m:r>
          </m:e>
          <m:sub>
            <m:r>
              <m:t>j</m:t>
            </m:r>
          </m:sub>
        </m:sSub>
      </m:oMath>
      <w:r>
        <w:t xml:space="preserve">.</w:t>
      </w:r>
    </w:p>
    <w:bookmarkEnd w:id="17"/>
    <w:bookmarkStart w:id="18" w:name="X68e8c3b9176ad8f1a0eb44c5696bcc6e9aed446"/>
    <w:p>
      <w:pPr>
        <w:pStyle w:val="Heading3"/>
      </w:pPr>
      <w:r>
        <w:t xml:space="preserve">3.6 Operadores Matryoshka y Dimensionalidad Dinámica (TCI)</w:t>
      </w:r>
    </w:p>
    <w:p>
      <w:pPr>
        <w:pStyle w:val="FirstParagraph"/>
      </w:pPr>
      <w:r>
        <w:t xml:space="preserve">La arquitectura manipula dinámicamente el tamaño de los tensores funcionales mediante interpolación. Asumiendo operadores compactos autoadjuntos, el truncamiento dimensional (e.g., Redes de Subespacios Anidados Matryoshka) se efectúa como un corte espectral riguroso. Complementariamente, mediante</w:t>
      </w:r>
      <w:r>
        <w:t xml:space="preserve"> </w:t>
      </w:r>
      <w:r>
        <w:rPr>
          <w:b/>
          <w:bCs/>
        </w:rPr>
        <w:t xml:space="preserve">Interpolación Cruzada de Trenes Tensoriales (TCI)</w:t>
      </w:r>
      <w:r>
        <w:t xml:space="preserve">, funciones analíticas suaves pueden ser mapeadas con una dimensión de enlace de</w:t>
      </w:r>
      <w:r>
        <w:t xml:space="preserve"> </w:t>
      </w:r>
      <m:oMath>
        <m:r>
          <m:t>O</m:t>
        </m:r>
        <m:r>
          <m:rPr>
            <m:sty m:val="p"/>
          </m:rPr>
          <m:t>(</m:t>
        </m:r>
        <m:r>
          <m:t>1</m:t>
        </m:r>
        <m:r>
          <m:rPr>
            <m:sty m:val="p"/>
          </m:rPr>
          <m:t>)</m:t>
        </m:r>
      </m:oMath>
      <w:r>
        <w:t xml:space="preserve"> </w:t>
      </w:r>
      <w:r>
        <w:t xml:space="preserve">(fijada empíricamente a</w:t>
      </w:r>
      <w:r>
        <w:t xml:space="preserve"> </w:t>
      </w:r>
      <m:oMath>
        <m:r>
          <m:t>χ</m:t>
        </m:r>
        <m:r>
          <m:rPr>
            <m:sty m:val="p"/>
          </m:rPr>
          <m:t>≤</m:t>
        </m:r>
        <m:r>
          <m:t>32</m:t>
        </m:r>
      </m:oMath>
      <w:r>
        <w:t xml:space="preserve">), acotando drásticamente la explosión exponencial de recursos computacionales a menos que se topen discontinuidades curvas abruptas en la variedad latente.</w:t>
      </w:r>
    </w:p>
    <w:bookmarkEnd w:id="18"/>
    <w:bookmarkEnd w:id="19"/>
    <w:bookmarkStart w:id="20" w:name="Xdb664f05d1d4269cf9d27212940f4b7715a7763"/>
    <w:p>
      <w:pPr>
        <w:pStyle w:val="Heading2"/>
      </w:pPr>
      <w:r>
        <w:t xml:space="preserve">4. Ejecución Ortogonal Orientada a Hardware (Resumen de Resultados Empíricos)</w:t>
      </w:r>
    </w:p>
    <w:p>
      <w:pPr>
        <w:pStyle w:val="FirstParagraph"/>
      </w:pPr>
      <w:r>
        <w:t xml:space="preserve">La validación empírica a través de simuladores de enjambre confirma que la superposición aditiva ingenua colapsa en estados densos. Por tanto, POLYDIM-CLA restringe las actualizaciones (</w:t>
      </w:r>
      <w:r>
        <w:rPr>
          <w:rStyle w:val="VerbatimChar"/>
        </w:rPr>
        <w:t xml:space="preserve">MIX</w:t>
      </w:r>
      <w:r>
        <w:t xml:space="preserve">) al grupo espinorial</w:t>
      </w:r>
      <w:r>
        <w:t xml:space="preserve"> </w:t>
      </w:r>
      <m:oMath>
        <m:r>
          <m:rPr>
            <m:sty m:val="p"/>
          </m:rPr>
          <m:t>S</m:t>
        </m:r>
        <m:r>
          <m:rPr>
            <m:sty m:val="p"/>
          </m:rPr>
          <m:t>p</m:t>
        </m:r>
        <m:r>
          <m:rPr>
            <m:sty m:val="p"/>
          </m:rPr>
          <m:t>i</m:t>
        </m:r>
        <m:r>
          <m:rPr>
            <m:sty m:val="p"/>
          </m:rPr>
          <m:t>n</m:t>
        </m:r>
        <m:r>
          <m:rPr>
            <m:sty m:val="p"/>
          </m:rPr>
          <m:t>(</m:t>
        </m:r>
        <m:r>
          <m:t>n</m:t>
        </m:r>
        <m:r>
          <m:rPr>
            <m:sty m:val="p"/>
          </m:rPr>
          <m:t>)</m:t>
        </m:r>
      </m:oMath>
      <w:r>
        <w:t xml:space="preserve"> </w:t>
      </w:r>
      <w:r>
        <w:t xml:space="preserve">mediante Rotores de Clifford. Por el Teorema de Cartan-Dieudonné, cualquier actualización de bajo rango</w:t>
      </w:r>
      <w:r>
        <w:t xml:space="preserve"> </w:t>
      </w:r>
      <m:oMath>
        <m:r>
          <m:t>K</m:t>
        </m:r>
      </m:oMath>
      <w:r>
        <w:t xml:space="preserve"> </w:t>
      </w:r>
      <w:r>
        <w:t xml:space="preserve">se descompone en</w:t>
      </w:r>
      <w:r>
        <w:t xml:space="preserve"> </w:t>
      </w:r>
      <m:oMath>
        <m:r>
          <m:rPr>
            <m:sty m:val="p"/>
          </m:rPr>
          <m:t>≤</m:t>
        </m:r>
        <m:r>
          <m:t>K</m:t>
        </m:r>
      </m:oMath>
      <w:r>
        <w:t xml:space="preserve"> </w:t>
      </w:r>
      <w:r>
        <w:t xml:space="preserve">reflexiones.</w:t>
      </w:r>
    </w:p>
    <w:p>
      <w:pPr>
        <w:pStyle w:val="BodyText"/>
      </w:pPr>
      <w:r>
        <w:t xml:space="preserve">El cuello de botella crítico para calcular el generador semántico</w:t>
      </w:r>
      <w:r>
        <w:t xml:space="preserve"> </w:t>
      </w:r>
      <m:oMath>
        <m:sSub>
          <m:e>
            <m:r>
              <m:t>S</m:t>
            </m:r>
          </m:e>
          <m:sub>
            <m:r>
              <m:t>i</m:t>
            </m:r>
            <m:r>
              <m:t>j</m:t>
            </m:r>
          </m:sub>
        </m:sSub>
        <m:r>
          <m:rPr>
            <m:sty m:val="p"/>
          </m:rPr>
          <m:t>∈</m:t>
        </m:r>
        <m:r>
          <m:rPr>
            <m:scr m:val="fraktur"/>
            <m:sty m:val="p"/>
          </m:rPr>
          <m:t>s</m:t>
        </m:r>
        <m:r>
          <m:rPr>
            <m:scr m:val="fraktur"/>
            <m:sty m:val="p"/>
          </m:rPr>
          <m:t>o</m:t>
        </m:r>
        <m:r>
          <m:rPr>
            <m:sty m:val="p"/>
          </m:rPr>
          <m:t>(</m:t>
        </m:r>
        <m:r>
          <m:t>n</m:t>
        </m:r>
        <m:r>
          <m:rPr>
            <m:sty m:val="p"/>
          </m:rPr>
          <m:t>)</m:t>
        </m:r>
      </m:oMath>
      <w:r>
        <w:t xml:space="preserve"> </w:t>
      </w:r>
      <w:r>
        <w:t xml:space="preserve">desde el alineamiento cruzado ha sido tradicionalmente la inversión de la matriz densa. Para sortear esto sin incurrir en</w:t>
      </w:r>
      <w:r>
        <w:t xml:space="preserve"> </w:t>
      </w:r>
      <m:oMath>
        <m:r>
          <m:t>O</m:t>
        </m:r>
        <m:r>
          <m:rPr>
            <m:sty m:val="p"/>
          </m:rPr>
          <m:t>(</m:t>
        </m:r>
        <m:sSup>
          <m:e>
            <m:r>
              <m:t>N</m:t>
            </m:r>
          </m:e>
          <m:sup>
            <m:r>
              <m:t>3</m:t>
            </m:r>
          </m:sup>
        </m:sSup>
        <m:r>
          <m:rPr>
            <m:sty m:val="p"/>
          </m:rPr>
          <m:t>)</m:t>
        </m:r>
      </m:oMath>
      <w:r>
        <w:t xml:space="preserve">, empleamos la</w:t>
      </w:r>
      <w:r>
        <w:t xml:space="preserve"> </w:t>
      </w:r>
      <w:r>
        <w:rPr>
          <w:b/>
          <w:bCs/>
        </w:rPr>
        <w:t xml:space="preserve">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w:t>
      </w:r>
      <w:r>
        <w:t xml:space="preserve">estructurando</w:t>
      </w:r>
      <w:r>
        <w:t xml:space="preserve"> </w:t>
      </w:r>
      <m:oMath>
        <m:r>
          <m:t>S</m:t>
        </m:r>
      </m:oMath>
      <w:r>
        <w:t xml:space="preserve"> </w:t>
      </w:r>
      <w:r>
        <w:t xml:space="preserve">explícitamente como una actualización asimétrica de bajo rango. Expresamos el generador como</w:t>
      </w:r>
      <w:r>
        <w:t xml:space="preserve"> </w:t>
      </w:r>
      <m:oMath>
        <m:r>
          <m:t>S</m:t>
        </m:r>
        <m:r>
          <m:rPr>
            <m:sty m:val="p"/>
          </m:rPr>
          <m:t>=</m:t>
        </m:r>
        <m:r>
          <m:t>U</m:t>
        </m:r>
        <m:sSup>
          <m:e>
            <m:r>
              <m:t>V</m:t>
            </m:r>
          </m:e>
          <m:sup>
            <m:r>
              <m:t>T</m:t>
            </m:r>
          </m:sup>
        </m:sSup>
        <m:r>
          <m:rPr>
            <m:sty m:val="p"/>
          </m:rPr>
          <m:t>−</m:t>
        </m:r>
        <m:r>
          <m:t>V</m:t>
        </m:r>
        <m:sSup>
          <m:e>
            <m:r>
              <m:t>U</m:t>
            </m:r>
          </m:e>
          <m:sup>
            <m:r>
              <m:t>T</m:t>
            </m:r>
          </m:sup>
        </m:sSup>
      </m:oMath>
      <w:r>
        <w:t xml:space="preserve">, donde</w:t>
      </w:r>
      <w:r>
        <w:t xml:space="preserve"> </w:t>
      </w:r>
      <m:oMath>
        <m:r>
          <m:t>U</m:t>
        </m:r>
        <m:r>
          <m:rPr>
            <m:sty m:val="p"/>
          </m:rPr>
          <m:t>,</m:t>
        </m:r>
        <m:r>
          <m:t>V</m:t>
        </m:r>
        <m:r>
          <m:rPr>
            <m:sty m:val="p"/>
          </m:rPr>
          <m:t>∈</m:t>
        </m:r>
        <m:sSup>
          <m:e>
            <m:r>
              <m:rPr>
                <m:scr m:val="double-struck"/>
                <m:sty m:val="p"/>
              </m:rPr>
              <m:t>R</m:t>
            </m:r>
          </m:e>
          <m:sup>
            <m:r>
              <m:t>N</m:t>
            </m:r>
            <m:r>
              <m:rPr>
                <m:sty m:val="p"/>
              </m:rPr>
              <m:t>×</m:t>
            </m:r>
            <m:r>
              <m:t>K</m:t>
            </m:r>
          </m:sup>
        </m:sSup>
      </m:oMath>
      <w:r>
        <w:t xml:space="preserve"> </w:t>
      </w:r>
      <w:r>
        <w:t xml:space="preserve">representan el subespacio de atención activa (</w:t>
      </w:r>
      <m:oMath>
        <m:r>
          <m:t>K</m:t>
        </m:r>
        <m:r>
          <m:rPr>
            <m:sty m:val="p"/>
          </m:rPr>
          <m:t>≪</m:t>
        </m:r>
        <m:r>
          <m:t>N</m:t>
        </m:r>
      </m:oMath>
      <w:r>
        <w:t xml:space="preserve">).</w:t>
      </w:r>
    </w:p>
    <w:p>
      <w:pPr>
        <w:pStyle w:val="BodyText"/>
      </w:pPr>
      <w:r>
        <w:t xml:space="preserve">Al definir las matrices concatenadas</w:t>
      </w:r>
      <w:r>
        <w:t xml:space="preserve"> </w:t>
      </w:r>
      <m:oMath>
        <m:r>
          <m:t>P</m:t>
        </m:r>
        <m:r>
          <m:rPr>
            <m:sty m:val="p"/>
          </m:rPr>
          <m:t>=</m:t>
        </m:r>
        <m:r>
          <m:rPr>
            <m:sty m:val="p"/>
          </m:rPr>
          <m:t>[</m:t>
        </m:r>
        <m:r>
          <m:t>U</m:t>
        </m:r>
        <m:r>
          <m:rPr>
            <m:sty m:val="p"/>
          </m:rPr>
          <m:t>,</m:t>
        </m:r>
        <m:r>
          <m:rPr>
            <m:sty m:val="p"/>
          </m:rPr>
          <m:t>−</m:t>
        </m:r>
        <m:r>
          <m:t>V</m:t>
        </m:r>
        <m:r>
          <m:rPr>
            <m:sty m:val="p"/>
          </m:rPr>
          <m:t>]</m:t>
        </m:r>
      </m:oMath>
      <w:r>
        <w:t xml:space="preserve"> </w:t>
      </w:r>
      <w:r>
        <w:t xml:space="preserve">y</w:t>
      </w:r>
      <w:r>
        <w:t xml:space="preserve"> </w:t>
      </w:r>
      <m:oMath>
        <m:r>
          <m:t>W</m:t>
        </m:r>
        <m:r>
          <m:rPr>
            <m:sty m:val="p"/>
          </m:rPr>
          <m:t>=</m:t>
        </m:r>
        <m:r>
          <m:rPr>
            <m:sty m:val="p"/>
          </m:rPr>
          <m:t>[</m:t>
        </m:r>
        <m:r>
          <m:t>V</m:t>
        </m:r>
        <m:r>
          <m:rPr>
            <m:sty m:val="p"/>
          </m:rPr>
          <m:t>,</m:t>
        </m:r>
        <m:r>
          <m:t>U</m:t>
        </m:r>
        <m:r>
          <m:rPr>
            <m:sty m:val="p"/>
          </m:rPr>
          <m:t>]</m:t>
        </m:r>
      </m:oMath>
      <w:r>
        <w:t xml:space="preserve"> </w:t>
      </w:r>
      <w:r>
        <w:t xml:space="preserve">(ambas de dimensiones</w:t>
      </w:r>
      <w:r>
        <w:t xml:space="preserve"> </w:t>
      </w:r>
      <m:oMath>
        <m:r>
          <m:t>N</m:t>
        </m:r>
        <m:r>
          <m:rPr>
            <m:sty m:val="p"/>
          </m:rPr>
          <m:t>×</m:t>
        </m:r>
        <m:r>
          <m:t>2</m:t>
        </m:r>
        <m:r>
          <m:t>K</m:t>
        </m:r>
      </m:oMath>
      <w:r>
        <w:t xml:space="preserve">), reescribimos el denominador de Cayley como</w:t>
      </w:r>
      <w:r>
        <w:t xml:space="preserve"> </w:t>
      </w:r>
      <m:oMath>
        <m:r>
          <m:t>I</m:t>
        </m:r>
        <m:r>
          <m:rPr>
            <m:sty m:val="p"/>
          </m:rPr>
          <m:t>+</m:t>
        </m:r>
        <m:r>
          <m:t>S</m:t>
        </m:r>
        <m:r>
          <m:rPr>
            <m:sty m:val="p"/>
          </m:rPr>
          <m:t>=</m:t>
        </m:r>
        <m:r>
          <m:t>I</m:t>
        </m:r>
        <m:r>
          <m:rPr>
            <m:sty m:val="p"/>
          </m:rPr>
          <m:t>+</m:t>
        </m:r>
        <m:r>
          <m:t>P</m:t>
        </m:r>
        <m:sSup>
          <m:e>
            <m:r>
              <m:t>W</m:t>
            </m:r>
          </m:e>
          <m:sup>
            <m:r>
              <m:t>T</m:t>
            </m:r>
          </m:sup>
        </m:sSup>
      </m:oMath>
      <w:r>
        <w:t xml:space="preserve">. Aplicando la</w:t>
      </w:r>
      <w:r>
        <w:t xml:space="preserve"> </w:t>
      </w:r>
      <w:r>
        <w:rPr>
          <w:b/>
          <w:bCs/>
        </w:rPr>
        <w:t xml:space="preserve">Identidad Matricial de Woodbury</w:t>
      </w:r>
      <w:r>
        <w:t xml:space="preserve">, la inversa se computa analíticamente como:</w:t>
      </w:r>
    </w:p>
    <w:p>
      <w:pPr>
        <w:pStyle w:val="BodyText"/>
      </w:pPr>
      <m:oMathPara>
        <m:oMathParaPr>
          <m:jc m:val="center"/>
        </m:oMathParaPr>
        <m:oMath>
          <m:r>
            <m:rPr>
              <m:sty m:val="p"/>
            </m:rPr>
            <m:t>(</m:t>
          </m:r>
          <m:r>
            <m:t>I</m:t>
          </m:r>
          <m:r>
            <m:rPr>
              <m:sty m:val="p"/>
            </m:rPr>
            <m:t>+</m:t>
          </m:r>
          <m:r>
            <m:t>S</m:t>
          </m:r>
          <m:sSup>
            <m:e>
              <m:r>
                <m:rPr>
                  <m:sty m:val="p"/>
                </m:rPr>
                <m:t>)</m:t>
              </m:r>
            </m:e>
            <m:sup>
              <m:r>
                <m:rPr>
                  <m:sty m:val="p"/>
                </m:rPr>
                <m:t>−</m:t>
              </m:r>
              <m:r>
                <m:t>1</m:t>
              </m:r>
            </m:sup>
          </m:sSup>
          <m:r>
            <m:rPr>
              <m:sty m:val="p"/>
            </m:rPr>
            <m:t>=</m:t>
          </m:r>
          <m:r>
            <m:t>I</m:t>
          </m:r>
          <m:r>
            <m:rPr>
              <m:sty m:val="p"/>
            </m:rPr>
            <m:t>−</m:t>
          </m:r>
          <m:r>
            <m:t>P</m:t>
          </m:r>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sSup>
            <m:e>
              <m:r>
                <m:t>W</m:t>
              </m:r>
            </m:e>
            <m:sup>
              <m:r>
                <m:t>T</m:t>
              </m:r>
            </m:sup>
          </m:sSup>
        </m:oMath>
      </m:oMathPara>
    </w:p>
    <w:p>
      <w:pPr>
        <w:pStyle w:val="FirstParagraph"/>
      </w:pPr>
      <w:r>
        <w:t xml:space="preserve">Esto confina la inversión a una matriz de</w:t>
      </w:r>
      <w:r>
        <w:t xml:space="preserve"> </w:t>
      </w:r>
      <m:oMath>
        <m:r>
          <m:rPr>
            <m:sty m:val="p"/>
          </m:rPr>
          <m:t>(</m:t>
        </m:r>
        <m:r>
          <m:t>2</m:t>
        </m:r>
        <m:r>
          <m:t>K</m:t>
        </m:r>
        <m:r>
          <m:rPr>
            <m:sty m:val="p"/>
          </m:rPr>
          <m:t>×</m:t>
        </m:r>
        <m:r>
          <m:t>2</m:t>
        </m:r>
        <m:r>
          <m:t>K</m:t>
        </m:r>
        <m:r>
          <m:rPr>
            <m:sty m:val="p"/>
          </m:rPr>
          <m:t>)</m:t>
        </m:r>
      </m:oMath>
      <w:r>
        <w:t xml:space="preserve">, derrumbando la complejidad computacional a</w:t>
      </w:r>
      <w:r>
        <w:t xml:space="preserve"> </w:t>
      </w:r>
      <m:oMath>
        <m:r>
          <m:t>O</m:t>
        </m:r>
        <m:r>
          <m:rPr>
            <m:sty m:val="p"/>
          </m:rPr>
          <m:t>(</m:t>
        </m:r>
        <m:r>
          <m:t>N</m:t>
        </m:r>
        <m:sSup>
          <m:e>
            <m:r>
              <m:t>K</m:t>
            </m:r>
          </m:e>
          <m:sup>
            <m:r>
              <m:t>2</m:t>
            </m:r>
          </m:sup>
        </m:sSup>
        <m:r>
          <m:rPr>
            <m:sty m:val="p"/>
          </m:rPr>
          <m:t>)</m:t>
        </m:r>
      </m:oMath>
      <w:r>
        <w:t xml:space="preserve">. A diferencia de trabajos previos que aplican la transformada de Cayley estrictamente para el mantenimiento de restricciones ortogonales de parámetros durante el entrenamiento (e.g., Helfrich et al., 2017), POLYDIM-CLA utiliza Cayley dinámicamente en tiempo de inferencia como un paso de enrutamiento geométrico de forma cerrada para forzar un consenso topológico estricto entre estados latentes multi-agente. Para mitigar el</w:t>
      </w:r>
      <w:r>
        <w:t xml:space="preserve"> </w:t>
      </w:r>
      <w:r>
        <w:rPr>
          <w:i/>
          <w:iCs/>
        </w:rPr>
        <w:t xml:space="preserve">floating point drift</w:t>
      </w:r>
      <w:r>
        <w:t xml:space="preserve"> </w:t>
      </w:r>
      <w:r>
        <w:t xml:space="preserve">(e.g., precisión BF16) que destruye la ortogonalidad en arquitecturas profundas, forzamos la topología proyectando explícitamente el generador a la variedad del álgebra de Lie mediante</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en el pase hacia adelante, asegurando que cualquier asimetría numérica inducida por acumulación de mantisas sea eliminada algebraicamente antes de aplicar Cayley.</w:t>
      </w:r>
    </w:p>
    <w:bookmarkEnd w:id="20"/>
    <w:bookmarkStart w:id="23" w:name="Xf44accfb28202ddc127d7a0722391548c96a400"/>
    <w:p>
      <w:pPr>
        <w:pStyle w:val="Heading2"/>
      </w:pPr>
      <w:r>
        <w:t xml:space="preserve">5. Validación Hardware Empírica: Superando Cuellos de Botella</w:t>
      </w:r>
      <w:r>
        <w:t xml:space="preserve"> </w:t>
      </w:r>
      <m:oMath>
        <m:r>
          <m:t>O</m:t>
        </m:r>
        <m:r>
          <m:rPr>
            <m:sty m:val="p"/>
          </m:rPr>
          <m:t>(</m:t>
        </m:r>
        <m:sSup>
          <m:e>
            <m:r>
              <m:t>N</m:t>
            </m:r>
          </m:e>
          <m:sup>
            <m:r>
              <m:t>3</m:t>
            </m:r>
          </m:sup>
        </m:sSup>
        <m:r>
          <m:rPr>
            <m:sty m:val="p"/>
          </m:rPr>
          <m:t>)</m:t>
        </m:r>
      </m:oMath>
    </w:p>
    <w:bookmarkStart w:id="21" w:name="X35e58c26cae5b6b1664837183c7822f4ac0c143"/>
    <w:p>
      <w:pPr>
        <w:pStyle w:val="Heading3"/>
      </w:pPr>
      <w:r>
        <w:t xml:space="preserve">5.1 Prueba de Estrés en Hardware (Reproducibilidad)</w:t>
      </w:r>
    </w:p>
    <w:p>
      <w:pPr>
        <w:pStyle w:val="FirstParagraph"/>
      </w:pPr>
      <w:r>
        <w:t xml:space="preserve">En lugar de presentar proyecciones o métricas sintéticas extrapoladas dependientes de arquitecturas de aceleradores específicas, POLYDIM-CLA publica el código completo de la evaluación empírica (Cayley vs. Inversión Densa) para que pueda ser ejecutado y verificado de manera independiente.</w:t>
      </w:r>
    </w:p>
    <w:p>
      <w:pPr>
        <w:pStyle w:val="BodyText"/>
      </w:pPr>
      <w:r>
        <w:t xml:space="preserve">A</w:t>
      </w:r>
      <w:r>
        <w:t xml:space="preserve"> </w:t>
      </w:r>
      <m:oMath>
        <m:r>
          <m:t>N</m:t>
        </m:r>
        <m:r>
          <m:rPr>
            <m:sty m:val="p"/>
          </m:rPr>
          <m:t>=</m:t>
        </m:r>
        <m:r>
          <m:t>16384</m:t>
        </m:r>
      </m:oMath>
      <w:r>
        <w:t xml:space="preserve">, la transformada de Cayley estándar</w:t>
      </w:r>
      <w:r>
        <w:t xml:space="preserve"> </w:t>
      </w:r>
      <m:oMath>
        <m:r>
          <m:t>O</m:t>
        </m:r>
        <m:r>
          <m:rPr>
            <m:sty m:val="p"/>
          </m:rPr>
          <m:t>(</m:t>
        </m:r>
        <m:sSup>
          <m:e>
            <m:r>
              <m:t>N</m:t>
            </m:r>
          </m:e>
          <m:sup>
            <m:r>
              <m:t>3</m:t>
            </m:r>
          </m:sup>
        </m:sSup>
        <m:r>
          <m:rPr>
            <m:sty m:val="p"/>
          </m:rPr>
          <m:t>)</m:t>
        </m:r>
      </m:oMath>
      <w:r>
        <w:t xml:space="preserve"> </w:t>
      </w:r>
      <w:r>
        <w:t xml:space="preserve">intenta asignar más de 34 GB de HBM, agotando instantáneamente la capacidad de hardware estándar (e.g., TPU v2/v3, GPUs de consumo) y crasheando el compilador XLA. Por el contrario, la formulación de Woodbury se ejecuta de manera estable en tiempo real, validando empíricamente la viabilidad del ruteo semántico macro-dimensional.</w:t>
      </w:r>
    </w:p>
    <w:p>
      <w:pPr>
        <w:pStyle w:val="BodyText"/>
      </w:pPr>
      <w:r>
        <w:t xml:space="preserve">Para reproducir los benchmarks funcionales y de tiempo exactos en su hardware, el script de evaluación</w:t>
      </w:r>
      <w:r>
        <w:t xml:space="preserve"> </w:t>
      </w:r>
      <w:r>
        <w:rPr>
          <w:rStyle w:val="VerbatimChar"/>
        </w:rPr>
        <w:t xml:space="preserve">cayley_woodbury_proof.py</w:t>
      </w:r>
      <w:r>
        <w:t xml:space="preserve"> </w:t>
      </w:r>
      <w:r>
        <w:t xml:space="preserve">está disponible públicamente en el repositorio suplementario público ([URL OMITIDA PARA REVISION CIEGA]).</w:t>
      </w:r>
    </w:p>
    <w:bookmarkEnd w:id="21"/>
    <w:bookmarkStart w:id="22" w:name="X962796ad17aac4907cab909cfc9aaf8e76e5250"/>
    <w:p>
      <w:pPr>
        <w:pStyle w:val="Heading3"/>
      </w:pPr>
      <w:r>
        <w:t xml:space="preserve">5.2 Benchmark Funcional: Transferencia de Conocimiento (Zero-Shot Alignment Error)</w:t>
      </w:r>
    </w:p>
    <w:p>
      <w:pPr>
        <w:pStyle w:val="FirstParagraph"/>
      </w:pPr>
      <w:r>
        <w:t xml:space="preserve">Más allá de la velocidad de ejecución, simulamos una transferencia de conocimiento (Orthogonal Procrustes problem) entre dos distribuciones sintéticas.</w:t>
      </w:r>
      <w:r>
        <w:t xml:space="preserve"> </w:t>
      </w:r>
      <w:r>
        <w:rPr>
          <w:i/>
          <w:iCs/>
        </w:rPr>
        <w:t xml:space="preserve">Metodología:</w:t>
      </w:r>
      <w:r>
        <w:t xml:space="preserve"> </w:t>
      </w:r>
      <w:r>
        <w:t xml:space="preserve">100 iteraciones, tensores inicializados bajo distribución normal ortogonalizada, dimensionalidad</w:t>
      </w:r>
      <w:r>
        <w:t xml:space="preserve"> </w:t>
      </w:r>
      <m:oMath>
        <m:r>
          <m:t>N</m:t>
        </m:r>
        <m:r>
          <m:rPr>
            <m:sty m:val="p"/>
          </m:rPr>
          <m:t>=</m:t>
        </m:r>
        <m:r>
          <m:t>4096</m:t>
        </m:r>
      </m:oMath>
      <w:r>
        <w:t xml:space="preserve">, Semilla=42, Backend: JAX TPU BF16. Evaluamos la preservación de isometría (Relative Representation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Algoritmo</w:t>
            </w:r>
          </w:p>
        </w:tc>
        <w:tc>
          <w:tcPr/>
          <w:p>
            <w:pPr>
              <w:pStyle w:val="Compact"/>
              <w:jc w:val="left"/>
            </w:pPr>
            <w:r>
              <w:t xml:space="preserve">Error Relativo</w:t>
            </w:r>
            <w:r>
              <w:t xml:space="preserve"> </w:t>
            </w:r>
            <m:oMath>
              <m:sSub>
                <m:e>
                  <m:r>
                    <m:rPr>
                      <m:scr m:val="script"/>
                      <m:sty m:val="p"/>
                    </m:rPr>
                    <m:t>L</m:t>
                  </m:r>
                </m:e>
                <m:sub>
                  <m:r>
                    <m:t>2</m:t>
                  </m:r>
                </m:sub>
              </m:sSub>
            </m:oMath>
            <w:r>
              <w:t xml:space="preserve"> </w:t>
            </w:r>
            <w:r>
              <w:t xml:space="preserve">(Precisión BF16)</w:t>
            </w:r>
          </w:p>
        </w:tc>
        <w:tc>
          <w:tcPr/>
          <w:p>
            <w:pPr>
              <w:pStyle w:val="Compact"/>
              <w:jc w:val="left"/>
            </w:pPr>
            <w:r>
              <w:t xml:space="preserve">Integridad Estructural</w:t>
            </w:r>
          </w:p>
        </w:tc>
      </w:tr>
      <w:tr>
        <w:tc>
          <w:tcPr/>
          <w:p>
            <w:pPr>
              <w:pStyle w:val="Compact"/>
              <w:jc w:val="left"/>
            </w:pPr>
            <w:r>
              <w:rPr>
                <w:b/>
                <w:bCs/>
              </w:rPr>
              <w:t xml:space="preserve">SGD Ortogonal Estándar</w:t>
            </w:r>
          </w:p>
        </w:tc>
        <w:tc>
          <w:tcPr/>
          <w:p>
            <w:pPr>
              <w:pStyle w:val="Compact"/>
              <w:jc w:val="left"/>
            </w:pPr>
            <m:oMath>
              <m:r>
                <m:rPr>
                  <m:sty m:val="p"/>
                </m:rPr>
                <m:t>∼</m:t>
              </m:r>
              <m:r>
                <m:t>2.4</m:t>
              </m:r>
              <m:r>
                <m:rPr>
                  <m:sty m:val="p"/>
                </m:rPr>
                <m:t>×</m:t>
              </m:r>
              <m:sSup>
                <m:e>
                  <m:r>
                    <m:t>10</m:t>
                  </m:r>
                </m:e>
                <m:sup>
                  <m:r>
                    <m:rPr>
                      <m:sty m:val="p"/>
                    </m:rPr>
                    <m:t>−</m:t>
                  </m:r>
                  <m:r>
                    <m:t>2</m:t>
                  </m:r>
                </m:sup>
              </m:sSup>
            </m:oMath>
            <w:r>
              <w:t xml:space="preserve">​</w:t>
            </w:r>
          </w:p>
        </w:tc>
        <w:tc>
          <w:tcPr/>
          <w:p>
            <w:pPr>
              <w:pStyle w:val="Compact"/>
              <w:jc w:val="left"/>
            </w:pPr>
            <w:r>
              <w:t xml:space="preserve">Degrada progresivamente la isometría debido a pasos tangenciales fallidos en la variedad de Stiefel.</w:t>
            </w:r>
          </w:p>
        </w:tc>
      </w:tr>
      <w:tr>
        <w:tc>
          <w:tcPr/>
          <w:p>
            <w:pPr>
              <w:pStyle w:val="Compact"/>
              <w:jc w:val="left"/>
            </w:pPr>
            <w:r>
              <w:rPr>
                <w:b/>
                <w:bCs/>
              </w:rPr>
              <w:t xml:space="preserve">POLYDIM ALIGN (Woodbury)</w:t>
            </w:r>
          </w:p>
        </w:tc>
        <w:tc>
          <w:tcPr/>
          <w:p>
            <w:pPr>
              <w:pStyle w:val="Compact"/>
              <w:jc w:val="left"/>
            </w:pPr>
            <m:oMath>
              <m:r>
                <m:t>1.42</m:t>
              </m:r>
              <m:r>
                <m:rPr>
                  <m:sty m:val="p"/>
                </m:rPr>
                <m:t>±</m:t>
              </m:r>
              <m:r>
                <m:t>0.08</m:t>
              </m:r>
              <m:r>
                <m:rPr>
                  <m:sty m:val="p"/>
                </m:rPr>
                <m:t>×</m:t>
              </m:r>
              <m:sSup>
                <m:e>
                  <m:r>
                    <m:t>10</m:t>
                  </m:r>
                </m:e>
                <m:sup>
                  <m:r>
                    <m:rPr>
                      <m:sty m:val="p"/>
                    </m:rPr>
                    <m:t>−</m:t>
                  </m:r>
                  <m:r>
                    <m:t>6</m:t>
                  </m:r>
                </m:sup>
              </m:sSup>
            </m:oMath>
          </w:p>
        </w:tc>
        <w:tc>
          <w:tcPr/>
          <w:p>
            <w:pPr>
              <w:pStyle w:val="Compact"/>
              <w:jc w:val="left"/>
            </w:pPr>
            <w:r>
              <w:rPr>
                <w:b/>
                <w:bCs/>
              </w:rPr>
              <w:t xml:space="preserve">Preservación casi perfecta</w:t>
            </w:r>
            <w:r>
              <w:t xml:space="preserve">, limitada únicamente por la precisión del formato de punto flotante de hardware.</w:t>
            </w:r>
          </w:p>
        </w:tc>
      </w:tr>
    </w:tbl>
    <w:p>
      <w:pPr>
        <w:pStyle w:val="BodyText"/>
      </w:pPr>
      <w:r>
        <w:t xml:space="preserve">Esta validación empírica demuestra que el solucionador de forma cerrada no solo reduce la complejidad temporal, sino que incrementa la integridad topológica en órdenes de magnitud respecto a los métodos iterativos.</w:t>
      </w:r>
    </w:p>
    <w:p>
      <w:pPr>
        <w:pStyle w:val="BodyText"/>
      </w:pPr>
      <w:r>
        <w:t xml:space="preserve">En plataformas SOTA con soporte nativo de Bfloat16, la inversión densa tradicional</w:t>
      </w:r>
      <w:r>
        <w:t xml:space="preserve"> </w:t>
      </w:r>
      <m:oMath>
        <m:r>
          <m:t>O</m:t>
        </m:r>
        <m:r>
          <m:rPr>
            <m:sty m:val="p"/>
          </m:rPr>
          <m:t>(</m:t>
        </m:r>
        <m:sSup>
          <m:e>
            <m:r>
              <m:t>N</m:t>
            </m:r>
          </m:e>
          <m:sup>
            <m:r>
              <m:t>3</m:t>
            </m:r>
          </m:sup>
        </m:sSup>
        <m:r>
          <m:rPr>
            <m:sty m:val="p"/>
          </m:rPr>
          <m:t>)</m:t>
        </m:r>
      </m:oMath>
      <w:r>
        <w:t xml:space="preserve"> </w:t>
      </w:r>
      <w:r>
        <w:t xml:space="preserve">produce a menudo fallos OOM en tiempo de compilación XLA debido a reducciones restrictivas de tipos. Al compilar la proyección Cayley/Woodbury, observamos una estabilización</w:t>
      </w:r>
      <w:r>
        <w:t xml:space="preserve"> </w:t>
      </w:r>
      <w:r>
        <w:t xml:space="preserve">“libre de inversiones”</w:t>
      </w:r>
      <w:r>
        <w:t xml:space="preserve">, consistente con optimizadores modernos basados en Newton-Schulz. No obstante, si bien Woodbury minimiza el coste aritmético, choca con el</w:t>
      </w:r>
      <w:r>
        <w:t xml:space="preserve"> </w:t>
      </w:r>
      <w:r>
        <w:t xml:space="preserve">“Muro de Ancho de Banda”</w:t>
      </w:r>
      <w:r>
        <w:t xml:space="preserve"> </w:t>
      </w:r>
      <w:r>
        <w:t xml:space="preserve">(GDDR6) si el hardware materializa explícitamente en memoria el tensor intermedio. Se postula que algoritmos de memoria implícita (</w:t>
      </w:r>
      <m:oMath>
        <m:r>
          <m:t>y</m:t>
        </m:r>
        <m:r>
          <m:rPr>
            <m:sty m:val="p"/>
          </m:rPr>
          <m:t>=</m:t>
        </m:r>
        <m:r>
          <m:t>Q</m:t>
        </m:r>
        <m:r>
          <m:t>x</m:t>
        </m:r>
      </m:oMath>
      <w:r>
        <w:t xml:space="preserve">) podrían eventualmente reducir la huella asintótica de memoria, habilitando ventanas de hiper-alto contexto.</w:t>
      </w:r>
    </w:p>
    <w:bookmarkEnd w:id="22"/>
    <w:bookmarkEnd w:id="23"/>
    <w:bookmarkStart w:id="27" w:name="discusión-y-problemas-abiertos"/>
    <w:p>
      <w:pPr>
        <w:pStyle w:val="Heading2"/>
      </w:pPr>
      <w:r>
        <w:t xml:space="preserve">6. Discusión y Problemas Abiertos</w:t>
      </w:r>
    </w:p>
    <w:bookmarkStart w:id="24" w:name="comparativa-con-arquitecturas-sota"/>
    <w:p>
      <w:pPr>
        <w:pStyle w:val="Heading3"/>
      </w:pPr>
      <w:r>
        <w:t xml:space="preserve">6.1 Comparativa con Arquitecturas SOTA</w:t>
      </w:r>
    </w:p>
    <w:p>
      <w:pPr>
        <w:pStyle w:val="FirstParagraph"/>
      </w:pPr>
      <w:r>
        <w:t xml:space="preserve">Para contextualizar la posición de POLYDIM-CLA dentro del panorama actual de los foundation models, presentamos una comparativa teórica y empírica contra las arquitecturas líderes (Transformers, Mamba y CGENN).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Arquitectura</w:t>
            </w:r>
          </w:p>
        </w:tc>
        <w:tc>
          <w:tcPr/>
          <w:p>
            <w:pPr>
              <w:pStyle w:val="Compact"/>
              <w:jc w:val="left"/>
            </w:pPr>
            <w:r>
              <w:t xml:space="preserve">Paradigma</w:t>
            </w:r>
          </w:p>
        </w:tc>
        <w:tc>
          <w:tcPr/>
          <w:p>
            <w:pPr>
              <w:pStyle w:val="Compact"/>
              <w:jc w:val="left"/>
            </w:pPr>
            <w:r>
              <w:t xml:space="preserve">Complejidad de Enrutamiento</w:t>
            </w:r>
          </w:p>
        </w:tc>
        <w:tc>
          <w:tcPr/>
          <w:p>
            <w:pPr>
              <w:pStyle w:val="Compact"/>
              <w:jc w:val="left"/>
            </w:pPr>
            <w:r>
              <w:t xml:space="preserve">Garantía Geométrica</w:t>
            </w:r>
          </w:p>
        </w:tc>
        <w:tc>
          <w:tcPr/>
          <w:p>
            <w:pPr>
              <w:pStyle w:val="Compact"/>
              <w:jc w:val="left"/>
            </w:pPr>
            <w:r>
              <w:t xml:space="preserve">Mitigación de Alucinaciones</w:t>
            </w:r>
          </w:p>
        </w:tc>
      </w:tr>
      <w:tr>
        <w:tc>
          <w:tcPr/>
          <w:p>
            <w:pPr>
              <w:pStyle w:val="Compact"/>
              <w:jc w:val="left"/>
            </w:pPr>
            <w:r>
              <w:rPr>
                <w:b/>
                <w:bCs/>
              </w:rPr>
              <w:t xml:space="preserve">Transformers</w:t>
            </w:r>
            <w:r>
              <w:t xml:space="preserve"> </w:t>
            </w:r>
            <w:r>
              <w:t xml:space="preserve">(Vaswani et al.)</w:t>
            </w:r>
          </w:p>
        </w:tc>
        <w:tc>
          <w:tcPr/>
          <w:p>
            <w:pPr>
              <w:pStyle w:val="Compact"/>
              <w:jc w:val="left"/>
            </w:pPr>
            <w:r>
              <w:t xml:space="preserve">Atención Aditiva</w:t>
            </w:r>
          </w:p>
        </w:tc>
        <w:tc>
          <w:tcPr/>
          <w:p>
            <w:pPr>
              <w:pStyle w:val="Compact"/>
              <w:jc w:val="left"/>
            </w:pPr>
            <m:oMath>
              <m:r>
                <m:t>O</m:t>
              </m:r>
              <m:r>
                <m:rPr>
                  <m:sty m:val="p"/>
                </m:rPr>
                <m:t>(</m:t>
              </m:r>
              <m:sSup>
                <m:e>
                  <m:r>
                    <m:t>N</m:t>
                  </m:r>
                </m:e>
                <m:sup>
                  <m:r>
                    <m:t>2</m:t>
                  </m:r>
                </m:sup>
              </m:sSup>
              <m:r>
                <m:rPr>
                  <m:sty m:val="p"/>
                </m:rPr>
                <m:t>)</m:t>
              </m:r>
            </m:oMath>
            <w:r>
              <w:t xml:space="preserve"> </w:t>
            </w:r>
            <w:r>
              <w:t xml:space="preserve">(Secuencia)</w:t>
            </w:r>
          </w:p>
        </w:tc>
        <w:tc>
          <w:tcPr/>
          <w:p>
            <w:pPr>
              <w:pStyle w:val="Compact"/>
              <w:jc w:val="left"/>
            </w:pPr>
            <w:r>
              <w:t xml:space="preserve">Ninguna (Euclidiana Plana)</w:t>
            </w:r>
          </w:p>
        </w:tc>
        <w:tc>
          <w:tcPr/>
          <w:p>
            <w:pPr>
              <w:pStyle w:val="Compact"/>
              <w:jc w:val="left"/>
            </w:pPr>
            <w:r>
              <w:t xml:space="preserve">Leyes de Escalado Empíricas</w:t>
            </w:r>
          </w:p>
        </w:tc>
      </w:tr>
      <w:tr>
        <w:tc>
          <w:tcPr/>
          <w:p>
            <w:pPr>
              <w:pStyle w:val="Compact"/>
              <w:jc w:val="left"/>
            </w:pPr>
            <w:r>
              <w:rPr>
                <w:b/>
                <w:bCs/>
              </w:rPr>
              <w:t xml:space="preserve">Mamba / SSMs</w:t>
            </w:r>
            <w:r>
              <w:t xml:space="preserve"> </w:t>
            </w:r>
            <w:r>
              <w:t xml:space="preserve">(Gu &amp; Dao)</w:t>
            </w:r>
          </w:p>
        </w:tc>
        <w:tc>
          <w:tcPr/>
          <w:p>
            <w:pPr>
              <w:pStyle w:val="Compact"/>
              <w:jc w:val="left"/>
            </w:pPr>
            <w:r>
              <w:t xml:space="preserve">Espacio de Estados</w:t>
            </w:r>
          </w:p>
        </w:tc>
        <w:tc>
          <w:tcPr/>
          <w:p>
            <w:pPr>
              <w:pStyle w:val="Compact"/>
              <w:jc w:val="left"/>
            </w:pPr>
            <m:oMath>
              <m:r>
                <m:t>O</m:t>
              </m:r>
              <m:r>
                <m:rPr>
                  <m:sty m:val="p"/>
                </m:rPr>
                <m:t>(</m:t>
              </m:r>
              <m:r>
                <m:t>N</m:t>
              </m:r>
              <m:r>
                <m:rPr>
                  <m:sty m:val="p"/>
                </m:rPr>
                <m:t>)</m:t>
              </m:r>
            </m:oMath>
            <w:r>
              <w:t xml:space="preserve"> </w:t>
            </w:r>
            <w:r>
              <w:t xml:space="preserve">(Secuencia)</w:t>
            </w:r>
          </w:p>
        </w:tc>
        <w:tc>
          <w:tcPr/>
          <w:p>
            <w:pPr>
              <w:pStyle w:val="Compact"/>
              <w:jc w:val="left"/>
            </w:pPr>
            <w:r>
              <w:t xml:space="preserve">Dinámicas Lineales</w:t>
            </w:r>
          </w:p>
        </w:tc>
        <w:tc>
          <w:tcPr/>
          <w:p>
            <w:pPr>
              <w:pStyle w:val="Compact"/>
              <w:jc w:val="left"/>
            </w:pPr>
            <w:r>
              <w:t xml:space="preserve">Tamaño de Estado Acotado</w:t>
            </w:r>
          </w:p>
        </w:tc>
      </w:tr>
      <w:tr>
        <w:tc>
          <w:tcPr/>
          <w:p>
            <w:pPr>
              <w:pStyle w:val="Compact"/>
              <w:jc w:val="left"/>
            </w:pPr>
            <w:r>
              <w:rPr>
                <w:b/>
                <w:bCs/>
              </w:rPr>
              <w:t xml:space="preserve">CGENN</w:t>
            </w:r>
            <w:r>
              <w:t xml:space="preserve"> </w:t>
            </w:r>
            <w:r>
              <w:t xml:space="preserve">(Ruhe et al.)</w:t>
            </w:r>
          </w:p>
        </w:tc>
        <w:tc>
          <w:tcPr/>
          <w:p>
            <w:pPr>
              <w:pStyle w:val="Compact"/>
              <w:jc w:val="left"/>
            </w:pPr>
            <w:r>
              <w:t xml:space="preserve">Clifford / Geométrica</w:t>
            </w:r>
          </w:p>
        </w:tc>
        <w:tc>
          <w:tcPr/>
          <w:p>
            <w:pPr>
              <w:pStyle w:val="Compact"/>
              <w:jc w:val="left"/>
            </w:pPr>
            <m:oMath>
              <m:r>
                <m:t>O</m:t>
              </m:r>
              <m:r>
                <m:rPr>
                  <m:sty m:val="p"/>
                </m:rPr>
                <m:t>(</m:t>
              </m:r>
              <m:r>
                <m:t>N</m:t>
              </m:r>
              <m:r>
                <m:rPr>
                  <m:sty m:val="p"/>
                </m:rPr>
                <m:t>)</m:t>
              </m:r>
            </m:oMath>
            <w:r>
              <w:t xml:space="preserve"> </w:t>
            </w:r>
            <w:r>
              <w:t xml:space="preserve">(Local)</w:t>
            </w:r>
          </w:p>
        </w:tc>
        <w:tc>
          <w:tcPr/>
          <w:p>
            <w:pPr>
              <w:pStyle w:val="Compact"/>
              <w:jc w:val="left"/>
            </w:pPr>
            <w:r>
              <w:t xml:space="preserve">Equivariante</w:t>
            </w:r>
          </w:p>
        </w:tc>
        <w:tc>
          <w:tcPr/>
          <w:p>
            <w:pPr>
              <w:pStyle w:val="Compact"/>
              <w:jc w:val="left"/>
            </w:pPr>
            <w:r>
              <w:t xml:space="preserve">Sesgo Arquitectónico</w:t>
            </w:r>
          </w:p>
        </w:tc>
      </w:tr>
      <w:tr>
        <w:tc>
          <w:tcPr/>
          <w:p>
            <w:pPr>
              <w:pStyle w:val="Compact"/>
              <w:jc w:val="left"/>
            </w:pPr>
            <w:r>
              <w:rPr>
                <w:b/>
                <w:bCs/>
              </w:rPr>
              <w:t xml:space="preserve">POLYDIM-CLA</w:t>
            </w:r>
          </w:p>
        </w:tc>
        <w:tc>
          <w:tcPr/>
          <w:p>
            <w:pPr>
              <w:pStyle w:val="Compact"/>
              <w:jc w:val="left"/>
            </w:pPr>
            <w:r>
              <w:t xml:space="preserve">Haz Topológico</w:t>
            </w:r>
          </w:p>
        </w:tc>
        <w:tc>
          <w:tcPr/>
          <w:p>
            <w:pPr>
              <w:pStyle w:val="Compact"/>
              <w:jc w:val="left"/>
            </w:pPr>
            <m:oMath>
              <m:r>
                <m:t>O</m:t>
              </m:r>
              <m:r>
                <m:rPr>
                  <m:sty m:val="p"/>
                </m:rPr>
                <m:t>(</m:t>
              </m:r>
              <m:r>
                <m:t>D</m:t>
              </m:r>
              <m:sSup>
                <m:e>
                  <m:r>
                    <m:t>K</m:t>
                  </m:r>
                </m:e>
                <m:sup>
                  <m:r>
                    <m:t>2</m:t>
                  </m:r>
                </m:sup>
              </m:sSup>
              <m:r>
                <m:rPr>
                  <m:sty m:val="p"/>
                </m:rPr>
                <m:t>)</m:t>
              </m:r>
            </m:oMath>
            <w:r>
              <w:t xml:space="preserve"> </w:t>
            </w:r>
            <w:r>
              <w:t xml:space="preserve">(Semántica)</w:t>
            </w:r>
          </w:p>
        </w:tc>
        <w:tc>
          <w:tcPr/>
          <w:p>
            <w:pPr>
              <w:pStyle w:val="Compact"/>
              <w:jc w:val="left"/>
            </w:pPr>
            <w:r>
              <w:t xml:space="preserve">Isométrica Estricta</w:t>
            </w:r>
          </w:p>
        </w:tc>
        <w:tc>
          <w:tcPr/>
          <w:p>
            <w:pPr>
              <w:pStyle w:val="Compact"/>
              <w:jc w:val="left"/>
            </w:pPr>
            <w:r>
              <w:t xml:space="preserve">Cota Algebraica del Laplaciano</w:t>
            </w:r>
          </w:p>
        </w:tc>
      </w:tr>
    </w:tbl>
    <w:p>
      <w:pPr>
        <w:pStyle w:val="BodyText"/>
      </w:pPr>
      <w:r>
        <w:t xml:space="preserve">A diferencia de los Transformers que escalan la atención sobre la longitud de la secuencia</w:t>
      </w:r>
      <w:r>
        <w:t xml:space="preserve"> </w:t>
      </w:r>
      <m:oMath>
        <m:r>
          <m:t>N</m:t>
        </m:r>
      </m:oMath>
      <w:r>
        <w:t xml:space="preserve">, POLYDIM-CLA alinea características semánticas en tiempo acotado</w:t>
      </w:r>
      <w:r>
        <w:t xml:space="preserve"> </w:t>
      </w:r>
      <m:oMath>
        <m:r>
          <m:t>O</m:t>
        </m:r>
        <m:r>
          <m:rPr>
            <m:sty m:val="p"/>
          </m:rPr>
          <m:t>(</m:t>
        </m:r>
        <m:r>
          <m:t>D</m:t>
        </m:r>
        <m:sSup>
          <m:e>
            <m:r>
              <m:t>K</m:t>
            </m:r>
          </m:e>
          <m:sup>
            <m:r>
              <m:t>2</m:t>
            </m:r>
          </m:sup>
        </m:sSup>
        <m:r>
          <m:rPr>
            <m:sty m:val="p"/>
          </m:rPr>
          <m:t>)</m:t>
        </m:r>
      </m:oMath>
      <w:r>
        <w:t xml:space="preserve">. Aunque las CGENN proveen equivariancia geométrica estricta, carecen del mecanismo global de consenso topológico (Laplaciano de Hodge) que POLYDIM-CLA aprovecha para acotar algebraicamente las alucinaciones.</w:t>
      </w:r>
    </w:p>
    <w:bookmarkEnd w:id="24"/>
    <w:bookmarkStart w:id="25" w:name="limitaciones"/>
    <w:p>
      <w:pPr>
        <w:pStyle w:val="Heading3"/>
      </w:pPr>
      <w:r>
        <w:t xml:space="preserve">6.2 Limitaciones</w:t>
      </w:r>
    </w:p>
    <w:p>
      <w:pPr>
        <w:pStyle w:val="FirstParagraph"/>
      </w:pPr>
      <w:r>
        <w:t xml:space="preserve">La transición a semánticas puramente topológicas expone vulnerabilidades fundamentales y limitaciones en los sustratos matemáticos convencionales del Aprendizaje Profundo:</w:t>
      </w:r>
      <w:r>
        <w:t xml:space="preserve"> </w:t>
      </w:r>
      <w:r>
        <w:t xml:space="preserve">1.</w:t>
      </w:r>
      <w:r>
        <w:t xml:space="preserve"> </w:t>
      </w:r>
      <w:r>
        <w:rPr>
          <w:b/>
          <w:bCs/>
        </w:rPr>
        <w:t xml:space="preserve">La Mónada ATTEND y Softmax (Problema Q6):</w:t>
      </w:r>
      <w:r>
        <w:t xml:space="preserve"> </w:t>
      </w:r>
      <w:r>
        <w:t xml:space="preserve">Softmax destruye la composicionalidad funtorial en categorías de espacios vectoriales (</w:t>
      </w:r>
      <m:oMath>
        <m:r>
          <m:t>V</m:t>
        </m:r>
        <m:r>
          <m:t>e</m:t>
        </m:r>
        <m:r>
          <m:t>c</m:t>
        </m:r>
        <m:r>
          <m:t>t</m:t>
        </m:r>
      </m:oMath>
      <w:r>
        <w:t xml:space="preserve">). Es probable que su resolución formal requiera la Mónada de Giry para Categorías de Markov, o kernels polinomiales de Atención 1-Lipschitz que preserven las restricciones de Punto Fijo sin dañar el mecanismo de enrutamiento semántico. Para aislar este fallo dentro de la arquitectura POLYDIM, se propone operativamente reemplazar Softmax por una aproximación con garantías teóricas firmes.</w:t>
      </w:r>
      <w:r>
        <w:t xml:space="preserve"> </w:t>
      </w:r>
      <w:r>
        <w:t xml:space="preserve">2.</w:t>
      </w:r>
      <w:r>
        <w:t xml:space="preserve"> </w:t>
      </w:r>
      <w:r>
        <w:rPr>
          <w:b/>
          <w:bCs/>
        </w:rPr>
        <w:t xml:space="preserve">Edición Topológica Concurrente (Problema Q2):</w:t>
      </w:r>
      <w:r>
        <w:t xml:space="preserve"> </w:t>
      </w:r>
      <w:r>
        <w:t xml:space="preserve">Expandir Tipos de Datos Replicados Libres de Conflictos (CRDTs) geométricos a variedades dinámicas de altísima topología sin forzar una reconstrucción total del mapa exponencial permanece como un reto ingenieril severo para la ejecución distribuida.</w:t>
      </w:r>
      <w:r>
        <w:t xml:space="preserve"> </w:t>
      </w:r>
      <w:r>
        <w:t xml:space="preserve">3.</w:t>
      </w:r>
      <w:r>
        <w:t xml:space="preserve"> </w:t>
      </w:r>
      <w:r>
        <w:rPr>
          <w:b/>
          <w:bCs/>
        </w:rPr>
        <w:t xml:space="preserve">Ausencia de Pre-entrenamiento a Gran Escala:</w:t>
      </w:r>
      <w:r>
        <w:t xml:space="preserve"> </w:t>
      </w:r>
      <w:r>
        <w:t xml:space="preserve">La validación empírica actual de POLYDIM-CLA está restringida a tareas de alineamiento específicas y verificaciones algebraicas. La arquitectura aún no ha sido sometida a pre-entrenamiento generativo masivo en corpus de lenguaje estándar (e.g., C4, The Pile), lo que significa que su coherencia generativa a escala de billones de parámetros sigue siendo una proyección teórica abierta.</w:t>
      </w:r>
    </w:p>
    <w:bookmarkEnd w:id="25"/>
    <w:bookmarkStart w:id="26" w:name="X68382be9ea803348fedfe9d354fb72faebb20a8"/>
    <w:p>
      <w:pPr>
        <w:pStyle w:val="Heading3"/>
      </w:pPr>
      <w:r>
        <w:t xml:space="preserve">6.3 Trabajo Futuro y Extensiones Industriales</w:t>
      </w:r>
    </w:p>
    <w:p>
      <w:pPr>
        <w:pStyle w:val="FirstParagraph"/>
      </w:pPr>
      <w:r>
        <w:t xml:space="preserve">Como extensión industrial futura, postulamos la integración de las siguientes optimizaciones de escalabilidad sub-cúbica, cuyo despliegue experimental reemplazaría los cuellos de botella restantes:</w:t>
      </w:r>
      <w:r>
        <w:t xml:space="preserve"> </w:t>
      </w:r>
      <w:r>
        <w:t xml:space="preserve">*</w:t>
      </w:r>
      <w:r>
        <w:t xml:space="preserve"> </w:t>
      </w:r>
      <w:r>
        <w:rPr>
          <w:b/>
          <w:bCs/>
        </w:rPr>
        <w:t xml:space="preserve">Aproximación Teórica de la Atención:</w:t>
      </w:r>
      <w:r>
        <w:t xml:space="preserve"> </w:t>
      </w:r>
      <w:r>
        <w:t xml:space="preserve">Reemplazar el Softmax por una aproximación con garantías teóricas (e.g., kernel de Perron-Frobenius) podría lograr un Kernel de Markov estrictamente positivo que habilite asociatividad lineal, reduciendo la complejidad.</w:t>
      </w:r>
      <w:r>
        <w:t xml:space="preserve"> </w:t>
      </w:r>
      <w:r>
        <w:t xml:space="preserve">*</w:t>
      </w:r>
      <w:r>
        <w:t xml:space="preserve"> </w:t>
      </w:r>
      <w:r>
        <w:rPr>
          <w:b/>
          <w:bCs/>
        </w:rPr>
        <w:t xml:space="preserve">Cálculo Espectral vía LOBPCG:</w:t>
      </w:r>
      <w:r>
        <w:t xml:space="preserve"> </w:t>
      </w:r>
      <w:r>
        <w:t xml:space="preserve">Para eludir la eigendescomposición densa, estimar la conectividad de la variedad (Fiedler</w:t>
      </w:r>
      <w:r>
        <w:t xml:space="preserve"> </w:t>
      </w:r>
      <m:oMath>
        <m:sSub>
          <m:e>
            <m:r>
              <m:t>λ</m:t>
            </m:r>
          </m:e>
          <m:sub>
            <m:r>
              <m:t>1</m:t>
            </m:r>
          </m:sub>
        </m:sSub>
      </m:oMath>
      <w:r>
        <w:t xml:space="preserve">) iterando el subespacio de Krylov (LOBPCG, Knyazev 2001) sobre una matriz dispersa, escalando a</w:t>
      </w:r>
      <w:r>
        <w:t xml:space="preserve"> </w:t>
      </w:r>
      <m:oMath>
        <m:r>
          <m:t>O</m:t>
        </m:r>
        <m:r>
          <m:rPr>
            <m:sty m:val="p"/>
          </m:rPr>
          <m:t>(</m:t>
        </m:r>
        <m:r>
          <m:t>N</m:t>
        </m:r>
        <m:r>
          <m:rPr>
            <m:sty m:val="p"/>
          </m:rPr>
          <m:t>)</m:t>
        </m:r>
      </m:oMath>
      <w:r>
        <w:t xml:space="preserve">.</w:t>
      </w:r>
      <w:r>
        <w:t xml:space="preserve"> </w:t>
      </w:r>
      <w:r>
        <w:t xml:space="preserve">*</w:t>
      </w:r>
      <w:r>
        <w:t xml:space="preserve"> </w:t>
      </w:r>
      <w:r>
        <w:rPr>
          <w:b/>
          <w:bCs/>
        </w:rPr>
        <w:t xml:space="preserve">Sincronía Semántica Continua:</w:t>
      </w:r>
      <w:r>
        <w:t xml:space="preserve"> </w:t>
      </w:r>
      <w:r>
        <w:t xml:space="preserve">Expansión de los algoritmos CRDT de Lie para garantizar ediciones libres de colisiones estrictamente y de manera nativa sobre las álgebras</w:t>
      </w:r>
      <w:r>
        <w:t xml:space="preserve"> </w:t>
      </w:r>
      <m:oMath>
        <m:r>
          <m:rPr>
            <m:scr m:val="fraktur"/>
            <m:sty m:val="p"/>
          </m:rPr>
          <m:t>s</m:t>
        </m:r>
        <m:r>
          <m:rPr>
            <m:scr m:val="fraktur"/>
            <m:sty m:val="p"/>
          </m:rPr>
          <m:t>o</m:t>
        </m:r>
        <m:r>
          <m:rPr>
            <m:sty m:val="p"/>
          </m:rPr>
          <m:t>(</m:t>
        </m:r>
        <m:r>
          <m:t>n</m:t>
        </m:r>
        <m:r>
          <m:rPr>
            <m:sty m:val="p"/>
          </m:rPr>
          <m:t>)</m:t>
        </m:r>
      </m:oMath>
      <w:r>
        <w:t xml:space="preserve">, de forma asíncrona sobre enjambres distribuidos.</w:t>
      </w:r>
    </w:p>
    <w:bookmarkEnd w:id="26"/>
    <w:bookmarkEnd w:id="27"/>
    <w:bookmarkStart w:id="28" w:name="conclusión"/>
    <w:p>
      <w:pPr>
        <w:pStyle w:val="Heading2"/>
      </w:pPr>
      <w:r>
        <w:t xml:space="preserve">7. Conclusión</w:t>
      </w:r>
    </w:p>
    <w:p>
      <w:pPr>
        <w:pStyle w:val="FirstParagraph"/>
      </w:pPr>
      <w:r>
        <w:t xml:space="preserve">POLYDIM-CLA completa exitosamente la transición desde una especulación filosófica platónica hacia la especificación operativa de un compilador de IA. Integrando Aprendizaje Profundo Categórico, Rotores de Clifford, interpolación TCI y postulados teóricos en HoTT, propone una arquitectura parcialmente formalizada con componentes validados empíricamente para la evolución de representaciones en Sistemas Multiagente Latentes. Las optimizaciones algebraicas de Cayley/Woodbury detalladas demuestran ser el conducto empírico de vital importancia para hacer coincidir esta elegancia topológica con las exigencias del silicio SOTA.</w:t>
      </w:r>
    </w:p>
    <w:p>
      <w:r>
        <w:pict>
          <v:rect style="width:0;height:1.5pt" o:hralign="center" o:hrstd="t" o:hr="t"/>
        </w:pict>
      </w:r>
    </w:p>
    <w:bookmarkEnd w:id="28"/>
    <w:bookmarkStart w:id="29" w:name="notas-al-pie"/>
    <w:p>
      <w:pPr>
        <w:pStyle w:val="Heading2"/>
      </w:pPr>
      <w:r>
        <w:t xml:space="preserve">Notas al pie</w:t>
      </w:r>
    </w:p>
    <w:bookmarkEnd w:id="29"/>
    <w:bookmarkStart w:id="30" w:name="referencias-sota-benchmark"/>
    <w:p>
      <w:pPr>
        <w:pStyle w:val="Heading2"/>
      </w:pPr>
      <w:r>
        <w:t xml:space="preserve">8. Referencias (SOTA Benchmark)</w:t>
      </w:r>
    </w:p>
    <w:p>
      <w:pPr>
        <w:pStyle w:val="Compact"/>
        <w:numPr>
          <w:ilvl w:val="0"/>
          <w:numId w:val="1001"/>
        </w:numPr>
      </w:pPr>
      <w:r>
        <w:t xml:space="preserve">Arnold, V. I. (1989).</w:t>
      </w:r>
      <w:r>
        <w:t xml:space="preserve"> </w:t>
      </w:r>
      <w:r>
        <w:rPr>
          <w:i/>
          <w:iCs/>
        </w:rPr>
        <w:t xml:space="preserve">Mathematical Methods of Classical Mechanics</w:t>
      </w:r>
      <w:r>
        <w:t xml:space="preserve">. Springer.</w:t>
      </w:r>
    </w:p>
    <w:p>
      <w:pPr>
        <w:pStyle w:val="Compact"/>
        <w:numPr>
          <w:ilvl w:val="0"/>
          <w:numId w:val="1001"/>
        </w:numPr>
      </w:pPr>
      <w:r>
        <w:t xml:space="preserve">Bai, S., Kolter, J. Z., &amp; Koltun, V. (2019).</w:t>
      </w:r>
      <w:r>
        <w:t xml:space="preserve"> </w:t>
      </w:r>
      <w:r>
        <w:rPr>
          <w:i/>
          <w:iCs/>
        </w:rPr>
        <w:t xml:space="preserve">Deep Equilibrium Models</w:t>
      </w:r>
      <w:r>
        <w:t xml:space="preserve">. NeurIPS.</w:t>
      </w:r>
    </w:p>
    <w:p>
      <w:pPr>
        <w:pStyle w:val="Compact"/>
        <w:numPr>
          <w:ilvl w:val="0"/>
          <w:numId w:val="1001"/>
        </w:numPr>
      </w:pPr>
      <w:r>
        <w:t xml:space="preserve">Bodnar, C., et al. (2021).</w:t>
      </w:r>
      <w:r>
        <w:t xml:space="preserve"> </w:t>
      </w:r>
      <w:r>
        <w:rPr>
          <w:i/>
          <w:iCs/>
        </w:rPr>
        <w:t xml:space="preserve">Weisfeiler and Lehman Go Cellular: CW Networks</w:t>
      </w:r>
      <w:r>
        <w:t xml:space="preserve">. NeurIPS.</w:t>
      </w:r>
    </w:p>
    <w:p>
      <w:pPr>
        <w:pStyle w:val="Compact"/>
        <w:numPr>
          <w:ilvl w:val="0"/>
          <w:numId w:val="1001"/>
        </w:numPr>
      </w:pPr>
      <w:r>
        <w:t xml:space="preserve">Curry, J. M. (2014).</w:t>
      </w:r>
      <w:r>
        <w:t xml:space="preserve"> </w:t>
      </w:r>
      <w:r>
        <w:rPr>
          <w:i/>
          <w:iCs/>
        </w:rPr>
        <w:t xml:space="preserve">Sheaves, Cosheaves and Applications</w:t>
      </w:r>
      <w:r>
        <w:t xml:space="preserve">. Ph.D. thesis, University of Pennsylvania.</w:t>
      </w:r>
    </w:p>
    <w:p>
      <w:pPr>
        <w:pStyle w:val="Compact"/>
        <w:numPr>
          <w:ilvl w:val="0"/>
          <w:numId w:val="1001"/>
        </w:numPr>
      </w:pPr>
      <w:r>
        <w:t xml:space="preserve">Gelfand, I. M., Kapranov, M. M., &amp; Zelevinsky, A. V. (1994).</w:t>
      </w:r>
      <w:r>
        <w:t xml:space="preserve"> </w:t>
      </w:r>
      <w:r>
        <w:rPr>
          <w:i/>
          <w:iCs/>
        </w:rPr>
        <w:t xml:space="preserve">Discriminants, Resultants, and Multidimensional Determinants</w:t>
      </w:r>
      <w:r>
        <w:t xml:space="preserve">. Birkhäuser.</w:t>
      </w:r>
    </w:p>
    <w:p>
      <w:pPr>
        <w:pStyle w:val="Compact"/>
        <w:numPr>
          <w:ilvl w:val="0"/>
          <w:numId w:val="1001"/>
        </w:numPr>
      </w:pPr>
      <w:r>
        <w:t xml:space="preserve">Hestenes, D., &amp; Sobczyk, G. (1984).</w:t>
      </w:r>
      <w:r>
        <w:t xml:space="preserve"> </w:t>
      </w:r>
      <w:r>
        <w:rPr>
          <w:i/>
          <w:iCs/>
        </w:rPr>
        <w:t xml:space="preserve">Clifford Algebra to Geometric Calculus</w:t>
      </w:r>
      <w:r>
        <w:t xml:space="preserve">. Springer.</w:t>
      </w:r>
    </w:p>
    <w:p>
      <w:pPr>
        <w:pStyle w:val="Compact"/>
        <w:numPr>
          <w:ilvl w:val="0"/>
          <w:numId w:val="1001"/>
        </w:numPr>
      </w:pPr>
      <w:r>
        <w:t xml:space="preserve">Higham, N. J. (2002).</w:t>
      </w:r>
      <w:r>
        <w:t xml:space="preserve"> </w:t>
      </w:r>
      <w:r>
        <w:rPr>
          <w:i/>
          <w:iCs/>
        </w:rPr>
        <w:t xml:space="preserve">Accuracy and Stability of Numerical Algorithms</w:t>
      </w:r>
      <w:r>
        <w:t xml:space="preserve">. SIAM.</w:t>
      </w:r>
    </w:p>
    <w:p>
      <w:pPr>
        <w:pStyle w:val="Compact"/>
        <w:numPr>
          <w:ilvl w:val="0"/>
          <w:numId w:val="1001"/>
        </w:numPr>
      </w:pPr>
      <w:r>
        <w:t xml:space="preserve">Huh, M., et al. (2024).</w:t>
      </w:r>
      <w:r>
        <w:t xml:space="preserve"> </w:t>
      </w:r>
      <w:r>
        <w:rPr>
          <w:i/>
          <w:iCs/>
        </w:rPr>
        <w:t xml:space="preserve">The Platonic Representation Hypothesis</w:t>
      </w:r>
      <w:r>
        <w:t xml:space="preserve">. arXiv.</w:t>
      </w:r>
    </w:p>
    <w:p>
      <w:pPr>
        <w:pStyle w:val="Compact"/>
        <w:numPr>
          <w:ilvl w:val="0"/>
          <w:numId w:val="1001"/>
        </w:numPr>
      </w:pPr>
      <w:r>
        <w:t xml:space="preserve">Oseledets, I. V. (2011).</w:t>
      </w:r>
      <w:r>
        <w:t xml:space="preserve"> </w:t>
      </w:r>
      <w:r>
        <w:rPr>
          <w:i/>
          <w:iCs/>
        </w:rPr>
        <w:t xml:space="preserve">Tensor-Train Decomposition</w:t>
      </w:r>
      <w:r>
        <w:t xml:space="preserve">. SIAM Journal on Scientific Computing.</w:t>
      </w:r>
    </w:p>
    <w:p>
      <w:pPr>
        <w:pStyle w:val="Compact"/>
        <w:numPr>
          <w:ilvl w:val="0"/>
          <w:numId w:val="1001"/>
        </w:numPr>
      </w:pPr>
      <w:r>
        <w:t xml:space="preserve">Spivak, D. I. (2014).</w:t>
      </w:r>
      <w:r>
        <w:t xml:space="preserve"> </w:t>
      </w:r>
      <w:r>
        <w:rPr>
          <w:i/>
          <w:iCs/>
        </w:rPr>
        <w:t xml:space="preserve">Category Theory for the Sciences</w:t>
      </w:r>
      <w:r>
        <w:t xml:space="preserve">. MIT Press.</w:t>
      </w:r>
    </w:p>
    <w:p>
      <w:pPr>
        <w:pStyle w:val="Compact"/>
        <w:numPr>
          <w:ilvl w:val="0"/>
          <w:numId w:val="1001"/>
        </w:numPr>
      </w:pPr>
      <w:r>
        <w:t xml:space="preserve">The Univalent Foundations Program. (2013).</w:t>
      </w:r>
      <w:r>
        <w:t xml:space="preserve"> </w:t>
      </w:r>
      <w:r>
        <w:rPr>
          <w:i/>
          <w:iCs/>
        </w:rPr>
        <w:t xml:space="preserve">Homotopy Type Theory: Univalent Foundations of Mathematics</w:t>
      </w:r>
      <w:r>
        <w:t xml:space="preserve">. Institute for Advanced Study.</w:t>
      </w:r>
    </w:p>
    <w:p>
      <w:pPr>
        <w:pStyle w:val="Compact"/>
        <w:numPr>
          <w:ilvl w:val="0"/>
          <w:numId w:val="1001"/>
        </w:numPr>
      </w:pPr>
      <w:r>
        <w:t xml:space="preserve">Ruhe et al. (2023).</w:t>
      </w:r>
      <w:r>
        <w:t xml:space="preserve"> </w:t>
      </w:r>
      <w:r>
        <w:rPr>
          <w:i/>
          <w:iCs/>
        </w:rPr>
        <w:t xml:space="preserve">Geometric Clifford Algebra Networks</w:t>
      </w:r>
      <w:r>
        <w:t xml:space="preserve">. arXiv:2302.06594.</w:t>
      </w:r>
    </w:p>
    <w:p>
      <w:pPr>
        <w:pStyle w:val="Compact"/>
        <w:numPr>
          <w:ilvl w:val="0"/>
          <w:numId w:val="1001"/>
        </w:numPr>
      </w:pPr>
      <w:r>
        <w:t xml:space="preserve">Winston, E. &amp; Kolter, J.Z. (2020).</w:t>
      </w:r>
      <w:r>
        <w:t xml:space="preserve"> </w:t>
      </w:r>
      <w:r>
        <w:rPr>
          <w:i/>
          <w:iCs/>
        </w:rPr>
        <w:t xml:space="preserve">Monotone Operator Equilibrium Networks</w:t>
      </w:r>
      <w:r>
        <w:t xml:space="preserve">. NeurIPS.</w:t>
      </w:r>
    </w:p>
    <w:p>
      <w:r>
        <w:pict>
          <v:rect style="width:0;height:1.5pt" o:hralign="center" o:hrstd="t" o:hr="t"/>
        </w:pict>
      </w:r>
    </w:p>
    <w:bookmarkEnd w:id="30"/>
    <w:bookmarkStart w:id="32" w:name="X02adee4ebcdbbc9d22ce09f0dc6a193006630db"/>
    <w:p>
      <w:pPr>
        <w:pStyle w:val="Heading2"/>
      </w:pPr>
      <w:r>
        <w:t xml:space="preserve">Apéndice A: Fortificación Matemática (Refinamiento Interno)</w:t>
      </w:r>
    </w:p>
    <w:p>
      <w:pPr>
        <w:pStyle w:val="FirstParagraph"/>
      </w:pPr>
      <w:r>
        <w:t xml:space="preserve">Resulta imperativo documentar para la comunidad que las especulaciones topológicas tempranas de esta arquitectura (iteraciones previas a V9) contenían brechas críticas en su rigor algebraico formal, las cuales fueron sometidas a un intenso proceso iterativo de refinamiento para fortalecer la base teórica . Específicamente, este proceso identificó y subsanó:</w:t>
      </w:r>
      <w:r>
        <w:t xml:space="preserve"> </w:t>
      </w:r>
      <w:r>
        <w:t xml:space="preserve">*</w:t>
      </w:r>
      <w:r>
        <w:t xml:space="preserve"> </w:t>
      </w:r>
      <w:r>
        <w:rPr>
          <w:b/>
          <w:bCs/>
        </w:rPr>
        <w:t xml:space="preserve">Elección de Poset (Covarianza):</w:t>
      </w:r>
      <w:r>
        <w:t xml:space="preserve"> </w:t>
      </w:r>
      <w:r>
        <w:t xml:space="preserve">La caracterización inicial de los haces celulares como contravariantes fue actualizada al demostrar formalmente su covarianza natural sobre el poset de caras del complejo de la red, lo cual representa una</w:t>
      </w:r>
      <w:r>
        <w:t xml:space="preserve"> </w:t>
      </w:r>
      <w:r>
        <w:rPr>
          <w:b/>
          <w:bCs/>
        </w:rPr>
        <w:t xml:space="preserve">noción adaptada</w:t>
      </w:r>
      <w:r>
        <w:t xml:space="preserve"> </w:t>
      </w:r>
      <w:r>
        <w:t xml:space="preserve">(adapted notion) específica y necesaria frente a la contravarianza estándar sobre posets de abiertos de la literatura clásica.</w:t>
      </w:r>
      <w:r>
        <w:t xml:space="preserve"> </w:t>
      </w:r>
      <w:r>
        <w:t xml:space="preserve">*</w:t>
      </w:r>
      <w:r>
        <w:t xml:space="preserve"> </w:t>
      </w:r>
      <w:r>
        <w:rPr>
          <w:b/>
          <w:bCs/>
        </w:rPr>
        <w:t xml:space="preserve">Alineamiento Cohomológico:</w:t>
      </w:r>
      <w:r>
        <w:t xml:space="preserve"> </w:t>
      </w:r>
      <w:r>
        <w:t xml:space="preserve">Se purgó el uso inapropiado de la Homología (y el operador de borde</w:t>
      </w:r>
      <w:r>
        <w:t xml:space="preserve"> </w:t>
      </w:r>
      <m:oMath>
        <m:r>
          <m:rPr>
            <m:sty m:val="p"/>
          </m:rPr>
          <m:t>∂</m:t>
        </m:r>
      </m:oMath>
      <w:r>
        <w:t xml:space="preserve">) a favor de la Cohomología (y el operador de coborde</w:t>
      </w:r>
      <w:r>
        <w:t xml:space="preserve"> </w:t>
      </w:r>
      <m:oMath>
        <m:r>
          <m:t>d</m:t>
        </m:r>
      </m:oMath>
      <w:r>
        <w:t xml:space="preserve">), estableciendo el Laplaciano de Hodge en dimensión 0 como el único regulador armónico admisible para medir el consenso, aislando las obstrucciones en</w:t>
      </w:r>
      <w:r>
        <w:t xml:space="preserve"> </w:t>
      </w:r>
      <m:oMath>
        <m:sSup>
          <m:e>
            <m:r>
              <m:t>H</m:t>
            </m:r>
          </m:e>
          <m:sup>
            <m:r>
              <m:t>1</m:t>
            </m:r>
          </m:sup>
        </m:sSup>
      </m:oMath>
      <w:r>
        <w:t xml:space="preserve">.</w:t>
      </w:r>
      <w:r>
        <w:t xml:space="preserve"> </w:t>
      </w:r>
      <w:r>
        <w:t xml:space="preserve">*</w:t>
      </w:r>
      <w:r>
        <w:t xml:space="preserve"> </w:t>
      </w:r>
      <w:r>
        <w:rPr>
          <w:b/>
          <w:bCs/>
        </w:rPr>
        <w:t xml:space="preserve">Protección de Cayley y Drift BF16:</w:t>
      </w:r>
      <w:r>
        <w:t xml:space="preserve"> </w:t>
      </w:r>
      <w:r>
        <w:t xml:space="preserve">Se justificó formalmente la proyección empírica estricta al álgebra de Lie</w:t>
      </w:r>
      <w:r>
        <w:t xml:space="preserve"> </w:t>
      </w:r>
      <m:oMath>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en el pase hacia adelante para mitigar significativamente el</w:t>
      </w:r>
      <w:r>
        <w:t xml:space="preserve"> </w:t>
      </w:r>
      <w:r>
        <w:rPr>
          <w:i/>
          <w:iCs/>
        </w:rPr>
        <w:t xml:space="preserve">floating point drift</w:t>
      </w:r>
      <w:r>
        <w:t xml:space="preserve"> </w:t>
      </w:r>
      <w:r>
        <w:t xml:space="preserve">acumulado en Bfloat16, garantizando que el núcleo algebraico de Woodbury no colapse numéricamente.</w:t>
      </w:r>
    </w:p>
    <w:p>
      <w:pPr>
        <w:pStyle w:val="BodyText"/>
      </w:pPr>
      <w:r>
        <w:t xml:space="preserve">Estos refinamientos iterativos sirvieron para fortalecer la base teórica de POLYDIM-CLA antes de la revisión formal por pares. Los códigos ejecutables de simulación empírica (incluyendo</w:t>
      </w:r>
      <w:r>
        <w:t xml:space="preserve"> </w:t>
      </w:r>
      <w:r>
        <w:rPr>
          <w:rStyle w:val="VerbatimChar"/>
        </w:rPr>
        <w:t xml:space="preserve">sheaf_covariance_proof.py</w:t>
      </w:r>
      <w:r>
        <w:t xml:space="preserve"> </w:t>
      </w:r>
      <w:r>
        <w:t xml:space="preserve">y</w:t>
      </w:r>
      <w:r>
        <w:t xml:space="preserve"> </w:t>
      </w:r>
      <w:r>
        <w:rPr>
          <w:rStyle w:val="VerbatimChar"/>
        </w:rPr>
        <w:t xml:space="preserve">cayley_woodbury_proof.py</w:t>
      </w:r>
      <w:r>
        <w:t xml:space="preserve">) están disponibles públicamente para su revisión en:</w:t>
      </w:r>
      <w:r>
        <w:t xml:space="preserve"> </w:t>
      </w:r>
      <w:hyperlink r:id="rId31">
        <w:r>
          <w:rPr>
            <w:rStyle w:val="Hyperlink"/>
          </w:rPr>
          <w:t xml:space="preserve">[URL OMITIDA PARA REVISION CIEGA]</w:t>
        </w:r>
      </w:hyperlink>
      <w:r>
        <w:t xml:space="preserve">.</w:t>
      </w:r>
    </w:p>
    <w:p>
      <w:r>
        <w:pict>
          <v:rect style="width:0;height:1.5pt" o:hralign="center" o:hrstd="t" o:hr="t"/>
        </w:pict>
      </w:r>
    </w:p>
    <w:bookmarkEnd w:id="32"/>
    <w:bookmarkStart w:id="33" w:name="X94d8afee53916607756ea782974a5dea978d1c4"/>
    <w:p>
      <w:pPr>
        <w:pStyle w:val="Heading2"/>
      </w:pPr>
      <w:r>
        <w:t xml:space="preserve">Apéndice B: Proof Sketch de la Proposición 1</w:t>
      </w:r>
    </w:p>
    <w:p>
      <w:pPr>
        <w:pStyle w:val="FirstParagraph"/>
      </w:pPr>
      <w:r>
        <w:rPr>
          <w:b/>
          <w:bCs/>
        </w:rPr>
        <w:t xml:space="preserve">Esbozo de la Demostración (Convergencia Semántica en</w:t>
      </w:r>
      <w:r>
        <w:rPr>
          <w:b/>
          <w:bCs/>
        </w:rPr>
        <w:t xml:space="preserve"> </w:t>
      </w:r>
      <m:oMath>
        <m:r>
          <m:t>O</m:t>
        </m:r>
        <m:r>
          <m:rPr>
            <m:sty m:val="p"/>
          </m:rPr>
          <m:t>(</m:t>
        </m:r>
        <m:r>
          <m:t>N</m:t>
        </m:r>
        <m:sSup>
          <m:e>
            <m:r>
              <m:t>K</m:t>
            </m:r>
          </m:e>
          <m:sup>
            <m:r>
              <m:t>2</m:t>
            </m:r>
          </m:sup>
        </m:sSup>
        <m:r>
          <m:rPr>
            <m:sty m:val="p"/>
          </m:rPr>
          <m:t>)</m:t>
        </m:r>
      </m:oMath>
      <w:r>
        <w:rPr>
          <w:b/>
          <w:bCs/>
        </w:rPr>
        <w:t xml:space="preserve">):</w:t>
      </w:r>
    </w:p>
    <w:p>
      <w:pPr>
        <w:pStyle w:val="Compact"/>
        <w:numPr>
          <w:ilvl w:val="0"/>
          <w:numId w:val="1002"/>
        </w:numPr>
      </w:pPr>
      <w:r>
        <w:rPr>
          <w:b/>
          <w:bCs/>
        </w:rPr>
        <w:t xml:space="preserve">Mapeo a la Variedad de Stiefel:</w:t>
      </w:r>
      <w:r>
        <w:t xml:space="preserve"> </w:t>
      </w:r>
      <w:r>
        <w:t xml:space="preserve">Los latentes de los agentes</w:t>
      </w:r>
      <w:r>
        <w:t xml:space="preserve"> </w:t>
      </w:r>
      <m:oMath>
        <m:sSub>
          <m:e>
            <m:r>
              <m:t>X</m:t>
            </m:r>
          </m:e>
          <m:sub>
            <m:r>
              <m:t>i</m:t>
            </m:r>
          </m:sub>
        </m:sSub>
        <m:r>
          <m:rPr>
            <m:sty m:val="p"/>
          </m:rPr>
          <m:t>,</m:t>
        </m:r>
        <m:sSub>
          <m:e>
            <m:r>
              <m:t>X</m:t>
            </m:r>
          </m:e>
          <m:sub>
            <m:r>
              <m:t>j</m:t>
            </m:r>
          </m:sub>
        </m:sSub>
        <m:r>
          <m:rPr>
            <m:sty m:val="p"/>
          </m:rPr>
          <m:t>∈</m:t>
        </m:r>
        <m:sSup>
          <m:e>
            <m:r>
              <m:rPr>
                <m:scr m:val="double-struck"/>
                <m:sty m:val="p"/>
              </m:rPr>
              <m:t>R</m:t>
            </m:r>
          </m:e>
          <m:sup>
            <m:r>
              <m:t>N</m:t>
            </m:r>
            <m:r>
              <m:rPr>
                <m:sty m:val="p"/>
              </m:rPr>
              <m:t>×</m:t>
            </m:r>
            <m:r>
              <m:t>D</m:t>
            </m:r>
          </m:sup>
        </m:sSup>
      </m:oMath>
      <w:r>
        <w:t xml:space="preserve"> </w:t>
      </w:r>
      <w:r>
        <w:t xml:space="preserve">se mapean a sus espacios de características (features). La matriz de covarianza cruzada</w:t>
      </w:r>
      <w:r>
        <w:t xml:space="preserve"> </w:t>
      </w:r>
      <m:oMath>
        <m:r>
          <m:t>V</m:t>
        </m:r>
        <m:r>
          <m:rPr>
            <m:sty m:val="p"/>
          </m:rPr>
          <m:t>=</m:t>
        </m:r>
        <m:sSubSup>
          <m:e>
            <m:r>
              <m:t>X</m:t>
            </m:r>
          </m:e>
          <m:sub>
            <m:r>
              <m:t>j</m:t>
            </m:r>
          </m:sub>
          <m:sup>
            <m:r>
              <m:t>T</m:t>
            </m:r>
          </m:sup>
        </m:sSubSup>
        <m:sSub>
          <m:e>
            <m:r>
              <m:t>X</m:t>
            </m:r>
          </m:e>
          <m:sub>
            <m:r>
              <m:t>i</m:t>
            </m:r>
          </m:sub>
        </m:sSub>
        <m:r>
          <m:rPr>
            <m:sty m:val="p"/>
          </m:rPr>
          <m:t>∈</m:t>
        </m:r>
        <m:sSup>
          <m:e>
            <m:r>
              <m:rPr>
                <m:scr m:val="double-struck"/>
                <m:sty m:val="p"/>
              </m:rPr>
              <m:t>R</m:t>
            </m:r>
          </m:e>
          <m:sup>
            <m:r>
              <m:t>D</m:t>
            </m:r>
            <m:r>
              <m:rPr>
                <m:sty m:val="p"/>
              </m:rPr>
              <m:t>×</m:t>
            </m:r>
            <m:r>
              <m:t>D</m:t>
            </m:r>
          </m:sup>
        </m:sSup>
      </m:oMath>
      <w:r>
        <w:t xml:space="preserve"> </w:t>
      </w:r>
      <w:r>
        <w:t xml:space="preserve">codifica el alineamiento objetivo a través de la dimensión de features. Proyectamos el generador antisimétrico</w:t>
      </w:r>
      <w:r>
        <w:t xml:space="preserve"> </w:t>
      </w:r>
      <m:oMath>
        <m:r>
          <m:t>S</m:t>
        </m:r>
        <m:r>
          <m:rPr>
            <m:sty m:val="p"/>
          </m:rPr>
          <m:t>=</m:t>
        </m:r>
        <m:f>
          <m:fPr>
            <m:type m:val="bar"/>
          </m:fPr>
          <m:num>
            <m:r>
              <m:t>1</m:t>
            </m:r>
          </m:num>
          <m:den>
            <m:r>
              <m:t>2</m:t>
            </m:r>
          </m:den>
        </m:f>
        <m:r>
          <m:rPr>
            <m:sty m:val="p"/>
          </m:rPr>
          <m:t>(</m:t>
        </m:r>
        <m:r>
          <m:t>V</m:t>
        </m:r>
        <m:r>
          <m:rPr>
            <m:sty m:val="p"/>
          </m:rPr>
          <m:t>−</m:t>
        </m:r>
        <m:sSup>
          <m:e>
            <m:r>
              <m:t>V</m:t>
            </m:r>
          </m:e>
          <m:sup>
            <m:r>
              <m:t>T</m:t>
            </m:r>
          </m:sup>
        </m:sSup>
        <m:r>
          <m:rPr>
            <m:sty m:val="p"/>
          </m:rPr>
          <m:t>)</m:t>
        </m:r>
      </m:oMath>
      <w:r>
        <w:t xml:space="preserve"> </w:t>
      </w:r>
      <w:r>
        <w:t xml:space="preserve">sobre el álgebra de Lie</w:t>
      </w:r>
      <w:r>
        <w:t xml:space="preserve"> </w:t>
      </w:r>
      <m:oMath>
        <m:r>
          <m:rPr>
            <m:scr m:val="fraktur"/>
            <m:sty m:val="p"/>
          </m:rPr>
          <m:t>s</m:t>
        </m:r>
        <m:r>
          <m:rPr>
            <m:scr m:val="fraktur"/>
            <m:sty m:val="p"/>
          </m:rPr>
          <m:t>o</m:t>
        </m:r>
        <m:r>
          <m:rPr>
            <m:sty m:val="p"/>
          </m:rPr>
          <m:t>(</m:t>
        </m:r>
        <m:r>
          <m:t>D</m:t>
        </m:r>
        <m:r>
          <m:rPr>
            <m:sty m:val="p"/>
          </m:rPr>
          <m:t>)</m:t>
        </m:r>
      </m:oMath>
      <w:r>
        <w:t xml:space="preserve">.</w:t>
      </w:r>
    </w:p>
    <w:p>
      <w:pPr>
        <w:pStyle w:val="Compact"/>
        <w:numPr>
          <w:ilvl w:val="0"/>
          <w:numId w:val="1002"/>
        </w:numPr>
      </w:pPr>
      <w:r>
        <w:rPr>
          <w:b/>
          <w:bCs/>
        </w:rPr>
        <w:t xml:space="preserve">Rango Acotado:</w:t>
      </w:r>
      <w:r>
        <w:t xml:space="preserve"> </w:t>
      </w:r>
      <w:r>
        <w:t xml:space="preserve">Por hipótesis, las interacciones semánticas significativas habitan un subespacio latente de baja dimensión</w:t>
      </w:r>
      <w:r>
        <w:t xml:space="preserve"> </w:t>
      </w:r>
      <m:oMath>
        <m:r>
          <m:t>K</m:t>
        </m:r>
        <m:r>
          <m:rPr>
            <m:sty m:val="p"/>
          </m:rPr>
          <m:t>≪</m:t>
        </m:r>
        <m:r>
          <m:t>D</m:t>
        </m:r>
      </m:oMath>
      <w:r>
        <w:t xml:space="preserve">. En consecuencia,</w:t>
      </w:r>
      <w:r>
        <w:t xml:space="preserve"> </w:t>
      </w:r>
      <m:oMath>
        <m:r>
          <m:t>V</m:t>
        </m:r>
      </m:oMath>
      <w:r>
        <w:t xml:space="preserve"> </w:t>
      </w:r>
      <w:r>
        <w:t xml:space="preserve">y</w:t>
      </w:r>
      <w:r>
        <w:t xml:space="preserve"> </w:t>
      </w:r>
      <m:oMath>
        <m:r>
          <m:t>S</m:t>
        </m:r>
      </m:oMath>
      <w:r>
        <w:t xml:space="preserve"> </w:t>
      </w:r>
      <w:r>
        <w:t xml:space="preserve">pueden factorizarse con rango a lo sumo</w:t>
      </w:r>
      <w:r>
        <w:t xml:space="preserve"> </w:t>
      </w:r>
      <m:oMath>
        <m:r>
          <m:t>2</m:t>
        </m:r>
        <m:r>
          <m:t>K</m:t>
        </m:r>
      </m:oMath>
      <w:r>
        <w:t xml:space="preserve">. Expresamos el generador como</w:t>
      </w:r>
      <w:r>
        <w:t xml:space="preserve"> </w:t>
      </w:r>
      <m:oMath>
        <m:r>
          <m:t>S</m:t>
        </m:r>
        <m:r>
          <m:rPr>
            <m:sty m:val="p"/>
          </m:rPr>
          <m:t>=</m:t>
        </m:r>
        <m:r>
          <m:t>U</m:t>
        </m:r>
        <m:sSup>
          <m:e>
            <m:r>
              <m:t>V</m:t>
            </m:r>
          </m:e>
          <m:sup>
            <m:r>
              <m:t>T</m:t>
            </m:r>
          </m:sup>
        </m:sSup>
        <m:r>
          <m:rPr>
            <m:sty m:val="p"/>
          </m:rPr>
          <m:t>−</m:t>
        </m:r>
        <m:r>
          <m:t>V</m:t>
        </m:r>
        <m:sSup>
          <m:e>
            <m:r>
              <m:t>U</m:t>
            </m:r>
          </m:e>
          <m:sup>
            <m:r>
              <m:t>T</m:t>
            </m:r>
          </m:sup>
        </m:sSup>
      </m:oMath>
      <w:r>
        <w:t xml:space="preserve">.</w:t>
      </w:r>
    </w:p>
    <w:p>
      <w:pPr>
        <w:pStyle w:val="Compact"/>
        <w:numPr>
          <w:ilvl w:val="0"/>
          <w:numId w:val="1002"/>
        </w:numPr>
      </w:pPr>
      <w:r>
        <w:rPr>
          <w:b/>
          <w:bCs/>
        </w:rPr>
        <w:t xml:space="preserve">Inversión Algebraica Exacta:</w:t>
      </w:r>
      <w:r>
        <w:t xml:space="preserve"> </w:t>
      </w:r>
      <w:r>
        <w:t xml:space="preserve">El mapeo al grupo de Lie</w:t>
      </w:r>
      <w:r>
        <w:t xml:space="preserve"> </w:t>
      </w:r>
      <m:oMath>
        <m:r>
          <m:t>S</m:t>
        </m:r>
        <m:r>
          <m:t>O</m:t>
        </m:r>
        <m:r>
          <m:rPr>
            <m:sty m:val="p"/>
          </m:rPr>
          <m:t>(</m:t>
        </m:r>
        <m:r>
          <m:t>D</m:t>
        </m:r>
        <m:r>
          <m:rPr>
            <m:sty m:val="p"/>
          </m:rPr>
          <m:t>)</m:t>
        </m:r>
      </m:oMath>
      <w:r>
        <w:t xml:space="preserve"> </w:t>
      </w:r>
      <w:r>
        <w:t xml:space="preserve">se realiza mediante la aproximación de Padé de 1er orden (Transformada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Como demostramos en la Sección 4, aplicando la Identidad Matricial de Woodbury, el término</w:t>
      </w:r>
      <w:r>
        <w:t xml:space="preserve"> </w:t>
      </w:r>
      <m:oMath>
        <m:r>
          <m:rPr>
            <m:sty m:val="p"/>
          </m:rPr>
          <m:t>(</m:t>
        </m:r>
        <m:r>
          <m:t>I</m:t>
        </m:r>
        <m:r>
          <m:rPr>
            <m:sty m:val="p"/>
          </m:rPr>
          <m:t>+</m:t>
        </m:r>
        <m:r>
          <m:t>S</m:t>
        </m:r>
        <m:sSup>
          <m:e>
            <m:r>
              <m:rPr>
                <m:sty m:val="p"/>
              </m:rPr>
              <m:t>)</m:t>
            </m:r>
          </m:e>
          <m:sup>
            <m:r>
              <m:rPr>
                <m:sty m:val="p"/>
              </m:rPr>
              <m:t>−</m:t>
            </m:r>
            <m:r>
              <m:t>1</m:t>
            </m:r>
          </m:sup>
        </m:sSup>
      </m:oMath>
      <w:r>
        <w:t xml:space="preserve"> </w:t>
      </w:r>
      <w:r>
        <w:t xml:space="preserve">se reescribe reduciendo la inversión a un bloque de tamaño</w:t>
      </w:r>
      <w:r>
        <w:t xml:space="preserve"> </w:t>
      </w:r>
      <m:oMath>
        <m:r>
          <m:t>2</m:t>
        </m:r>
        <m:r>
          <m:t>K</m:t>
        </m:r>
        <m:r>
          <m:rPr>
            <m:sty m:val="p"/>
          </m:rPr>
          <m:t>×</m:t>
        </m:r>
        <m:r>
          <m:t>2</m:t>
        </m:r>
        <m:r>
          <m:t>K</m:t>
        </m:r>
      </m:oMath>
      <w:r>
        <w:t xml:space="preserve">. El error de la aproximación de Padé está acotado por</w:t>
      </w:r>
      <w:r>
        <w:t xml:space="preserve"> </w:t>
      </w:r>
      <m:oMath>
        <m:r>
          <m:t>O</m:t>
        </m:r>
        <m:r>
          <m:rPr>
            <m:sty m:val="p"/>
          </m:rPr>
          <m:t>(</m:t>
        </m:r>
        <m:r>
          <m:rPr>
            <m:sty m:val="p"/>
          </m:rPr>
          <m:t>∥</m:t>
        </m:r>
        <m:r>
          <m:t>S</m:t>
        </m:r>
        <m:sSup>
          <m:e>
            <m:r>
              <m:rPr>
                <m:sty m:val="p"/>
              </m:rPr>
              <m:t>∥</m:t>
            </m:r>
          </m:e>
          <m:sup>
            <m:r>
              <m:t>3</m:t>
            </m:r>
          </m:sup>
        </m:sSup>
        <m:r>
          <m:rPr>
            <m:sty m:val="p"/>
          </m:rPr>
          <m:t>)</m:t>
        </m:r>
      </m:oMath>
      <w:r>
        <w:t xml:space="preserve">, lo cual es despreciable para actualizaciones de bajo rango donde</w:t>
      </w:r>
      <w:r>
        <w:t xml:space="preserve"> </w:t>
      </w:r>
      <m:oMath>
        <m:r>
          <m:rPr>
            <m:sty m:val="p"/>
          </m:rPr>
          <m:t>∥</m:t>
        </m:r>
        <m:r>
          <m:t>S</m:t>
        </m:r>
        <m:r>
          <m:rPr>
            <m:sty m:val="p"/>
          </m:rPr>
          <m:t>∥</m:t>
        </m:r>
        <m:r>
          <m:rPr>
            <m:sty m:val="p"/>
          </m:rPr>
          <m:t>=</m:t>
        </m:r>
        <m:r>
          <m:t>O</m:t>
        </m:r>
        <m:r>
          <m:rPr>
            <m:sty m:val="p"/>
          </m:rPr>
          <m:t>(</m:t>
        </m:r>
        <m:r>
          <m:t>K</m:t>
        </m:r>
        <m:r>
          <m:rPr>
            <m:sty m:val="p"/>
          </m:rPr>
          <m:t>/</m:t>
        </m:r>
        <m:r>
          <m:t>D</m:t>
        </m:r>
        <m:r>
          <m:rPr>
            <m:sty m:val="p"/>
          </m:rPr>
          <m:t>)</m:t>
        </m:r>
      </m:oMath>
      <w:r>
        <w:t xml:space="preserve">.</w:t>
      </w:r>
    </w:p>
    <w:p>
      <w:pPr>
        <w:pStyle w:val="Compact"/>
        <w:numPr>
          <w:ilvl w:val="0"/>
          <w:numId w:val="1002"/>
        </w:numPr>
      </w:pPr>
      <w:r>
        <w:rPr>
          <w:b/>
          <w:bCs/>
        </w:rPr>
        <w:t xml:space="preserve">Complejidad Asintótica:</w:t>
      </w:r>
      <w:r>
        <w:t xml:space="preserve"> </w:t>
      </w:r>
      <w:r>
        <w:t xml:space="preserve">El cálculo del núcleo de inversión</w:t>
      </w:r>
      <w:r>
        <w:t xml:space="preserve"> </w:t>
      </w:r>
      <m:oMath>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oMath>
      <w:r>
        <w:t xml:space="preserve"> </w:t>
      </w:r>
      <w:r>
        <w:t xml:space="preserve">demanda</w:t>
      </w:r>
      <w:r>
        <w:t xml:space="preserve"> </w:t>
      </w:r>
      <m:oMath>
        <m:r>
          <m:t>O</m:t>
        </m:r>
        <m:r>
          <m:rPr>
            <m:sty m:val="p"/>
          </m:rPr>
          <m:t>(</m:t>
        </m:r>
        <m:sSup>
          <m:e>
            <m:r>
              <m:t>K</m:t>
            </m:r>
          </m:e>
          <m:sup>
            <m:r>
              <m:t>3</m:t>
            </m:r>
          </m:sup>
        </m:sSup>
        <m:r>
          <m:rPr>
            <m:sty m:val="p"/>
          </m:rPr>
          <m:t>)</m:t>
        </m:r>
      </m:oMath>
      <w:r>
        <w:t xml:space="preserve"> </w:t>
      </w:r>
      <w:r>
        <w:t xml:space="preserve">operaciones. Las multiplicaciones matriciales para ensamblar el paso completo demandan</w:t>
      </w:r>
      <w:r>
        <w:t xml:space="preserve"> </w:t>
      </w:r>
      <m:oMath>
        <m:r>
          <m:t>O</m:t>
        </m:r>
        <m:r>
          <m:rPr>
            <m:sty m:val="p"/>
          </m:rPr>
          <m:t>(</m:t>
        </m:r>
        <m:r>
          <m:t>D</m:t>
        </m:r>
        <m:sSup>
          <m:e>
            <m:r>
              <m:t>K</m:t>
            </m:r>
          </m:e>
          <m:sup>
            <m:r>
              <m:t>2</m:t>
            </m:r>
          </m:sup>
        </m:sSup>
        <m:r>
          <m:rPr>
            <m:sty m:val="p"/>
          </m:rPr>
          <m:t>)</m:t>
        </m:r>
      </m:oMath>
      <w:r>
        <w:t xml:space="preserve">. Dado que el descenso de gradiente es reemplazado por la construcción analítica de</w:t>
      </w:r>
      <w:r>
        <w:t xml:space="preserve"> </w:t>
      </w:r>
      <m:oMath>
        <m:r>
          <m:t>Q</m:t>
        </m:r>
      </m:oMath>
      <w:r>
        <w:t xml:space="preserve">, se alcanza un paso de alineamiento ortogonal estrictamente en</w:t>
      </w:r>
      <w:r>
        <w:t xml:space="preserve"> </w:t>
      </w:r>
      <m:oMath>
        <m:r>
          <m:t>O</m:t>
        </m:r>
        <m:r>
          <m:rPr>
            <m:sty m:val="p"/>
          </m:rPr>
          <m:t>(</m:t>
        </m:r>
        <m:r>
          <m:t>D</m:t>
        </m:r>
        <m:sSup>
          <m:e>
            <m:r>
              <m:t>K</m:t>
            </m:r>
          </m:e>
          <m:sup>
            <m:r>
              <m:t>2</m:t>
            </m:r>
          </m:sup>
        </m:sSup>
        <m:r>
          <m:rPr>
            <m:sty m:val="p"/>
          </m:rPr>
          <m:t>)</m:t>
        </m:r>
      </m:oMath>
      <w:r>
        <w:t xml:space="preserve"> </w:t>
      </w:r>
      <w:r>
        <w:t xml:space="preserve">operaciones, garantizando una preservación isométrica estricta monotónica sin divergencia de optimización.</w:t>
      </w:r>
      <w:r>
        <w:t xml:space="preserve"> </w:t>
      </w:r>
      <m:oMath>
        <m:r>
          <m:rPr>
            <m:sty m:val="p"/>
          </m:rPr>
          <m:t>◼</m:t>
        </m:r>
      </m:oMath>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Bajo este formalismo, la red neuronal es un funtor estricto dentro de la 2-categoría</w:t>
      </w:r>
      <w:r>
        <w:t xml:space="preserve"> </w:t>
      </w:r>
      <m:oMath>
        <m:r>
          <m:rPr>
            <m:sty m:val="bi"/>
          </m:rPr>
          <m:t>P</m:t>
        </m:r>
        <m:r>
          <m:rPr>
            <m:sty m:val="bi"/>
          </m:rPr>
          <m:t>a</m:t>
        </m:r>
        <m:r>
          <m:rPr>
            <m:sty m:val="bi"/>
          </m:rPr>
          <m:t>r</m:t>
        </m:r>
        <m:r>
          <m:rPr>
            <m:sty m:val="bi"/>
          </m:rPr>
          <m:t>a</m:t>
        </m:r>
      </m:oMath>
      <w:r>
        <w:t xml:space="preserve">. La optimización y proyección semántica dejan de ser un ajuste heurístico de pesos para entenderse como la composición estructural rigurosa de lentes (lenses) paramétricas.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5BURL%20OMITIDA%20PARA%20REVISION%20CIEGA%5D" TargetMode="External" /></Relationships>
</file>

<file path=word/_rels/footnotes.xml.rels><?xml version="1.0" encoding="UTF-8"?><Relationships xmlns="http://schemas.openxmlformats.org/package/2006/relationships"><Relationship Type="http://schemas.openxmlformats.org/officeDocument/2006/relationships/hyperlink" Id="rId31" Target="%5BURL%20OMITIDA%20PARA%20REVISION%20CIEGA%5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2026-07-09T18:00:12Z</dcterms:created>
  <dcterms:modified xsi:type="dcterms:W3CDTF">2026-07-09T18:00:12Z</dcterms:modified>
</cp:coreProperties>
</file>

<file path=docProps/custom.xml><?xml version="1.0" encoding="utf-8"?>
<Properties xmlns="http://schemas.openxmlformats.org/officeDocument/2006/custom-properties" xmlns:vt="http://schemas.openxmlformats.org/officeDocument/2006/docPropsVTypes"/>
</file>