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svg" ContentType="image/sv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/>
        <w:t xml:space="preserve">🔴 </w:t>
      </w:r>
      <w:r>
        <w:rPr/>
        <w:t xml:space="preserve">URGENTE — POPL 2027, deadline </w:t>
      </w:r>
      <w:r>
        <w:rPr>
          <w:rStyle w:val="Strong"/>
          <w:b/>
          <w:bCs/>
        </w:rPr>
        <w:t>9 de julio de 2026</w:t>
      </w:r>
    </w:p>
    <w:p>
      <w:pPr>
        <w:pStyle w:val="BodyText"/>
        <w:bidi w:val="0"/>
        <w:jc w:val="left"/>
        <w:rPr/>
      </w:pPr>
      <w:r>
        <w:rPr/>
        <w:t xml:space="preserve">POPL 2027 usa revisión </w:t>
      </w:r>
      <w:r>
        <w:rPr>
          <w:rStyle w:val="Strong"/>
        </w:rPr>
        <w:t>doble ciega completa</w:t>
      </w:r>
      <w:r>
        <w:rPr/>
        <w:t xml:space="preserve">: los revisores no ven nombre ni institución hasta después de las decisiones de aceptación. El deadline de envío es el </w:t>
      </w:r>
      <w:r>
        <w:rPr>
          <w:rStyle w:val="Strong"/>
        </w:rPr>
        <w:t>9 de julio de 2026</w:t>
      </w:r>
      <w:r>
        <w:rPr/>
        <w:t xml:space="preserve"> a las 23:59 hora cualquier parte del mundo. El paper se juzga exclusivamente por el contenido.</w:t>
      </w:r>
    </w:p>
    <w:p>
      <w:pPr>
        <w:pStyle w:val="BodyText"/>
        <w:bidi w:val="0"/>
        <w:jc w:val="left"/>
        <w:rPr/>
      </w:pPr>
      <w:r>
        <w:rPr/>
        <w:t xml:space="preserve">Esto significa que tu falta de afiliación institucional </w:t>
      </w:r>
      <w:r>
        <w:rPr>
          <w:rStyle w:val="Strong"/>
        </w:rPr>
        <w:t>es invisible durante la revisión</w:t>
      </w:r>
      <w:r>
        <w:rPr/>
        <w:t xml:space="preserve">. POLYDIM encaja exactamente en el scope: </w:t>
      </w:r>
      <w:r>
        <w:rPr>
          <w:rStyle w:val="Emphasis"/>
        </w:rPr>
        <w:t>"contributions to the theory, design, understanding, implementation, or application of programming languages"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Hay un detalle: si el paper es aceptado, ACM pide un APC (Article Processing Charge) si no estás en una institución afiliada a ACM Open, pero hay un programa de waivers. Eso lo resolvés si aceptan — no ahora.</w:t>
      </w:r>
    </w:p>
    <w:p>
      <w:pPr>
        <w:pStyle w:val="BodyText"/>
        <w:bidi w:val="0"/>
        <w:jc w:val="left"/>
        <w:rPr/>
      </w:pPr>
      <w:r>
        <w:rPr>
          <w:rStyle w:val="Strong"/>
        </w:rPr>
        <w:t>Acción concreta</w:t>
      </w:r>
      <w:r>
        <w:rPr/>
        <w:t xml:space="preserve">: ir a </w:t>
      </w:r>
      <w:hyperlink r:id="rId2">
        <w:r>
          <w:rPr>
            <w:rStyle w:val="Hyperlink"/>
          </w:rPr>
          <w:t>https://popl27.hotcrp.com</w:t>
        </w:r>
      </w:hyperlink>
      <w:r>
        <w:rPr/>
        <w:t>, subir el PDF del paper (sin tu nombre ni institución en el documento — solo en el sistema), marcar topics cs.PL + formal semantics. El sistema permite listar "Independent Researcher" como afiliación.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>Esta semana — Zenodo (sin restricciones, DOI inmediato)</w:t>
      </w:r>
    </w:p>
    <w:p>
      <w:pPr>
        <w:pStyle w:val="BodyText"/>
        <w:bidi w:val="0"/>
        <w:jc w:val="left"/>
        <w:rPr/>
      </w:pPr>
      <w:r>
        <w:rPr/>
        <w:t xml:space="preserve">Zenodo acepta a todos los investigadores independientemente de su afiliación. Todo lo que se sube recibe un DOI (identificador digital permanente) para que sea citeable. Es operado por el CERN y financiado por la Unión Europea. </w:t>
      </w:r>
      <w:hyperlink r:id="rId3" w:tgtFrame="_blank">
        <w:r>
          <w:rPr>
            <w:rStyle w:val="Hyperlink"/>
          </w:rPr>
          <w:t>OpenAIRE</w:t>
        </w:r>
      </w:hyperlink>
    </w:p>
    <w:p>
      <w:pPr>
        <w:pStyle w:val="BodyText"/>
        <w:bidi w:val="0"/>
        <w:jc w:val="left"/>
        <w:rPr/>
      </w:pPr>
      <w:r>
        <w:rPr/>
        <w:t>Subís el PDF esta noche y mañana tenés un DOI real, indexado en Google Scholar. Esto te da existencia académica antes de cualquier revisión. Costo: cero.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⚠️ </w:t>
      </w:r>
      <w:r>
        <w:rPr/>
        <w:t>arXiv — difícil pero no imposible</w:t>
      </w:r>
    </w:p>
    <w:p>
      <w:pPr>
        <w:pStyle w:val="BodyText"/>
        <w:bidi w:val="0"/>
        <w:jc w:val="left"/>
        <w:rPr/>
      </w:pPr>
      <w:r>
        <w:rPr/>
        <w:t xml:space="preserve">Desde enero 2026, arXiv actualizó su política: los nuevos submitters necesitan tanto un email institucional como autoría previa en un paper ya en arXiv, o bien un endorsement personal de un autor establecido en la misma área. </w:t>
      </w:r>
      <w:hyperlink r:id="rId4" w:tgtFrame="_blank">
        <w:r>
          <w:rPr>
            <w:rStyle w:val="Hyperlink"/>
          </w:rPr>
          <w:t>ArXiv</w:t>
        </w:r>
      </w:hyperlink>
    </w:p>
    <w:p>
      <w:pPr>
        <w:pStyle w:val="BodyText"/>
        <w:bidi w:val="0"/>
        <w:jc w:val="left"/>
        <w:rPr/>
      </w:pPr>
      <w:r>
        <w:rPr/>
        <w:t>Para cs.PL sin afiliación, la ruta realista es conseguir un endorser: alguien con papers en arXiv cs.PL que te avale. No imposible — si subís a Zenodo primero y mandás el paper a POPL, podés escribirle a un investigador de PL explicando qué hiciste.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🏢 </w:t>
      </w:r>
      <w:r>
        <w:rPr/>
        <w:t>Empresas que deberían leer este paper</w:t>
      </w:r>
    </w:p>
    <w:p>
      <w:pPr>
        <w:pStyle w:val="BodyText"/>
        <w:bidi w:val="0"/>
        <w:jc w:val="left"/>
        <w:rPr/>
      </w:pPr>
      <w:r>
        <w:rPr/>
        <w:t>Dada la naturaleza de POLYDIM — lenguaje nativo de AI, coordinación AI-to-AI, primitivas ATTEND/RECUR — estas son las más relevantes:</w:t>
      </w:r>
    </w:p>
    <w:p>
      <w:pPr>
        <w:pStyle w:val="BodyText"/>
        <w:bidi w:val="0"/>
        <w:jc w:val="left"/>
        <w:rPr/>
      </w:pPr>
      <w:r>
        <w:rPr>
          <w:rStyle w:val="Strong"/>
        </w:rPr>
        <w:t>Tier 1 — directamente interesadas: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Anthropic</w:t>
      </w:r>
      <w:r>
        <w:rPr/>
        <w:t xml:space="preserve">: están construyendo Claude Code y arquitectura multi-agente. El problema que POLYDIM resuelve (impedance mismatch) es exactamente lo que limita los agentes actuales. Tienen un canal de investigación externa: </w:t>
      </w:r>
      <w:hyperlink r:id="rId5">
        <w:r>
          <w:rPr>
            <w:rStyle w:val="Hyperlink"/>
          </w:rPr>
          <w:t>research@anthropic.com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Google DeepMind</w:t>
      </w:r>
      <w:r>
        <w:rPr/>
        <w:t xml:space="preserve">: trabajan en MCP, A2A, y lenguajes de coordinación AI. Google está activamente reorganizando equipos de AI coding y buscando cerrar brechas en ejecución agentic. </w:t>
      </w:r>
      <w:hyperlink r:id="rId6" w:tgtFrame="_blank">
        <w:r>
          <w:rPr>
            <w:rStyle w:val="Hyperlink"/>
          </w:rPr>
          <w:t>Neowin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Meta AI / FAIR</w:t>
      </w:r>
      <w:r>
        <w:rPr/>
        <w:t xml:space="preserve">: investigan VSA (Vector Symbolic Architectures) — el fundamento matemático de MIX. Su grupo de AI systems languages está contratando activamente. </w:t>
      </w:r>
    </w:p>
    <w:p>
      <w:pPr>
        <w:pStyle w:val="BodyText"/>
        <w:bidi w:val="0"/>
        <w:jc w:val="left"/>
        <w:rPr/>
      </w:pPr>
      <w:r>
        <w:rPr>
          <w:rStyle w:val="Strong"/>
        </w:rPr>
        <w:t>Tier 2 — interés técnico fuerte: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Modular</w:t>
      </w:r>
      <w:r>
        <w:rPr/>
        <w:t xml:space="preserve"> (Chris Lattner, creador de LLVM y MLIR): si POLYDIM es el "LLVM de tensores", Modular es el interlocutor natural. Tienen un canal de investigación pública.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Hugging Face</w:t>
      </w:r>
      <w:r>
        <w:rPr/>
        <w:t xml:space="preserve">: tienen un equipo de lenguajes y herramientas, publican preprints frecuentemente, son receptivos a trabajo externo.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Cohere / Mistral</w:t>
      </w:r>
      <w:r>
        <w:rPr/>
        <w:t xml:space="preserve">: más pequeños, más ágiles para adoptar ideas nuevas sobre coordinación de modelos. </w:t>
      </w:r>
    </w:p>
    <w:p>
      <w:pPr>
        <w:pStyle w:val="BodyText"/>
        <w:bidi w:val="0"/>
        <w:jc w:val="left"/>
        <w:rPr/>
      </w:pPr>
      <w:r>
        <w:rPr>
          <w:rStyle w:val="Strong"/>
        </w:rPr>
        <w:t>La forma de llegar</w:t>
      </w:r>
      <w:r>
        <w:rPr/>
        <w:t xml:space="preserve">: subís a Zenodo, conseguís el DOI, mandás un email de 5 líneas con el link. No una presentación. Un link y una frase: </w:t>
      </w:r>
      <w:r>
        <w:rPr>
          <w:rStyle w:val="Emphasis"/>
        </w:rPr>
        <w:t>"Primer lenguaje con semántica formal completa cuya unidad de programa es una transformación geométrica en R^N. Resuelve el impedance mismatch de MCP/A2A. Paper + proof aquí: [DOI]."</w:t>
      </w:r>
    </w:p>
    <w:p>
      <w:pPr>
        <w:pStyle w:val="Heading3"/>
        <w:bidi w:val="0"/>
        <w:jc w:val="left"/>
        <w:rPr/>
      </w:pPr>
      <w:r>
        <w:rPr/>
        <w:t xml:space="preserve">🎓 </w:t>
      </w:r>
      <w:r>
        <w:rPr/>
        <w:t>Facultades e instituciones receptivas</w:t>
      </w:r>
    </w:p>
    <w:p>
      <w:pPr>
        <w:pStyle w:val="BodyText"/>
        <w:bidi w:val="0"/>
        <w:jc w:val="left"/>
        <w:rPr/>
      </w:pPr>
      <w:r>
        <w:rPr/>
        <w:t>Para investigador independiente sin afiliación previa, estas son las rutas más realistas:</w:t>
      </w:r>
    </w:p>
    <w:p>
      <w:pPr>
        <w:pStyle w:val="BodyText"/>
        <w:bidi w:val="0"/>
        <w:jc w:val="left"/>
        <w:rPr/>
      </w:pPr>
      <w:r>
        <w:rPr>
          <w:rStyle w:val="Strong"/>
        </w:rPr>
        <w:t>En Argentina / Latinoamérica: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DC-UBA</w:t>
      </w:r>
      <w:r>
        <w:rPr/>
        <w:t xml:space="preserve"> (Departamento de Computación, UBA): tiene un grupo de lenguajes de programación activo. Podés escribirle directamente a investigadores del área PL.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FAMAF</w:t>
      </w:r>
      <w:r>
        <w:rPr/>
        <w:t xml:space="preserve"> (UNC, Córdoba): fuerte en lógica y fundamentos de la computación.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CONICET</w:t>
      </w:r>
      <w:r>
        <w:rPr/>
        <w:t xml:space="preserve">: si el paper tiene tracción (Zenodo + envío a conferencia), es posible solicitar una posición de investigador externo o una colaboración. </w:t>
      </w:r>
    </w:p>
    <w:p>
      <w:pPr>
        <w:pStyle w:val="BodyText"/>
        <w:bidi w:val="0"/>
        <w:jc w:val="left"/>
        <w:rPr/>
      </w:pPr>
      <w:r>
        <w:rPr>
          <w:rStyle w:val="Strong"/>
        </w:rPr>
        <w:t>Internacionales receptivas a independientes: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CMU Language Technologies Institute</w:t>
      </w:r>
      <w:r>
        <w:rPr/>
        <w:t xml:space="preserve">: tienen un canal de visiting researchers y son receptivos a trabajo en intersección PL/AI.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MIT CSAIL</w:t>
      </w:r>
      <w:r>
        <w:rPr/>
        <w:t xml:space="preserve">: similar — si el trabajo llama la atención en POPL o arXiv, los contactos se dan naturalmente. </w:t>
      </w:r>
    </w:p>
    <w:p>
      <w:pPr>
        <w:pStyle w:val="Lneahorizontaluser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Plan de acción esta semana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77"/>
        <w:gridCol w:w="5554"/>
        <w:gridCol w:w="1773"/>
        <w:gridCol w:w="934"/>
      </w:tblGrid>
      <w:tr>
        <w:trPr>
          <w:tblHeader w:val="true"/>
        </w:trPr>
        <w:tc>
          <w:tcPr>
            <w:tcW w:w="1377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Día</w:t>
            </w:r>
          </w:p>
        </w:tc>
        <w:tc>
          <w:tcPr>
            <w:tcW w:w="5554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Acción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Costo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Tiempo</w:t>
            </w:r>
          </w:p>
        </w:tc>
      </w:tr>
      <w:tr>
        <w:trPr/>
        <w:tc>
          <w:tcPr>
            <w:tcW w:w="1377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Hoy/mañana</w:t>
            </w:r>
          </w:p>
        </w:tc>
        <w:tc>
          <w:tcPr>
            <w:tcW w:w="55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Subir a Zenodo, conseguir DOI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30 min</w:t>
            </w:r>
          </w:p>
        </w:tc>
      </w:tr>
      <w:tr>
        <w:trPr/>
        <w:tc>
          <w:tcPr>
            <w:tcW w:w="1377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Esta semana</w:t>
            </w:r>
          </w:p>
        </w:tc>
        <w:tc>
          <w:tcPr>
            <w:tcW w:w="55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Preparar versión anónima para POPL (quitar nombres del PDF)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2 hs</w:t>
            </w:r>
          </w:p>
        </w:tc>
      </w:tr>
      <w:tr>
        <w:trPr/>
        <w:tc>
          <w:tcPr>
            <w:tcW w:w="1377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9 julio</w:t>
            </w:r>
          </w:p>
        </w:tc>
        <w:tc>
          <w:tcPr>
            <w:tcW w:w="55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Enviar a POPL 2027 (deadline real)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0 hasta aceptación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77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Después</w:t>
            </w:r>
          </w:p>
        </w:tc>
        <w:tc>
          <w:tcPr>
            <w:tcW w:w="55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Email a Anthropic/Modular con DOI de Zenodo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left"/>
              <w:rPr/>
            </w:pPr>
            <w:r>
              <w:rPr/>
              <w:t>15 min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Lo más importante: </w:t>
      </w:r>
      <w:r>
        <w:rPr>
          <w:rStyle w:val="Strong"/>
        </w:rPr>
        <w:t>POPL 2027 en 10 días con revisión ciega es tu mejor oportunidad académica ahora mismo</w:t>
      </w:r>
      <w:r>
        <w:rPr/>
        <w:t>. El paper tiene los teoremas, la semántica formal y las pruebas que POPL exige. La falta de afiliación no se ve hasta después de la decisión.</w:t>
      </w:r>
    </w:p>
    <w:p>
      <w:pPr>
        <w:pStyle w:val="BodyText"/>
        <w:bidi w:val="0"/>
        <w:jc w:val="left"/>
        <w:rPr/>
      </w:pPr>
      <w:r>
        <w:rPr/>
        <w:t>Entendido. arXiv descartado — requiere afiliación institucional que no tenés.</w:t>
      </w:r>
    </w:p>
    <w:p>
      <w:pPr>
        <w:pStyle w:val="BodyText"/>
        <w:rPr/>
      </w:pPr>
      <w:r>
        <w:rPr>
          <w:rStyle w:val="Strong"/>
        </w:rPr>
        <w:t>Canales de publicación alternativos que funcionan sin afiliación:</w:t>
      </w:r>
    </w:p>
    <w:tbl>
      <w:tblPr>
        <w:tblW w:w="94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8"/>
        <w:gridCol w:w="1962"/>
        <w:gridCol w:w="1218"/>
        <w:gridCol w:w="4076"/>
      </w:tblGrid>
      <w:tr>
        <w:trPr>
          <w:tblHeader w:val="true"/>
        </w:trPr>
        <w:tc>
          <w:tcPr>
            <w:tcW w:w="2228" w:type="dxa"/>
            <w:tcBorders/>
            <w:vAlign w:val="center"/>
          </w:tcPr>
          <w:p>
            <w:pPr>
              <w:pStyle w:val="Ttulodelatabla"/>
              <w:rPr/>
            </w:pPr>
            <w:r>
              <w:rPr/>
              <w:t>Canal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tulodelatabla"/>
              <w:rPr/>
            </w:pPr>
            <w:r>
              <w:rPr/>
              <w:t>Requisito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tulodelatabla"/>
              <w:rPr/>
            </w:pPr>
            <w:r>
              <w:rPr/>
              <w:t>Tiempo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tulodelatabla"/>
              <w:rPr/>
            </w:pPr>
            <w:r>
              <w:rPr/>
              <w:t>Visibilidad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Strong"/>
              </w:rPr>
              <w:t>Zenodo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 xml:space="preserve">✅ </w:t>
            </w:r>
            <w:r>
              <w:rPr/>
              <w:t>ya publicado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—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DOI permanente, Google Scholar indexa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Strong"/>
              </w:rPr>
              <w:t>OSF Preprints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cuenta gratuita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5 min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indexado por Google Scholar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Strong"/>
              </w:rPr>
              <w:t>ResearchGate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cuenta gratuita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5 min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red académica activa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Strong"/>
              </w:rPr>
              <w:t>Academia.edu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cuenta gratuita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5 min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alta visibilidad SEO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Strong"/>
              </w:rPr>
              <w:t>SSRN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cuenta gratuita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24h review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bueno para cs.AI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Strong"/>
              </w:rPr>
              <w:t>HAL</w:t>
            </w:r>
            <w:r>
              <w:rPr/>
              <w:t xml:space="preserve"> (Francia)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cuenta gratuita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sin revisión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Open Access europeo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Strong"/>
              </w:rPr>
              <w:t>GitHub + README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 xml:space="preserve">✅ </w:t>
            </w:r>
            <w:r>
              <w:rPr/>
              <w:t>ya tenés cuenta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5 min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comunidad técnica directa</w:t>
            </w:r>
          </w:p>
        </w:tc>
      </w:tr>
    </w:tbl>
    <w:p>
      <w:pPr>
        <w:pStyle w:val="BodyText"/>
        <w:rPr/>
      </w:pPr>
      <w:r>
        <w:rPr>
          <w:rStyle w:val="Strong"/>
        </w:rPr>
        <w:t>Mi recomendación — 3 pasos en orden: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OSF</w:t>
      </w:r>
      <w:r>
        <w:rPr/>
        <w:t xml:space="preserve"> (</w:t>
      </w:r>
      <w:r>
        <w:rPr>
          <w:rStyle w:val="Textooriginal"/>
        </w:rPr>
        <w:t>osf.io</w:t>
      </w:r>
      <w:r>
        <w:rPr/>
        <w:t xml:space="preserve">) — espejo de Zenodo, mismo DOI, más visibilidad académica. 5 min.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GitHub</w:t>
      </w:r>
      <w:r>
        <w:rPr/>
        <w:t xml:space="preserve"> — subir el paper + los scripts como repositorio público </w:t>
      </w:r>
      <w:r>
        <w:rPr>
          <w:rStyle w:val="Textooriginal"/>
        </w:rPr>
        <w:t>polydim-lang/polydim</w:t>
      </w:r>
      <w:r>
        <w:rPr/>
        <w:t xml:space="preserve">. La comunidad de cs.PL vive en GitHub.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ResearchGate</w:t>
      </w:r>
      <w:r>
        <w:rPr/>
        <w:t xml:space="preserve"> — para que aparezca en búsquedas de investigadores. </w:t>
      </w:r>
    </w:p>
    <w:p>
      <w:pPr>
        <w:pStyle w:val="BodyTex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517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517"/>
      </w:tblGrid>
      <w:tr>
        <w:trPr/>
        <w:tc>
          <w:tcPr>
            <w:tcW w:w="9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8000" w:val="clear"/>
          </w:tcPr>
          <w:p>
            <w:pPr>
              <w:pStyle w:val="Contenidodelatabla"/>
              <w:rPr/>
            </w:pPr>
            <w:r>
              <w:rPr/>
            </w:r>
          </w:p>
        </w:tc>
      </w:tr>
      <w:tr>
        <w:trPr/>
        <w:tc>
          <w:tcPr>
            <w:tcW w:w="9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/>
              <w:ind w:hanging="0" w:left="0" w:right="0"/>
              <w:rPr/>
            </w:pPr>
            <w:r>
              <w:rPr>
                <w:rStyle w:val="Strong"/>
      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      <w:i w:val="false"/>
                <w:caps w:val="false"/>
                <w:smallCaps w:val="false"/>
                <w:color w:val="4493F8"/>
                <w:spacing w:val="0"/>
                <w:sz w:val="24"/>
                <w:u w:val="single"/>
                <w:shd w:fill="0D1117" w:val="clear"/>
              </w:rPr>
              <w:t xml:space="preserve">OSF  </w:t>
            </w:r>
            <w:hyperlink r:id="rId7">
              <w:r>
                <w:rPr>
                  <w:rStyle w:val="Hyperlink"/>
        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        <w:b w:val="false"/>
                  <w:i w:val="false"/>
                  <w:caps w:val="false"/>
                  <w:smallCaps w:val="false"/>
                  <w:color w:val="4493F8"/>
                  <w:spacing w:val="0"/>
                  <w:sz w:val="24"/>
                  <w:u w:val="single"/>
                  <w:shd w:fill="0D1117" w:val="clear"/>
                </w:rPr>
                <w:t>0009-0001-2787-6067</w:t>
              </w:r>
            </w:hyperlink>
          </w:p>
        </w:tc>
      </w:tr>
      <w:tr>
        <w:trPr/>
        <w:tc>
          <w:tcPr>
            <w:tcW w:w="9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widowControl/>
              <w:spacing w:before="200" w:after="120"/>
              <w:ind w:hanging="0" w:left="0" w:right="0"/>
              <w:rPr>
                <w:rFonts w:ascii="Helvetica;Helvetica Neue;Arial;sans-serif" w:hAnsi="Helvetica;Helvetica Neue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</w:pPr>
            <w:r>
              <w:rPr>
                <w:rFonts w:ascii="Helvetica;Helvetica Neue;Arial;sans-serif" w:hAnsi="Helvetica;Helvetica Neue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t>Details</w:t>
            </w:r>
          </w:p>
          <w:p>
            <w:pPr>
              <w:pStyle w:val="Ttulodelalistauser"/>
              <w:widowControl/>
              <w:spacing w:before="0" w:after="0"/>
              <w:ind w:hanging="0" w:left="0" w:right="0"/>
              <w:rPr>
                <w:rFonts w:ascii="Helvetica;Helvetica Neue;Arial;sans-serif" w:hAnsi="Helvetica;Helvetica Neue;Arial;sans-serif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</w:pPr>
            <w:r>
              <w:rPr>
                <w:rFonts w:ascii="Helvetica;Helvetica Neue;Arial;sans-serif" w:hAnsi="Helvetica;Helvetica Neue;Arial;sans-serif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t>DOI</w:t>
            </w:r>
          </w:p>
          <w:p>
            <w:pPr>
              <w:pStyle w:val="Contenidodelistauser"/>
              <w:widowControl/>
              <w:spacing w:before="0" w:after="0"/>
              <w:ind w:hanging="0" w:left="567" w:right="0"/>
              <w:rPr>
                <w:caps w:val="false"/>
                <w:smallCaps w:val="false"/>
                <w:color w:val="000000"/>
                <w:spacing w:val="0"/>
              </w:rPr>
            </w:pPr>
            <w:r>
              <w:rPr/>
              <w:drawing>
                <wp:inline distT="0" distB="0" distL="0" distR="0">
                  <wp:extent cx="1827530" cy="200025"/>
                  <wp:effectExtent l="0" t="0" r="0" b="0"/>
                  <wp:docPr id="1" name="Imagen1" descr="10.5281/zenodo.21086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10.5281/zenodo.210868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530" cy="20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Start w:id="0" w:name="record-doi-badge"/>
            <w:bookmarkEnd w:id="0"/>
          </w:p>
          <w:p>
            <w:pPr>
              <w:pStyle w:val="Contenidodelistauser"/>
              <w:widowControl/>
              <w:spacing w:before="0" w:after="0"/>
              <w:ind w:hanging="0" w:left="567" w:right="0"/>
              <w:rPr/>
            </w:pPr>
            <w:r>
              <w:rPr/>
              <w:t>https://doi.org/10.5281/zenodo.21086893</w:t>
            </w:r>
          </w:p>
          <w:p>
            <w:pPr>
              <w:pStyle w:val="Ttulodelalistauser"/>
              <w:widowControl/>
              <w:spacing w:before="0" w:after="0"/>
              <w:ind w:hanging="0" w:left="0" w:right="0"/>
              <w:rPr>
                <w:rFonts w:ascii="Helvetica;Helvetica Neue;Arial;sans-serif" w:hAnsi="Helvetica;Helvetica Neue;Arial;sans-serif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</w:pPr>
            <w:r>
              <w:rPr>
                <w:rFonts w:ascii="Helvetica;Helvetica Neue;Arial;sans-serif" w:hAnsi="Helvetica;Helvetica Neue;Arial;sans-serif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t>Resource type</w:t>
            </w:r>
          </w:p>
          <w:p>
            <w:pPr>
              <w:pStyle w:val="Contenidodelistauser"/>
              <w:widowControl/>
              <w:spacing w:before="0" w:after="0"/>
              <w:ind w:hanging="0" w:left="0" w:right="0"/>
              <w:rPr>
                <w:rFonts w:ascii="Helvetica;Helvetica Neue;Arial;sans-serif" w:hAnsi="Helvetica;Helvetica Neue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Helvetica;Helvetica Neue;Arial;sans-serif" w:hAnsi="Helvetica;Helvetica Neue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Preprint</w:t>
            </w:r>
          </w:p>
          <w:p>
            <w:pPr>
              <w:pStyle w:val="Ttulodelalistauser"/>
              <w:widowControl/>
              <w:spacing w:before="0" w:after="0"/>
              <w:ind w:hanging="0" w:left="0" w:right="0"/>
              <w:rPr>
                <w:rFonts w:ascii="Helvetica;Helvetica Neue;Arial;sans-serif" w:hAnsi="Helvetica;Helvetica Neue;Arial;sans-serif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</w:pPr>
            <w:r>
              <w:rPr>
                <w:rFonts w:ascii="Helvetica;Helvetica Neue;Arial;sans-serif" w:hAnsi="Helvetica;Helvetica Neue;Arial;sans-serif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t>Publisher</w:t>
            </w:r>
          </w:p>
          <w:p>
            <w:pPr>
              <w:pStyle w:val="Contenidodelistauser"/>
              <w:widowControl/>
              <w:spacing w:before="0" w:after="0"/>
              <w:ind w:hanging="0" w:left="0" w:right="0"/>
              <w:rPr>
                <w:rFonts w:ascii="Helvetica;Helvetica Neue;Arial;sans-serif" w:hAnsi="Helvetica;Helvetica Neue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Helvetica;Helvetica Neue;Arial;sans-serif" w:hAnsi="Helvetica;Helvetica Neue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Zenodo</w:t>
            </w:r>
          </w:p>
          <w:p>
            <w:pPr>
              <w:pStyle w:val="Ttulodelalistauser"/>
              <w:widowControl/>
              <w:spacing w:before="0" w:after="0"/>
              <w:ind w:hanging="0" w:left="0" w:right="0"/>
              <w:rPr>
                <w:rFonts w:ascii="Helvetica;Helvetica Neue;Arial;sans-serif" w:hAnsi="Helvetica;Helvetica Neue;Arial;sans-serif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</w:pPr>
            <w:r>
              <w:rPr>
                <w:rFonts w:ascii="Helvetica;Helvetica Neue;Arial;sans-serif" w:hAnsi="Helvetica;Helvetica Neue;Arial;sans-serif"/>
                <w:b/>
                <w:i w:val="false"/>
                <w:caps w:val="false"/>
                <w:smallCaps w:val="false"/>
                <w:color w:val="000000"/>
                <w:spacing w:val="0"/>
                <w:sz w:val="21"/>
                <w14:textFill>
                  <w14:solidFill>
                    <w14:srgbClr w14:val="000000">
                      <w14:alpha w14:val="13000"/>
                    </w14:srgbClr>
                  </w14:solidFill>
                </w14:textFill>
              </w:rPr>
              <w:t>Languages</w:t>
            </w:r>
          </w:p>
          <w:p>
            <w:pPr>
              <w:pStyle w:val="Contenidodelistauser"/>
              <w:widowControl/>
              <w:spacing w:before="0" w:after="0"/>
              <w:ind w:hanging="0" w:left="0" w:right="0"/>
              <w:rPr>
                <w:rFonts w:ascii="Helvetica;Helvetica Neue;Arial;sans-serif" w:hAnsi="Helvetica;Helvetica Neue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Helvetica;Helvetica Neue;Arial;sans-serif" w:hAnsi="Helvetica;Helvetica Neue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English, Spanish</w:t>
            </w:r>
          </w:p>
          <w:p>
            <w:pPr>
              <w:pStyle w:val="Contenidodelatabla"/>
              <w:widowControl/>
              <w:ind w:hanging="0" w:left="0" w:right="0"/>
              <w:rPr/>
            </w:pPr>
            <w:r>
              <w:rPr/>
            </w:r>
          </w:p>
        </w:tc>
      </w:tr>
      <w:tr>
        <w:trPr/>
        <w:tc>
          <w:tcPr>
            <w:tcW w:w="9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/>
              <w:ind w:hanging="0" w:left="0" w:right="0"/>
              <w:rPr/>
            </w:pPr>
            <w:r>
              <w:rPr/>
              <w:t>https://www.linkedin.com/pulse/polydim-transformer-native-algebraic-programming-latent-garcia-t--rl46f</w:t>
            </w:r>
          </w:p>
        </w:tc>
      </w:tr>
      <w:tr>
        <w:trPr/>
        <w:tc>
          <w:tcPr>
            <w:tcW w:w="9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/>
              <w:ind w:hanging="0" w:left="0" w:right="0"/>
              <w:rPr/>
            </w:pPr>
            <w:r>
              <w:rPr/>
            </w:r>
          </w:p>
        </w:tc>
      </w:tr>
      <w:tr>
        <w:trPr/>
        <w:tc>
          <w:tcPr>
            <w:tcW w:w="9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/>
              <w:ind w:hanging="0" w:left="0" w:right="0"/>
              <w:rPr/>
            </w:pPr>
            <w:r>
              <w:rPr/>
            </w:r>
          </w:p>
        </w:tc>
      </w:tr>
      <w:tr>
        <w:trPr/>
        <w:tc>
          <w:tcPr>
            <w:tcW w:w="9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/>
              <w:ind w:hanging="0" w:left="0" w:right="0"/>
              <w:rPr/>
            </w:pPr>
            <w:r>
              <w:rPr/>
            </w:r>
          </w:p>
        </w:tc>
      </w:tr>
      <w:tr>
        <w:trPr/>
        <w:tc>
          <w:tcPr>
            <w:tcW w:w="9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/>
              <w:ind w:hanging="0" w:left="0" w:right="0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ona Sans VF">
    <w:altName w:val="apple-system"/>
    <w:charset w:val="00"/>
    <w:family w:val="roman"/>
    <w:pitch w:val="variable"/>
  </w:font>
  <w:font w:name="Helvetica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tulodelalistauser">
    <w:name w:val="Título de la lista (user)"/>
    <w:basedOn w:val="Normal"/>
    <w:next w:val="Contenidodelistauser"/>
    <w:qFormat/>
    <w:pPr>
      <w:ind w:left="0"/>
    </w:pPr>
    <w:rPr/>
  </w:style>
  <w:style w:type="paragraph" w:styleId="Contenidodelistauser">
    <w:name w:val="Contenido de lista (user)"/>
    <w:basedOn w:val="Normal"/>
    <w:qFormat/>
    <w:pPr>
      <w:ind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pl27.hotcrp.com/" TargetMode="External"/><Relationship Id="rId3" Type="http://schemas.openxmlformats.org/officeDocument/2006/relationships/hyperlink" Target="https://www.openaire.eu/zenodo-guide" TargetMode="External"/><Relationship Id="rId4" Type="http://schemas.openxmlformats.org/officeDocument/2006/relationships/hyperlink" Target="https://blog.arxiv.org/2026/01/21/attention-authors-updated-endorsement-policy/" TargetMode="External"/><Relationship Id="rId5" Type="http://schemas.openxmlformats.org/officeDocument/2006/relationships/hyperlink" Target="mailto:research@anthropic.com" TargetMode="External"/><Relationship Id="rId6" Type="http://schemas.openxmlformats.org/officeDocument/2006/relationships/hyperlink" Target="https://www.neowin.net/news/google-reshuffles-its-ai-coding-team-as-it-struggles-to-catch-anthropic/" TargetMode="External"/><Relationship Id="rId7" Type="http://schemas.openxmlformats.org/officeDocument/2006/relationships/hyperlink" Target="https://orcid.org/0009-0001-2787-6067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sv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831</TotalTime>
  <Application>LibreOffice/26.2.4.2$Windows_X86_64 LibreOffice_project/0229ac93fcf0d7cbc6376066c6f35021cef002dc</Application>
  <AppVersion>15.0000</AppVersion>
  <Pages>3</Pages>
  <Words>918</Words>
  <Characters>5136</Characters>
  <CharactersWithSpaces>5971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2026-06-29T22:28:19Z</dcterms:created>
  <dc:creator/>
  <dc:description/>
  <dc:language>es-ES</dc:language>
  <cp:lastModifiedBy/>
  <dcterms:modified xsi:type="dcterms:W3CDTF">2026-06-30T21:48:30Z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