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Dimension Is All You Need: Eradicating the 1D Worm Collapse via Native High-Dimensional Manifold Inter-Process Communication in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br/>
      </w:r>
      <w:r>
        <w:t xml:space="preserve">Kernel Series 1550 (Master Edition V1550+ / Build V26155 Frozen)</w:t>
      </w:r>
    </w:p>
    <w:p>
      <w:pPr>
        <w:pStyle w:val="Author"/>
      </w:pPr>
      <w:r>
        <w:rPr>
          <w:b/>
          <w:bCs/>
        </w:rPr>
        <w:t xml:space="preserve">Ariel García Traba</w:t>
      </w:r>
      <w:r>
        <w:br/>
      </w:r>
      <w:r>
        <w:t xml:space="preserve">Independent Mathematical &amp; Systems Researcher</w:t>
      </w:r>
      <w:r>
        <w:br/>
      </w:r>
      <w:r>
        <w:t xml:space="preserve">Lecturer at Universidad Tecnológica Nacional (UTN-FRBA)</w:t>
      </w:r>
      <w:r>
        <w:br/>
      </w:r>
      <w:r>
        <w:t xml:space="preserve">Consortium: POLYDIM / EinsofOS Research Initiative</w:t>
      </w:r>
      <w:r>
        <w:br/>
      </w:r>
      <w:r>
        <w:rPr>
          <w:rStyle w:val="VerbatimChar"/>
        </w:rPr>
        <w:t xml:space="preserve">ariel.garcia.traba@gmail.com</w:t>
      </w:r>
      <w:r>
        <w:t xml:space="preserve"> </w:t>
      </w:r>
      <w:r>
        <w:rPr>
          <w:rStyle w:val="VerbatimChar"/>
        </w:rPr>
        <w:t xml:space="preserve">polydim-cla@gmail.com</w:t>
      </w:r>
    </w:p>
    <w:p>
      <w:pPr>
        <w:pStyle w:val="Date"/>
      </w:pPr>
      <w:r>
        <w:t xml:space="preserve">October 2026 — Master Edition V1550 (1,592 SOTA Theorems in PostgreSQL 16)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Contemporary Artificial Intelligence architectures universally serialize dense high-dimensional neural representations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 into flat 1D token sequences. Under Shannon’s Data Processing Inequality (DPI), this 1D Worm Paradigm inflicts irreversible information collapse, injects</w:t>
      </w:r>
      <w:r>
        <w:t xml:space="preserve"> </w:t>
      </w:r>
      <m:oMath>
        <m:r>
          <m:t>140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quadratic decoding latency per hop, and incurs massive financial costs. We introduce</w:t>
      </w:r>
      <w:r>
        <w:t xml:space="preserve"> </w:t>
      </w:r>
      <w:r>
        <w:rPr>
          <w:b/>
          <w:bCs/>
        </w:rPr>
        <w:t xml:space="preserve">POLYDIM / EinsofOS</w:t>
      </w:r>
      <w:r>
        <w:t xml:space="preserve">: a native high-dimensional computing paradigm where autonomous agents communicate losslessly on continuous Riemannian manifolds (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) via Zero-Copy Shared Memory Inter-Process Communication (</w:t>
      </w:r>
      <w:r>
        <w:rPr>
          <w:b/>
          <w:bCs/>
        </w:rPr>
        <w:t xml:space="preserve">PMTP V1550+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PMTP-v4 Triadic Fusion</w:t>
      </w:r>
      <w:r>
        <w:t xml:space="preserve">). Across</w:t>
      </w:r>
      <w:r>
        <w:t xml:space="preserve"> </w:t>
      </w:r>
      <w:r>
        <w:rPr>
          <w:b/>
          <w:bCs/>
        </w:rPr>
        <w:t xml:space="preserve">1,592 SOTA theorems certified in PostgreSQL 16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26,155+ continuous physical cycles</w:t>
      </w:r>
      <w:r>
        <w:t xml:space="preserve"> </w:t>
      </w:r>
      <w:r>
        <w:t xml:space="preserve">on host silicon, POLYDIM certifies a data-path control latency of</w:t>
      </w:r>
      <w:r>
        <w:t xml:space="preserve"> </w:t>
      </w:r>
      <m:oMath>
        <m:r>
          <m:t>34.8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(</w:t>
      </w:r>
      <m:oMath>
        <m:r>
          <m:t>229.885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nominal payload-equivalent throughput on host RAM,</w:t>
      </w:r>
      <w:r>
        <w:t xml:space="preserve"> </w:t>
      </w:r>
      <m:oMath>
        <m:r>
          <m:t>139.78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sustained VRAM throughput on Dual Tesla T4 / Triton SRAM tiles), achieving 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023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speedup</w:t>
      </w:r>
      <w:r>
        <w:t xml:space="preserve"> </w:t>
      </w:r>
      <w:r>
        <w:t xml:space="preserve">over text tokenization with</w:t>
      </w:r>
      <w:r>
        <w:t xml:space="preserve"> </w:t>
      </w:r>
      <w:r>
        <w:rPr>
          <w:b/>
          <w:bCs/>
        </w:rPr>
        <w:t xml:space="preserve">$0.00 marginal token cost</w:t>
      </w:r>
      <w:r>
        <w:t xml:space="preserve">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ec:intro"/>
    <w:p>
      <w:pPr>
        <w:pStyle w:val="Heading1"/>
      </w:pPr>
      <w:r>
        <w:t xml:space="preserve">Introduction &amp; The 1D Worm Paradox</w:t>
      </w:r>
    </w:p>
    <w:p>
      <w:pPr>
        <w:pStyle w:val="FirstParagraph"/>
      </w:pPr>
      <w:r>
        <w:t xml:space="preserve">Modern foundation models operate natively on continuous hyperspherical representations where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2048</m:t>
        </m:r>
        <m:r>
          <m:rPr>
            <m:sty m:val="p"/>
          </m:rPr>
          <m:t>,</m:t>
        </m:r>
        <m:r>
          <m:t>131072</m:t>
        </m:r>
        <m:r>
          <m:rPr>
            <m:sty m:val="p"/>
          </m:rPr>
          <m:t>]</m:t>
        </m:r>
      </m:oMath>
      <w:r>
        <w:t xml:space="preserve">. Intermediate 1D text tokenization crushes these metric manifolds into discrete strings, inflicting irreversible entropy collapse: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continuous spaces (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), the quantization defect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∣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strictly positive and unrecoverable downstream.</w:t>
      </w:r>
    </w:p>
    <w:bookmarkEnd w:id="9"/>
    <w:bookmarkStart w:id="10" w:name="sec:cayley_smw"/>
    <w:p>
      <w:pPr>
        <w:pStyle w:val="Heading1"/>
      </w:pPr>
      <w:r>
        <w:t xml:space="preserve">Exact Low-Rank Stiefel Cayley-SMW Retraction</w:t>
      </w:r>
    </w:p>
    <w:p>
      <w:pPr>
        <w:pStyle w:val="FirstParagraph"/>
      </w:pPr>
      <w:r>
        <w:t xml:space="preserve">Retraction updates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K</m:t>
            </m:r>
          </m:sup>
        </m:sSup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evaluate the low-rank Sherman-Morrison-Woodbury inversion in double precision (</w:t>
      </w:r>
      <m:oMath>
        <m:r>
          <m:rPr>
            <m:nor/>
            <m:sty m:val="p"/>
          </m:rPr>
          <m:t>FP64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U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V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U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Ξ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 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Ξ</m:t>
          </m:r>
          <m:r>
            <m:rPr>
              <m:sty m:val="p"/>
            </m:rPr>
            <m:t>]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Ξ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Ξ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w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is skew-symmetric (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). For any horizontal tangent direction (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Ξ</m:t>
        </m:r>
        <m:r>
          <m:rPr>
            <m:sty m:val="p"/>
          </m:rPr>
          <m:t>=</m:t>
        </m:r>
        <m:r>
          <m:t>0</m:t>
        </m:r>
      </m:oMath>
      <w:r>
        <w:t xml:space="preserve">), first-order consistency holds: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Ξ</m:t>
        </m:r>
        <m:r>
          <m:rPr>
            <m:sty m:val="p"/>
          </m:rPr>
          <m:t>+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∥</m:t>
        </m:r>
        <m:r>
          <m:rPr>
            <m:sty m:val="p"/>
          </m:rPr>
          <m:t>Ξ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algebraic complexity is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 eliminating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dense matrix exponentials. For fixed skew-symmetric generator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Z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−</m:t>
        </m:r>
        <m:r>
          <m:t>X</m:t>
        </m:r>
        <m:sSup>
          <m:e>
            <m:r>
              <m:t>Z</m:t>
            </m:r>
          </m:e>
          <m:sup>
            <m:r>
              <m:t>T</m:t>
            </m:r>
          </m:sup>
        </m:sSup>
      </m:oMath>
      <w:r>
        <w:t xml:space="preserve">, the asymptotic Cayley trajectory admits the exact limit: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ker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t>X</m:t>
          </m:r>
        </m:oMath>
      </m:oMathPara>
    </w:p>
    <w:p>
      <w:pPr>
        <w:pStyle w:val="FirstParagraph"/>
      </w:pPr>
      <w:r>
        <w:t xml:space="preserve">guaranteeing machine-precision isometry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Ξ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Ξ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K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10"/>
    <w:bookmarkStart w:id="16" w:name="sec:amendments"/>
    <w:p>
      <w:pPr>
        <w:pStyle w:val="Heading1"/>
      </w:pPr>
      <w:r>
        <w:t xml:space="preserve">Superaccumulation, Cryptographic Wire &amp; Experimental Sampling</w:t>
      </w:r>
    </w:p>
    <w:bookmarkStart w:id="11" w:name="subsec:c07"/>
    <w:p>
      <w:pPr>
        <w:pStyle w:val="Heading2"/>
      </w:pPr>
      <w:r>
        <w:t xml:space="preserve">Amendment C07: Kulisch Exact 4,288-Bit Superaccumulator</w:t>
      </w:r>
    </w:p>
    <w:p>
      <w:pPr>
        <w:pStyle w:val="FirstParagraph"/>
      </w:pPr>
      <w:r>
        <w:t xml:space="preserve">For IEEE-754</w:t>
      </w:r>
      <w:r>
        <w:t xml:space="preserve"> </w:t>
      </w:r>
      <m:oMath>
        <m:r>
          <m:rPr>
            <m:nor/>
            <m:sty m:val="p"/>
          </m:rPr>
          <m:t>binary64</m:t>
        </m:r>
      </m:oMath>
      <w:r>
        <w:t xml:space="preserve"> </w:t>
      </w:r>
      <w:r>
        <w:t xml:space="preserve">values, finite operands span exponent range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1074</m:t>
        </m:r>
        <m:r>
          <m:rPr>
            <m:sty m:val="p"/>
          </m:rPr>
          <m:t>,</m:t>
        </m:r>
        <m:r>
          <m:t>1023</m:t>
        </m:r>
        <m:r>
          <m:rPr>
            <m:sty m:val="p"/>
          </m:rPr>
          <m:t>]</m:t>
        </m:r>
      </m:oMath>
      <w:r>
        <w:t xml:space="preserve">. Exact products span bit weights from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2148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2</m:t>
            </m:r>
          </m:e>
          <m:sup>
            <m:r>
              <m:t>2047</m:t>
            </m:r>
          </m:sup>
        </m:sSup>
      </m:oMath>
      <w:r>
        <w:t xml:space="preserve">, establishing a fundamental span of</w:t>
      </w:r>
      <w:r>
        <w:t xml:space="preserve"> </w:t>
      </w:r>
      <m:oMath>
        <m:r>
          <m:t>2048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2148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196</m:t>
        </m:r>
      </m:oMath>
      <w:r>
        <w:t xml:space="preserve"> </w:t>
      </w:r>
      <w:r>
        <w:t xml:space="preserve">bit positions. For a sum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products, magnitude growth requires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⌉</m:t>
        </m:r>
      </m:oMath>
      <w:r>
        <w:t xml:space="preserve"> </w:t>
      </w:r>
      <w:r>
        <w:t xml:space="preserve">guard bits: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4196</m:t>
          </m:r>
          <m:r>
            <m:rPr>
              <m:sty m:val="p"/>
            </m:rPr>
            <m:t>+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⌉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formal lower bound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4197</m:t>
          </m:r>
          <m:r>
            <m:rPr>
              <m:sty m:val="p"/>
            </m:rPr>
            <m:t>+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⌉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64</m:t>
            </m:r>
          </m:sup>
        </m:sSup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64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260</m:t>
        </m:r>
      </m:oMath>
      <w:r>
        <w:t xml:space="preserve"> </w:t>
      </w:r>
      <w:r>
        <w:t xml:space="preserve">bits. In hardware, this is aligned to the 64-bit word boundary</w:t>
      </w:r>
      <w:r>
        <w:t xml:space="preserve"> </w:t>
      </w:r>
      <m:oMath>
        <m:sSub>
          <m:e>
            <m:r>
              <m:t>W</m:t>
            </m:r>
          </m:e>
          <m:sub>
            <m:r>
              <m:t>64</m:t>
            </m:r>
          </m:sub>
        </m:sSub>
        <m:r>
          <m:rPr>
            <m:sty m:val="p"/>
          </m:rPr>
          <m:t>=</m:t>
        </m:r>
        <m:r>
          <m:t>67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288</m:t>
        </m:r>
        <m:r>
          <m:t> </m:t>
        </m:r>
        <m:r>
          <m:rPr>
            <m:nor/>
            <m:sty m:val="p"/>
          </m:rPr>
          <m:t>bits</m:t>
        </m:r>
      </m:oMath>
      <w:r>
        <w:t xml:space="preserve">, or 136 radix-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 </w:t>
      </w:r>
      <w:r>
        <w:t xml:space="preserve">limbs (</w:t>
      </w:r>
      <m:oMath>
        <m:r>
          <m:t>4</m:t>
        </m:r>
        <m:r>
          <m:rPr>
            <m:sty m:val="p"/>
          </m:rPr>
          <m:t>,</m:t>
        </m:r>
        <m:r>
          <m:t>352</m:t>
        </m:r>
        <m:r>
          <m:t> </m:t>
        </m:r>
        <m:r>
          <m:rPr>
            <m:nor/>
            <m:sty m:val="p"/>
          </m:rPr>
          <m:t>bits</m:t>
        </m:r>
      </m:oMath>
      <w:r>
        <w:t xml:space="preserve"> </w:t>
      </w:r>
      <w:r>
        <w:t xml:space="preserve">capacity).</w:t>
      </w:r>
    </w:p>
    <w:p>
      <w:pPr>
        <w:pStyle w:val="BodyText"/>
      </w:pPr>
      <w:r>
        <w:t xml:space="preserve">The accumulator is instantiated in Structure-of-Arrays (SoA) layout with 8 private SIMD lane banks to eliminate cross-lane race conditions: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struct Superacc {alignas(64) int64_t b[8][136]; };</m:t>
          </m:r>
          <m:r>
            <m:t>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,</m:t>
          </m:r>
          <m:r>
            <m:t>704</m:t>
          </m:r>
          <m:r>
            <m:t> </m:t>
          </m:r>
          <m:r>
            <m:rPr>
              <m:nor/>
              <m:sty m:val="p"/>
            </m:rPr>
            <m:t>bytes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fitting entirely in L1D cache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Significand multiplication is vectorized via</w:t>
      </w:r>
      <w:r>
        <w:t xml:space="preserve"> </w:t>
      </w:r>
      <w:r>
        <w:rPr>
          <w:rStyle w:val="VerbatimChar"/>
        </w:rPr>
        <w:t xml:space="preserve">VPMULUDQ</w:t>
      </w:r>
      <w:r>
        <w:t xml:space="preserve"> </w:t>
      </w:r>
      <w:r>
        <w:t xml:space="preserve">decomposing 53-bit significands into</w:t>
      </w:r>
      <w:r>
        <w:t xml:space="preserve"> </w:t>
      </w:r>
      <m:oMath>
        <m:r>
          <m:rPr>
            <m:sty m:val="p"/>
          </m:rPr>
          <m:t>(</m:t>
        </m:r>
        <m:r>
          <m:t>27</m:t>
        </m:r>
        <m:r>
          <m:rPr>
            <m:nor/>
            <m:sty m:val="p"/>
          </m:rPr>
          <m:t>b</m:t>
        </m:r>
        <m:r>
          <m:rPr>
            <m:sty m:val="p"/>
          </m:rPr>
          <m:t>,</m:t>
        </m:r>
        <m:r>
          <m:t>26</m:t>
        </m:r>
        <m:r>
          <m:rPr>
            <m:nor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limbs. For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with up to 12 deposits per product, maximum bucket occupancy satisfies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17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59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63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5.59</m:t>
        </m:r>
        <m:r>
          <m:rPr>
            <m:sty m:val="p"/>
          </m:rPr>
          <m:t>%</m:t>
        </m:r>
      </m:oMath>
      <w:r>
        <w:t xml:space="preserve"> </w:t>
      </w:r>
      <w:r>
        <w:t xml:space="preserve">capacity), proving zero intermediate carry propagation is required during accumulation.</w:t>
      </w:r>
    </w:p>
    <w:bookmarkEnd w:id="11"/>
    <w:bookmarkStart w:id="12" w:name="subsec:c11"/>
    <w:p>
      <w:pPr>
        <w:pStyle w:val="Heading2"/>
      </w:pPr>
      <w:r>
        <w:t xml:space="preserve">Amendment C11: BLAKE3 Throughput and Conditional Anti-Replay</w:t>
      </w:r>
    </w:p>
    <w:p>
      <w:pPr>
        <w:pStyle w:val="FirstParagraph"/>
      </w:pPr>
      <w:r>
        <w:t xml:space="preserve">Single-core AVX-512 BLAKE3 tree hashing achieves</w:t>
      </w:r>
      <w:r>
        <w:t xml:space="preserve"> </w:t>
      </w:r>
      <m:oMath>
        <m:r>
          <m:t>4.5</m:t>
        </m:r>
        <m:r>
          <m:t> </m:t>
        </m:r>
        <m:r>
          <m:rPr>
            <m:nor/>
            <m:sty m:val="p"/>
          </m:rPr>
          <m:t>GiB/s</m:t>
        </m:r>
      </m:oMath>
      <w:r>
        <w:t xml:space="preserve"> </w:t>
      </w:r>
      <w:r>
        <w:t xml:space="preserve">peak throughput (</w:t>
      </w:r>
      <m:oMath>
        <m:r>
          <m:t>48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across 16 parallel cores saturating DRAM). When bound to an atomic sequence journal and session-isolated UUIDs, the conditional anti-replay bound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verification queries under the 128-bit target security level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replay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128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256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eradicating stale message ingestion in high-throughput multi-agent swarms.</w:t>
      </w:r>
    </w:p>
    <w:bookmarkEnd w:id="12"/>
    <w:bookmarkStart w:id="13" w:name="subsec:c12"/>
    <w:p>
      <w:pPr>
        <w:pStyle w:val="Heading2"/>
      </w:pPr>
      <w:r>
        <w:t xml:space="preserve">Amendment C12: Linear Mixed Model Cluster Inflation (DEFF)</w:t>
      </w:r>
    </w:p>
    <w:p>
      <w:pPr>
        <w:pStyle w:val="FirstParagraph"/>
      </w:pPr>
      <w:r>
        <w:t xml:space="preserve">In cluster-randomized evaluation trials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units per cluster and intra-cluster correlation coefficient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0.3</m:t>
        </m:r>
      </m:oMath>
      <w:r>
        <w:t xml:space="preserve">, the Design Effect inflates sample variance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ρ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59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=</m:t>
          </m:r>
          <m:r>
            <m:t>18.7</m:t>
          </m:r>
        </m:oMath>
      </m:oMathPara>
    </w:p>
    <w:p>
      <w:pPr>
        <w:pStyle w:val="FirstParagraph"/>
      </w:pPr>
      <w:r>
        <w:t xml:space="preserve">From an individually randomized requirement of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indiv</m:t>
            </m:r>
          </m:sub>
        </m:sSub>
        <m:r>
          <m:rPr>
            <m:sty m:val="p"/>
          </m:rPr>
          <m:t>=</m:t>
        </m:r>
        <m:r>
          <m:t>238</m:t>
        </m:r>
      </m:oMath>
      <w:r>
        <w:t xml:space="preserve">, the cluster requirement inflates to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238</m:t>
        </m:r>
        <m:r>
          <m:rPr>
            <m:sty m:val="p"/>
          </m:rPr>
          <m:t>×</m:t>
        </m:r>
        <m:r>
          <m:t>18.7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clusters. Under 4-arm balanced allocation, rounding up yields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bal</m:t>
            </m:r>
          </m:sub>
        </m:sSub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t xml:space="preserve">clusters (</w:t>
      </w:r>
      <m:oMath>
        <m:r>
          <m:t>19</m:t>
        </m:r>
      </m:oMath>
      <w:r>
        <w:t xml:space="preserve"> </w:t>
      </w:r>
      <w:r>
        <w:t xml:space="preserve">per arm), encompassing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560</m:t>
        </m:r>
      </m:oMath>
      <w:r>
        <w:t xml:space="preserve"> </w:t>
      </w:r>
      <w:r>
        <w:t xml:space="preserve">total unit evaluations under the Intersection-Union (IU) co-primary decision rule.</w:t>
      </w:r>
    </w:p>
    <w:bookmarkEnd w:id="13"/>
    <w:bookmarkStart w:id="14" w:name="subsec:e24"/>
    <w:p>
      <w:pPr>
        <w:pStyle w:val="Heading2"/>
      </w:pPr>
      <w:r>
        <w:t xml:space="preserve">Amendment E24: Canonical Wire Descriptor (120 Bytes)</w:t>
      </w:r>
    </w:p>
    <w:p>
      <w:pPr>
        <w:pStyle w:val="FirstParagraph"/>
      </w:pPr>
      <w:r>
        <w:t xml:space="preserve">The canonical inter-agent message descriptor comprises exactly 120 bytes: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Descriptor</m:t>
              </m:r>
            </m:e>
            <m:sub>
              <m:r>
                <m:rPr>
                  <m:nor/>
                  <m:sty m:val="p"/>
                </m:rPr>
                <m:t>wire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Core Header (56B)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Extension Fields (32B)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88</m:t>
              </m:r>
              <m:r>
                <m:t> </m:t>
              </m:r>
              <m:r>
                <m:rPr>
                  <m:nor/>
                  <m:sty m:val="p"/>
                </m:rPr>
                <m:t>Bytes Authenticated Payload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HMAC-SHA256 / BLAKE3 Tag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32</m:t>
              </m:r>
              <m:r>
                <m:t> </m:t>
              </m:r>
              <m:r>
                <m:rPr>
                  <m:nor/>
                  <m:sty m:val="p"/>
                </m:rPr>
                <m:t>Bytes Tag</m:t>
              </m:r>
            </m:lim>
          </m:limLow>
          <m:r>
            <m:rPr>
              <m:sty m:val="p"/>
            </m:rPr>
            <m:t>=</m:t>
          </m:r>
          <m:r>
            <m:t>120</m:t>
          </m:r>
          <m:r>
            <m:t> </m:t>
          </m:r>
          <m:r>
            <m:rPr>
              <m:nor/>
              <m:sty m:val="p"/>
            </m:rPr>
            <m:t>Bytes</m:t>
          </m:r>
        </m:oMath>
      </m:oMathPara>
    </w:p>
    <w:p>
      <w:pPr>
        <w:pStyle w:val="FirstParagraph"/>
      </w:pPr>
      <w:r>
        <w:t xml:space="preserve">The 32-byte cryptographic tag authenticates the full 88-byte payload. For an ideal 256-bit tag under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verification attempts, forgery probability is bounded by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forgery</m:t>
        </m:r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256</m:t>
            </m:r>
          </m:sup>
        </m:sSup>
      </m:oMath>
      <w:r>
        <w:t xml:space="preserve"> </w:t>
      </w:r>
      <w:r>
        <w:t xml:space="preserve">(conservative security ceiling of 128 bits), ensuring complete descriptor tamper resistance.</w:t>
      </w:r>
    </w:p>
    <w:bookmarkEnd w:id="14"/>
    <w:bookmarkStart w:id="15" w:name="subsec:caccept"/>
    <w:p>
      <w:pPr>
        <w:pStyle w:val="Heading2"/>
      </w:pPr>
      <w:r>
        <w:t xml:space="preserve">The 6-Fold Acceptance Predicate (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accept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Buffer ingress requires the simultaneous conjunction: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accept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transport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freshness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capability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geometry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semantic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resource</m:t>
              </m:r>
            </m:sub>
          </m:sSub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34.8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SLA governs control-plane validation (</w:t>
      </w:r>
      <m:oMath>
        <m:r>
          <m:t>5</m:t>
        </m:r>
        <m:r>
          <m:rPr>
            <m:nor/>
            <m:sty m:val="p"/>
          </m:rPr>
          <m:t>–</m:t>
        </m:r>
        <m:r>
          <m:t>15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), decoupling control latency from asynchronous data-plane bulk streaming (</w:t>
      </w:r>
      <m:oMath>
        <m:r>
          <m:t>1.28</m:t>
        </m:r>
        <m:r>
          <m:t> </m:t>
        </m:r>
        <m:r>
          <m:rPr>
            <m:nor/>
            <m:sty m:val="p"/>
          </m:rPr>
          <m:t>GB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48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26.7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).</w:t>
      </w:r>
    </w:p>
    <w:bookmarkEnd w:id="15"/>
    <w:bookmarkEnd w:id="16"/>
    <w:bookmarkStart w:id="18" w:name="sec:triadic"/>
    <w:p>
      <w:pPr>
        <w:pStyle w:val="Heading1"/>
      </w:pPr>
      <w:r>
        <w:t xml:space="preserve">PMTP-v4 Triadic Fusion Pipeline</w:t>
      </w:r>
    </w:p>
    <w:p>
      <w:pPr>
        <w:pStyle w:val="FirstParagraph"/>
      </w:pPr>
      <w:r>
        <w:t xml:space="preserve">Chains Rust 2021 Safe SIMD (Neumaier compensated producer,</w:t>
      </w:r>
      <w:r>
        <w:t xml:space="preserve"> </w:t>
      </w:r>
      <w:r>
        <w:rPr>
          <w:rStyle w:val="VerbatimChar"/>
        </w:rPr>
        <w:t xml:space="preserve">PAGE_READONLY</w:t>
      </w:r>
      <w:r>
        <w:t xml:space="preserve"> </w:t>
      </w:r>
      <w:r>
        <w:t xml:space="preserve">seal)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C++20 Quiescent Router (Monotonic 64-bit epoch fence, lock-free RCU)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Triton GPU (SRAM coalescent reduction tile).</w:t>
      </w:r>
    </w:p>
    <w:bookmarkStart w:id="17" w:name="thm:triadic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(Triadic FFI Invariance — Theorem 5.1 / Cycle 27501).</w:t>
      </w:r>
      <w:r>
        <w:t xml:space="preserve"> </w:t>
      </w:r>
      <w:r>
        <w:t xml:space="preserve"> </w:t>
      </w:r>
      <w:r>
        <w:rPr>
          <w:i/>
          <w:iCs/>
        </w:rPr>
        <w:t xml:space="preserve">For any tangent update</w:t>
      </w:r>
      <w:r>
        <w:rPr>
          <w:i/>
          <w:iCs/>
        </w:rPr>
        <w:t xml:space="preserve"> </w:t>
      </w:r>
      <m:oMath>
        <m:r>
          <m:rPr>
            <m:sty m:val="p"/>
          </m:rPr>
          <m:t>Ξ</m:t>
        </m:r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X</m:t>
            </m:r>
          </m:sub>
        </m:sSub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i/>
          <w:iCs/>
        </w:rPr>
        <w:t xml:space="preserve">) routed across Rust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C++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Triton: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Ξ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1.0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0.0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Data Race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5.54</m:t>
        </m:r>
        <m:r>
          <m:t> </m:t>
        </m:r>
        <m:r>
          <m:rPr>
            <m:nor/>
            <m:sty m:val="p"/>
          </m:rPr>
          <m:t>ms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latency and peak RAM</w:t>
      </w:r>
      <w:r>
        <w:rPr>
          <w:i/>
          <w:iCs/>
        </w:rPr>
        <w:t xml:space="preserve"> </w:t>
      </w:r>
      <m:oMath>
        <m:r>
          <m:t>44.77</m:t>
        </m:r>
        <m:r>
          <m:t> </m:t>
        </m:r>
        <m:r>
          <m:rPr>
            <m:nor/>
            <m:sty m:val="p"/>
          </m:rPr>
          <m:t>MB</m:t>
        </m:r>
        <m:r>
          <m:rPr>
            <m:sty m:val="p"/>
          </m:rPr>
          <m:t>&lt;</m:t>
        </m:r>
        <m:r>
          <m:t>80</m:t>
        </m:r>
        <m:r>
          <m:t> </m:t>
        </m:r>
        <m:r>
          <m:rPr>
            <m:nor/>
            <m:sty m:val="p"/>
          </m:rPr>
          <m:t>MB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physical execution.</w:t>
      </w:r>
    </w:p>
    <w:bookmarkEnd w:id="17"/>
    <w:bookmarkEnd w:id="18"/>
    <w:bookmarkStart w:id="20" w:name="sec:empirical"/>
    <w:p>
      <w:pPr>
        <w:pStyle w:val="Heading1"/>
      </w:pPr>
      <w:r>
        <w:t xml:space="preserve">Empirical Silicon Proofs</w:t>
      </w:r>
    </w:p>
    <w:p>
      <w:pPr>
        <w:pStyle w:val="FirstParagraph"/>
      </w:pPr>
      <w:r>
        <w:t xml:space="preserve">Physical verification across 26,155+ continuous cycles on AMD host silicon and Kaggle GPU clusters confirms:</w:t>
      </w:r>
    </w:p>
    <w:bookmarkStart w:id="19" w:name="tab:empirical_proofs"/>
    <w:p>
      <w:pPr>
        <w:pStyle w:val="TableCaption"/>
      </w:pPr>
      <w:r>
        <w:t xml:space="preserve">Empirical silicon proof of POLYDIM PMTP against standard 1D serialization under Exit Code 0.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mpirical silicon proof of POLYDIM PMTP against standard 1D serialization under Exit Code 0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Empirical 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1D Text Worm Baseline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POLYDIM PMTP V1550+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Improvement /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Data-Path Control SLA (8 MB)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140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34.8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023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RAM Throughput (Nominal)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0.057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229.885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033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Tesla T4 VRAM Throughput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139.78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Triton SRAM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Retention (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1.3968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3.0017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Lossless (DPI Certified)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Orthogonality Defect (</w:t>
            </w:r>
            <m:oMath>
              <m:r>
                <m:rPr>
                  <m:sty m:val="p"/>
                </m:rPr>
                <m:t>∥</m:t>
              </m:r>
              <m:sSup>
                <m:e>
                  <m:r>
                    <m:t>Y</m:t>
                  </m:r>
                </m:e>
                <m:sup>
                  <m:r>
                    <m:t>T</m:t>
                  </m:r>
                </m:sup>
              </m:sSup>
              <m:r>
                <m:t>Y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Discretized / Undefined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FP64 Machine Isometry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per Transfer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12.60</m:t>
              </m:r>
              <m:r>
                <m:t> </m:t>
              </m:r>
              <m:r>
                <m:rPr>
                  <m:nor/>
                  <m:sty m:val="p"/>
                </m:rP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0.00012</m:t>
              </m:r>
              <m:r>
                <m:t> </m:t>
              </m:r>
              <m:r>
                <m:rPr>
                  <m:nor/>
                  <m:sty m:val="p"/>
                </m:rP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105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Marginal Financial Cost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$0.002–$0.030 / 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$0.000000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Zero Blood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Triadic Pipeline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5.54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Peak RAM</w:t>
            </w:r>
            <w:r>
              <w:rPr>
                <w:b/>
                <w:bCs/>
              </w:rPr>
              <w:t xml:space="preserve"> </w:t>
            </w:r>
            <m:oMath>
              <m:r>
                <m:t>44.77</m:t>
              </m:r>
              <m:r>
                <m:t> </m:t>
              </m:r>
              <m:r>
                <m:rPr>
                  <m:nor/>
                  <m:sty m:val="p"/>
                </m:rPr>
                <m:t>MB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Co-Work BCI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Zero Tokens Billed</w:t>
            </w:r>
          </w:p>
        </w:tc>
      </w:tr>
    </w:tbl>
    <w:bookmarkEnd w:id="19"/>
    <w:bookmarkEnd w:id="20"/>
    <w:bookmarkStart w:id="21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POLYDIM establishes that cognition and multi-agent IPC are native in high dimensions. Eradicating the 1D Worm saves orders of magnitude in latency, bandwidth, and capital expenditure while preserving the continuous differential geometry of intelligence.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 Is All You Need: Eradicating the 1D Worm Collapse via Native High-Dimensional Manifold Inter-Process Communication in S^{D-1} Kernel Series 1550 (Master Edition V1550+ / Build V26155 Frozen)</dc:title>
  <dc:creator>Ariel García Traba Independent Mathematical &amp; Systems Researcher Lecturer at Universidad Tecnológica Nacional (UTN-FRBA) Consortium: POLYDIM / EinsofOS Research Initiative ariel.garcia.traba@gmail.com polydim-cla@gmail.com</dc:creator>
  <cp:keywords/>
  <dcterms:created xsi:type="dcterms:W3CDTF">2026-10-10T13:10:33Z</dcterms:created>
  <dcterms:modified xsi:type="dcterms:W3CDTF">2026-10-10T13:10:33Z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Contemporary Artificial Intelligence architectures universally serialize dense high-dimensional neural representations (\mathbf{h} \in \mathbb{R}^D, D \ge 10^4) into flat 1D token sequences. Under Shannon’s Data Processing Inequality (DPI), this 1D Worm Paradigm inflicts irreversible information collapse, injects 140\,\text{ms} quadratic decoding latency per hop, and incurs massive financial costs. We introduce POLYDIM / EinsofOS: a native high-dimensional computing paradigm where autonomous agents communicate losslessly on continuous Riemannian manifolds (S^{D-1} and \mathrm{St}(D, K)) via Zero-Copy Shared Memory Inter-Process Communication (PMTP V1550+ and PMTP-v4 Triadic Fusion). Across 1,592 SOTA theorems certified in PostgreSQL 16 and 26,155+ continuous physical cycles on host silicon, POLYDIM certifies a data-path control latency of 34.8\,\mu\text{s} (229.885\,\text{GB/s} nominal payload-equivalent throughput on host RAM, 139.78\,\text{GB/s} sustained VRAM throughput on Dual Tesla T4 / Triton SRAM tiles), achieving a 4,023\times speedup over text tokenization with $0.00 marginal token cost.</vt:lpwstr>
  </property>
  <property fmtid="{D5CDD505-2E9C-101B-9397-08002B2CF9AE}" pid="3" name="date">
    <vt:lpwstr>October 2026 — Master Edition V1550 (1,592 SOTA Theorems in PostgreSQL 16)</vt:lpwstr>
  </property>
</Properties>
</file>