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Local Management Levels vs. Raising Minimum Thresholds</w:t>
      </w:r>
    </w:p>
    <w:p>
      <w:r>
        <w:rPr>
          <w:b w:val="0"/>
          <w:i/>
          <w:color w:val="555555"/>
          <w:sz w:val="24"/>
        </w:rPr>
        <w:t>The case for Alternative 1 — Working technical notes</w:t>
      </w:r>
    </w:p>
    <w:p>
      <w:r>
        <w:rPr>
          <w:b/>
          <w:sz w:val="18"/>
        </w:rPr>
        <w:t xml:space="preserve">Prepared for: </w:t>
      </w:r>
      <w:r>
        <w:rPr>
          <w:sz w:val="18"/>
        </w:rPr>
        <w:t>Tovey Giezentanner</w:t>
      </w:r>
      <w:r>
        <w:rPr>
          <w:b/>
          <w:sz w:val="18"/>
        </w:rPr>
        <w:t xml:space="preserve">   |   Date: </w:t>
      </w:r>
      <w:r>
        <w:rPr>
          <w:sz w:val="18"/>
        </w:rPr>
        <w:t>2026-07-17</w:t>
      </w:r>
      <w:r>
        <w:rPr>
          <w:b/>
          <w:sz w:val="18"/>
        </w:rPr>
        <w:t xml:space="preserve">   |   Branch: </w:t>
      </w:r>
      <w:r>
        <w:rPr>
          <w:sz w:val="18"/>
        </w:rPr>
        <w:t>claude/oak-rooting-depth-gde-ifgslp</w:t>
      </w:r>
    </w:p>
    <w:p>
      <w:r>
        <w:rPr>
          <w:i/>
          <w:color w:val="555555"/>
          <w:sz w:val="17"/>
        </w:rPr>
        <w:t>Sources: Vina GSA SHAC packet, 7/22/2026 meeting — “Consideration of Alternatives … Groundwater Level Sustainability Indicator SMC” (staff memo dated 7/16/2026, Christina Buck / Larry Walker Associates), incl. Attachments A–C. Authoritative MO/MT values from the repo’s data/thresholds.json (county Strawman Table 3). Page references (“p.N”) are to the packet’s printed page markers.</w:t>
      </w:r>
    </w:p>
    <w:p>
      <w:pPr>
        <w:pStyle w:val="Heading1"/>
      </w:pPr>
      <w:r>
        <w:rPr>
          <w:color w:val="1F3864"/>
        </w:rPr>
        <w:t>1. Purpose and bottom line</w:t>
      </w:r>
    </w:p>
    <w:p>
      <w:r>
        <w:rPr>
          <w:b w:val="0"/>
          <w:i w:val="0"/>
        </w:rPr>
        <w:t>These notes assemble the argument that Alternative 1 (retain the 2022 Minimum Thresholds and add Local Management Levels) is better for the Vina Subbasin than Alternative 2 (raise/revise the Minimum Thresholds). They are written to be lifted into a SHAC comment, a public-workshop statement, or a comment letter to the GSA and Rock Creek Reclamation District Boards.</w:t>
      </w:r>
    </w:p>
    <w:p>
      <w:r>
        <w:rPr>
          <w:b/>
          <w:i w:val="0"/>
        </w:rPr>
        <w:t>Bottom line:</w:t>
      </w:r>
    </w:p>
    <w:p>
      <w:r>
        <w:rPr>
          <w:b w:val="0"/>
          <w:i w:val="0"/>
        </w:rPr>
        <w:t>Alternative 1 is the more protective and the more prudent choice. It keeps every existing Minimum Threshold (MT), adds an earlier trigger on top of it, and converts “should we raise the MT?” from a speculative fight today into a data-triggered decision made exactly when and where drought conditions warrant it. Alternative 2 trades that early-warning layer for a higher regulatory line that adds no water to the aquifer, “may prompt … action before impacts are confirmed as significant and unreasonable” (staff’s own words, Attachment A, p.12), and — despite the “raise the MT” label — actually lowers the MT at eight wells (p.11).</w:t>
      </w:r>
    </w:p>
    <w:p>
      <w:pPr>
        <w:pStyle w:val="Heading1"/>
      </w:pPr>
      <w:r>
        <w:rPr>
          <w:color w:val="1F3864"/>
        </w:rPr>
        <w:t>2. The decision, precisely</w:t>
      </w:r>
    </w:p>
    <w:p>
      <w:r>
        <w:rPr>
          <w:b w:val="0"/>
          <w:i w:val="0"/>
        </w:rPr>
        <w:t>Frame the choice as narrowly as the packet does. Both alternatives use the same expanded 2027 RMS network (29 wells / 26 representative areas) and the same Measurable Objectives (MOs) and Interim Milestones (IMs) (p.6). The improved, more domestic-well-representative network is common to both — it is not a reason to prefer Alternative 2. The only question on the table is:</w:t>
      </w:r>
    </w:p>
    <w:p>
      <w:r>
        <w:rPr>
          <w:b/>
          <w:i w:val="0"/>
          <w:color w:val="0F5B5B"/>
        </w:rPr>
        <w:t>Add LMLs on top of the existing MTs (Alt 1)  —vs—  change the MT levels themselves (Alt 2).</w:t>
      </w:r>
    </w:p>
    <w:p>
      <w:pPr>
        <w:pStyle w:val="Heading1"/>
      </w:pPr>
      <w:r>
        <w:rPr>
          <w:color w:val="1F3864"/>
        </w:rPr>
        <w:t>3. What each alternative actually does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Alternative 1 — MTs + LMLs</w:t>
            </w:r>
          </w:p>
        </w:tc>
        <w:tc>
          <w:tcPr>
            <w:tcW w:type="dxa" w:w="2880"/>
          </w:tcPr>
          <w:p>
            <w:r/>
            <w:r>
              <w:rPr>
                <w:b/>
                <w:sz w:val="18"/>
              </w:rPr>
              <w:t>Alternative 2 — Revised MTs</w:t>
            </w:r>
          </w:p>
        </w:tc>
      </w:tr>
      <w:tr>
        <w:tc>
          <w:tcPr>
            <w:tcW w:type="dxa" w:w="2880"/>
          </w:tcPr>
          <w:p>
            <w:r/>
            <w:r>
              <w:rPr>
                <w:sz w:val="18"/>
              </w:rPr>
              <w:t>MT levels</w:t>
            </w:r>
          </w:p>
        </w:tc>
        <w:tc>
          <w:tcPr>
            <w:tcW w:type="dxa" w:w="2880"/>
          </w:tcPr>
          <w:p>
            <w:r/>
            <w:r>
              <w:rPr>
                <w:sz w:val="18"/>
              </w:rPr>
              <w:t>Keep all 2022 GSP MTs; new RMS wells set by the comparable 2022 method.</w:t>
            </w:r>
          </w:p>
        </w:tc>
        <w:tc>
          <w:tcPr>
            <w:tcW w:type="dxa" w:w="2880"/>
          </w:tcPr>
          <w:p>
            <w:r/>
            <w:r>
              <w:rPr>
                <w:sz w:val="18"/>
              </w:rPr>
              <w:t>Recompute every north/south MT as the deeper of historical-low − 20 ft or the 5%-domestic-well-risk level.</w:t>
            </w:r>
          </w:p>
        </w:tc>
      </w:tr>
      <w:tr>
        <w:tc>
          <w:tcPr>
            <w:tcW w:type="dxa" w:w="2880"/>
          </w:tcPr>
          <w:p>
            <w:r/>
            <w:r>
              <w:rPr>
                <w:sz w:val="18"/>
              </w:rPr>
              <w:t>Early trigger</w:t>
            </w:r>
          </w:p>
        </w:tc>
        <w:tc>
          <w:tcPr>
            <w:tcW w:type="dxa" w:w="2880"/>
          </w:tcPr>
          <w:p>
            <w:r/>
            <w:r>
              <w:rPr>
                <w:sz w:val="18"/>
              </w:rPr>
              <w:t>LML added 15 ft below the MO at 14 of 29 wells.</w:t>
            </w:r>
          </w:p>
        </w:tc>
        <w:tc>
          <w:tcPr>
            <w:tcW w:type="dxa" w:w="2880"/>
          </w:tcPr>
          <w:p>
            <w:r/>
            <w:r>
              <w:rPr>
                <w:sz w:val="18"/>
              </w:rPr>
              <w:t>None.</w:t>
            </w:r>
          </w:p>
        </w:tc>
      </w:tr>
      <w:tr>
        <w:tc>
          <w:tcPr>
            <w:tcW w:type="dxa" w:w="2880"/>
          </w:tcPr>
          <w:p>
            <w:r/>
            <w:r>
              <w:rPr>
                <w:sz w:val="18"/>
              </w:rPr>
              <w:t>Trigger type</w:t>
            </w:r>
          </w:p>
        </w:tc>
        <w:tc>
          <w:tcPr>
            <w:tcW w:type="dxa" w:w="2880"/>
          </w:tcPr>
          <w:p>
            <w:r/>
            <w:r>
              <w:rPr>
                <w:sz w:val="18"/>
              </w:rPr>
              <w:t>Non-regulatory early warning → monitoring, investigation, or PMA activation.</w:t>
            </w:r>
          </w:p>
        </w:tc>
        <w:tc>
          <w:tcPr>
            <w:tcW w:type="dxa" w:w="2880"/>
          </w:tcPr>
          <w:p>
            <w:r/>
            <w:r>
              <w:rPr>
                <w:sz w:val="18"/>
              </w:rPr>
              <w:t>Regulatory — an MT exceedance is a compliance line.</w:t>
            </w:r>
          </w:p>
        </w:tc>
      </w:tr>
      <w:tr>
        <w:tc>
          <w:tcPr>
            <w:tcW w:type="dxa" w:w="2880"/>
          </w:tcPr>
          <w:p>
            <w:r/>
            <w:r>
              <w:rPr>
                <w:sz w:val="18"/>
              </w:rPr>
              <w:t>Net effect on the floor</w:t>
            </w:r>
          </w:p>
        </w:tc>
        <w:tc>
          <w:tcPr>
            <w:tcW w:type="dxa" w:w="2880"/>
          </w:tcPr>
          <w:p>
            <w:r/>
            <w:r>
              <w:rPr>
                <w:sz w:val="18"/>
              </w:rPr>
              <w:t>Strictly additive — never lowers an MT.</w:t>
            </w:r>
          </w:p>
        </w:tc>
        <w:tc>
          <w:tcPr>
            <w:tcW w:type="dxa" w:w="2880"/>
          </w:tcPr>
          <w:p>
            <w:r/>
            <w:r>
              <w:rPr>
                <w:sz w:val="18"/>
              </w:rPr>
              <w:t>Raises the MT at most wells but LOWERS it at 8 wells (p.11).</w:t>
            </w:r>
          </w:p>
        </w:tc>
      </w:tr>
    </w:tbl>
    <w:p>
      <w:r>
        <w:rPr>
          <w:i/>
          <w:color w:val="555555"/>
          <w:sz w:val="17"/>
        </w:rPr>
        <w:t>LML wells (14): GDE/shallow — 09E001, 27L001, 36P001, 20K001, 32E001; near-boundary — 25C001, 05M001, 10B003, 27D001, 02H003, 09G001, 24C001, 33L001; high domestic-well count — 29P002 (p.9).</w:t>
      </w:r>
    </w:p>
    <w:p>
      <w:pPr>
        <w:pStyle w:val="Heading1"/>
      </w:pPr>
      <w:r>
        <w:rPr>
          <w:color w:val="1F3864"/>
        </w:rPr>
        <w:t>4. The case — five pillars</w:t>
      </w:r>
    </w:p>
    <w:p>
      <w:pPr>
        <w:pStyle w:val="Heading2"/>
      </w:pPr>
      <w:r>
        <w:rPr>
          <w:color w:val="1F3864"/>
        </w:rPr>
        <w:t>Pillar 1 — LMLs are strictly additive; “raise the MT” is a misnomer</w:t>
      </w:r>
    </w:p>
    <w:p>
      <w:r>
        <w:rPr>
          <w:b w:val="0"/>
          <w:i w:val="0"/>
        </w:rPr>
        <w:t>Alternative 1 carries forward every 2022 MT and adds an LML 15 ft below the MO. It cannot be less protective than the status quo — it only adds a trigger. Alternative 2’s uniform formula, in staff’s own words, “results in 8 RMS wells having a lower MT than the 2022 MT alternative” (p.11), generally in low-domestic-count polygons that include GDE and boundary areas. So “raising the MT” raises it at some wells and lowers the regulatory floor at others. Alternative 1 never lowers a floor anywhere.</w:t>
      </w:r>
    </w:p>
    <w:p>
      <w:pPr>
        <w:pStyle w:val="Heading2"/>
      </w:pPr>
      <w:r>
        <w:rPr>
          <w:color w:val="1F3864"/>
        </w:rPr>
        <w:t>Pillar 2 — The LML acts first, and where it matters (the “more restrictive in practice” point)</w:t>
      </w:r>
    </w:p>
    <w:p>
      <w:r>
        <w:rPr>
          <w:b w:val="0"/>
          <w:i w:val="0"/>
        </w:rPr>
        <w:t>The packet is explicit that the MT “is not the groundwater level the GSAs seek to maintain”; the basin is managed toward the MO, which averages 62 ft above the MT (p.8). Because the LML is anchored to that MO (MO − 15), it is the first line crossed as levels decline in a drought — and it sits far above the MT. Across the 14 LML wells, the early-warning line sits on average 50 ft above the current MT (the MO itself averages 65 ft above the MT); see the companion table in §5.</w:t>
      </w:r>
    </w:p>
    <w:p>
      <w:r>
        <w:rPr>
          <w:b w:val="0"/>
          <w:i w:val="0"/>
        </w:rPr>
        <w:t>It also sits well above even Alternative 2’s raised MT in the polygons people care about most. Illustratively (Alt-2 MTs approximate, transcribed from Attachment B, Table 3):</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
              <w:rPr>
                <w:b/>
                <w:sz w:val="18"/>
              </w:rPr>
              <w:t>Well</w:t>
            </w:r>
          </w:p>
        </w:tc>
        <w:tc>
          <w:tcPr>
            <w:tcW w:type="dxa" w:w="2160"/>
          </w:tcPr>
          <w:p>
            <w:r/>
            <w:r>
              <w:rPr>
                <w:b/>
                <w:sz w:val="18"/>
              </w:rPr>
              <w:t>LML (MO − 15)</w:t>
            </w:r>
          </w:p>
        </w:tc>
        <w:tc>
          <w:tcPr>
            <w:tcW w:type="dxa" w:w="2160"/>
          </w:tcPr>
          <w:p>
            <w:r/>
            <w:r>
              <w:rPr>
                <w:b/>
                <w:sz w:val="18"/>
              </w:rPr>
              <w:t>Alt-2 raised MT (approx.)</w:t>
            </w:r>
          </w:p>
        </w:tc>
        <w:tc>
          <w:tcPr>
            <w:tcW w:type="dxa" w:w="2160"/>
          </w:tcPr>
          <w:p>
            <w:r/>
            <w:r>
              <w:rPr>
                <w:b/>
                <w:sz w:val="18"/>
              </w:rPr>
              <w:t>LML sits above Alt-2 MT by</w:t>
            </w:r>
          </w:p>
        </w:tc>
      </w:tr>
      <w:tr>
        <w:tc>
          <w:tcPr>
            <w:tcW w:type="dxa" w:w="2160"/>
          </w:tcPr>
          <w:p>
            <w:r/>
            <w:r>
              <w:rPr>
                <w:sz w:val="18"/>
              </w:rPr>
              <w:t>09E001</w:t>
            </w:r>
          </w:p>
        </w:tc>
        <w:tc>
          <w:tcPr>
            <w:tcW w:type="dxa" w:w="2160"/>
          </w:tcPr>
          <w:p>
            <w:r/>
            <w:r>
              <w:rPr>
                <w:sz w:val="18"/>
              </w:rPr>
              <w:t>120</w:t>
            </w:r>
          </w:p>
        </w:tc>
        <w:tc>
          <w:tcPr>
            <w:tcW w:type="dxa" w:w="2160"/>
          </w:tcPr>
          <w:p>
            <w:r/>
            <w:r>
              <w:rPr>
                <w:sz w:val="18"/>
              </w:rPr>
              <w:t>~86</w:t>
            </w:r>
          </w:p>
        </w:tc>
        <w:tc>
          <w:tcPr>
            <w:tcW w:type="dxa" w:w="2160"/>
          </w:tcPr>
          <w:p>
            <w:r/>
            <w:r>
              <w:rPr>
                <w:sz w:val="18"/>
              </w:rPr>
              <w:t>~34 ft</w:t>
            </w:r>
          </w:p>
        </w:tc>
      </w:tr>
      <w:tr>
        <w:tc>
          <w:tcPr>
            <w:tcW w:type="dxa" w:w="2160"/>
          </w:tcPr>
          <w:p>
            <w:r/>
            <w:r>
              <w:rPr>
                <w:sz w:val="18"/>
              </w:rPr>
              <w:t>20K001</w:t>
            </w:r>
          </w:p>
        </w:tc>
        <w:tc>
          <w:tcPr>
            <w:tcW w:type="dxa" w:w="2160"/>
          </w:tcPr>
          <w:p>
            <w:r/>
            <w:r>
              <w:rPr>
                <w:sz w:val="18"/>
              </w:rPr>
              <w:t>100</w:t>
            </w:r>
          </w:p>
        </w:tc>
        <w:tc>
          <w:tcPr>
            <w:tcW w:type="dxa" w:w="2160"/>
          </w:tcPr>
          <w:p>
            <w:r/>
            <w:r>
              <w:rPr>
                <w:sz w:val="18"/>
              </w:rPr>
              <w:t>~44</w:t>
            </w:r>
          </w:p>
        </w:tc>
        <w:tc>
          <w:tcPr>
            <w:tcW w:type="dxa" w:w="2160"/>
          </w:tcPr>
          <w:p>
            <w:r/>
            <w:r>
              <w:rPr>
                <w:sz w:val="18"/>
              </w:rPr>
              <w:t>~56 ft</w:t>
            </w:r>
          </w:p>
        </w:tc>
      </w:tr>
      <w:tr>
        <w:tc>
          <w:tcPr>
            <w:tcW w:type="dxa" w:w="2160"/>
          </w:tcPr>
          <w:p>
            <w:r/>
            <w:r>
              <w:rPr>
                <w:sz w:val="18"/>
              </w:rPr>
              <w:t>32E001</w:t>
            </w:r>
          </w:p>
        </w:tc>
        <w:tc>
          <w:tcPr>
            <w:tcW w:type="dxa" w:w="2160"/>
          </w:tcPr>
          <w:p>
            <w:r/>
            <w:r>
              <w:rPr>
                <w:sz w:val="18"/>
              </w:rPr>
              <w:t>76</w:t>
            </w:r>
          </w:p>
        </w:tc>
        <w:tc>
          <w:tcPr>
            <w:tcW w:type="dxa" w:w="2160"/>
          </w:tcPr>
          <w:p>
            <w:r/>
            <w:r>
              <w:rPr>
                <w:sz w:val="18"/>
              </w:rPr>
              <w:t>~58</w:t>
            </w:r>
          </w:p>
        </w:tc>
        <w:tc>
          <w:tcPr>
            <w:tcW w:type="dxa" w:w="2160"/>
          </w:tcPr>
          <w:p>
            <w:r/>
            <w:r>
              <w:rPr>
                <w:sz w:val="18"/>
              </w:rPr>
              <w:t>~18 ft</w:t>
            </w:r>
          </w:p>
        </w:tc>
      </w:tr>
    </w:tbl>
    <w:p>
      <w:r>
        <w:rPr>
          <w:i/>
          <w:color w:val="555555"/>
          <w:sz w:val="17"/>
        </w:rPr>
        <w:t>LML and MO values are authoritative (county Strawman Table 3 via data/thresholds.json). Alt-2 revised MTs are transcribed from the packet’s Attachment B Table 3 and should be confirmed against the source PDF before public citation.</w:t>
      </w:r>
    </w:p>
    <w:p>
      <w:r>
        <w:rPr>
          <w:b w:val="0"/>
          <w:i w:val="0"/>
        </w:rPr>
        <w:t>Two lines of defense (LML early warning + the MT floor) beat one raised line. More triggers = more chances to act, and the LML line is crossed first.</w:t>
      </w:r>
    </w:p>
    <w:p>
      <w:pPr>
        <w:pStyle w:val="Heading2"/>
      </w:pPr>
      <w:r>
        <w:rPr>
          <w:color w:val="1F3864"/>
        </w:rPr>
        <w:t>Pillar 3 — LMLs are the actionable, water-producing choice; a higher MT is just a line</w:t>
      </w:r>
    </w:p>
    <w:p>
      <w:r>
        <w:rPr>
          <w:b w:val="0"/>
          <w:i w:val="0"/>
        </w:rPr>
        <w:t>Raising the MT does not add a single acre-foot to the aquifer. What actually protects the basin and domestic wells is (a) managing toward the MO and (b) the projects and management actions (PMAs) — recharge, irrigation efficiency, and the Domestic Well Mitigation Program, which is common to both alternatives (p.8, p.11). The LML is the mechanism that fires those actions earlier: reaching one “would prompt … increased monitoring, investigation into impacts and causes, or activation of a GSP project or management action” (p.9). Alternative 1 attaches an action to the trigger; Alternative 2 attaches a number to a map.</w:t>
      </w:r>
    </w:p>
    <w:p>
      <w:pPr>
        <w:pStyle w:val="Heading2"/>
      </w:pPr>
      <w:r>
        <w:rPr>
          <w:color w:val="1F3864"/>
        </w:rPr>
        <w:t>Pillar 4 — Raising the MT now surrenders nothing you can’t get later</w:t>
      </w:r>
    </w:p>
    <w:p>
      <w:r>
        <w:rPr>
          <w:b w:val="0"/>
          <w:i w:val="0"/>
        </w:rPr>
        <w:t>The GSA’s governing philosophy is adaptive management — “reconsider aspects of the GSP as needed,” with each 5-year Periodic Evaluation an explicit “opportunity to … revisit plan elements” (p.9). This packet is itself proof that MTs are revisitable. Declining to lock in a higher MT today forecloses nothing: the Boards retain full authority to amend MTs through the same process whenever the data justify it.</w:t>
      </w:r>
    </w:p>
    <w:p>
      <w:r>
        <w:rPr>
          <w:b w:val="0"/>
          <w:i w:val="0"/>
        </w:rPr>
        <w:t>This is where timing matters. An LML is only tripped by “persistently reaching” it — multiple readings across spring, summer, and fall (p.9), 15 ft below the target level. Given that the basin’s historical lows came during the 2013–15 and 2020–22 droughts and then recovered (p.7), persistently sitting at an LML means the basin is already in a serious, multi-year drought decline. That is precisely the moment when investigation is the right move — and if recovery fails to materialize (the historical pattern breaking), the LML record is the evidence that justifies the Boards raising the MT or deploying demand-reduction PMAs. LMLs do not replace the MT lever; they tell you exactly when to pull it. Keep the powder dry.</w:t>
      </w:r>
    </w:p>
    <w:p>
      <w:pPr>
        <w:pStyle w:val="Heading2"/>
      </w:pPr>
      <w:r>
        <w:rPr>
          <w:color w:val="1F3864"/>
        </w:rPr>
        <w:t>Pillar 5 — The stated reasons to raise the MT are weak on their own terms</w:t>
      </w:r>
    </w:p>
    <w:p>
      <w:pPr>
        <w:pStyle w:val="ListBullet"/>
      </w:pPr>
      <w:r>
        <w:rPr>
          <w:b/>
        </w:rPr>
        <w:t>DWR’s RCA does not require a higher MT.</w:t>
      </w:r>
      <w:r>
        <w:t xml:space="preserve"> The packet says either alternative addresses DWR’s Recommended Corrective Action 3 (p.6–7). What actually answers DWR is removing the “non-dry-year” condition (being done regardless) plus the expanded network and documented impacts — not the MT elevation.</w:t>
      </w:r>
    </w:p>
    <w:p>
      <w:pPr>
        <w:pStyle w:val="ListBullet"/>
      </w:pPr>
      <w:r>
        <w:rPr>
          <w:b/>
        </w:rPr>
        <w:t>The neighbor/boundary rationale is undercut by staff themselves.</w:t>
      </w:r>
      <w:r>
        <w:t xml:space="preserve"> Attachment A concedes Alternative 2 has “limited value in reducing threshold differences at boundaries” (p.12; also p.11). Meanwhile Alternative 1 adds LMLs at the boundary wells, which “more closely align with neighboring thresholds” (p.12). On the very issue used to sell Alt 2, Alt 1 does more.</w:t>
      </w:r>
    </w:p>
    <w:p>
      <w:pPr>
        <w:pStyle w:val="ListBullet"/>
      </w:pPr>
      <w:r>
        <w:rPr>
          <w:b/>
        </w:rPr>
        <w:t>Staff frame Alt 2’s risk for us.</w:t>
      </w:r>
      <w:r>
        <w:t xml:space="preserve"> Staff’s own Attachment A frames Alternative 2’s core risk: it “may prompt exceedances and resulting action before impacts are confirmed as significant and unreasonable,” while Alternative 1 “preserves existing flexibility and avoids premature regulatory action” (p.12).</w:t>
      </w:r>
    </w:p>
    <w:p>
      <w:pPr>
        <w:pStyle w:val="Heading1"/>
      </w:pPr>
      <w:r>
        <w:rPr>
          <w:color w:val="1F3864"/>
        </w:rPr>
        <w:t>5. Companion data table — the 14 LML wells</w:t>
      </w:r>
    </w:p>
    <w:p>
      <w:r>
        <w:rPr>
          <w:b w:val="0"/>
          <w:i w:val="0"/>
        </w:rPr>
        <w:t>Authoritative MO and 2022/Alt-1 MT from data/thresholds.json (county Strawman Table 3). LML = MO − 15. The two right columns show how far the MO target and the LML early-warning line sit above the current MT — i.e. how much decline must occur before the MT floor is even approached.</w:t>
      </w:r>
    </w:p>
    <w:tbl>
      <w:tblPr>
        <w:tblStyle w:val="LightGrid-Accent1"/>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Well</w:t>
            </w:r>
          </w:p>
        </w:tc>
        <w:tc>
          <w:tcPr>
            <w:tcW w:type="dxa" w:w="1080"/>
          </w:tcPr>
          <w:p>
            <w:r/>
            <w:r>
              <w:rPr>
                <w:b/>
                <w:sz w:val="18"/>
              </w:rPr>
              <w:t>MA</w:t>
            </w:r>
          </w:p>
        </w:tc>
        <w:tc>
          <w:tcPr>
            <w:tcW w:type="dxa" w:w="1080"/>
          </w:tcPr>
          <w:p>
            <w:r/>
            <w:r>
              <w:rPr>
                <w:b/>
                <w:sz w:val="18"/>
              </w:rPr>
              <w:t>MO (ft msl)</w:t>
            </w:r>
          </w:p>
        </w:tc>
        <w:tc>
          <w:tcPr>
            <w:tcW w:type="dxa" w:w="1080"/>
          </w:tcPr>
          <w:p>
            <w:r/>
            <w:r>
              <w:rPr>
                <w:b/>
                <w:sz w:val="18"/>
              </w:rPr>
              <w:t>LML = MO−15</w:t>
            </w:r>
          </w:p>
        </w:tc>
        <w:tc>
          <w:tcPr>
            <w:tcW w:type="dxa" w:w="1080"/>
          </w:tcPr>
          <w:p>
            <w:r/>
            <w:r>
              <w:rPr>
                <w:b/>
                <w:sz w:val="18"/>
              </w:rPr>
              <w:t>2022/Alt-1 MT</w:t>
            </w:r>
          </w:p>
        </w:tc>
        <w:tc>
          <w:tcPr>
            <w:tcW w:type="dxa" w:w="1080"/>
          </w:tcPr>
          <w:p>
            <w:r/>
            <w:r>
              <w:rPr>
                <w:b/>
                <w:sz w:val="18"/>
              </w:rPr>
              <w:t>MO − MT</w:t>
            </w:r>
          </w:p>
        </w:tc>
        <w:tc>
          <w:tcPr>
            <w:tcW w:type="dxa" w:w="1080"/>
          </w:tcPr>
          <w:p>
            <w:r/>
            <w:r>
              <w:rPr>
                <w:b/>
                <w:sz w:val="18"/>
              </w:rPr>
              <w:t>LML − MT</w:t>
            </w:r>
          </w:p>
        </w:tc>
        <w:tc>
          <w:tcPr>
            <w:tcW w:type="dxa" w:w="1080"/>
          </w:tcPr>
          <w:p>
            <w:r/>
            <w:r>
              <w:rPr>
                <w:b/>
                <w:sz w:val="18"/>
              </w:rPr>
              <w:t>LML purpose</w:t>
            </w:r>
          </w:p>
        </w:tc>
      </w:tr>
      <w:tr>
        <w:tc>
          <w:tcPr>
            <w:tcW w:type="dxa" w:w="1080"/>
          </w:tcPr>
          <w:p>
            <w:r/>
            <w:r>
              <w:rPr>
                <w:sz w:val="18"/>
              </w:rPr>
              <w:t>09E001</w:t>
            </w:r>
          </w:p>
        </w:tc>
        <w:tc>
          <w:tcPr>
            <w:tcW w:type="dxa" w:w="1080"/>
          </w:tcPr>
          <w:p>
            <w:r/>
            <w:r>
              <w:rPr>
                <w:sz w:val="18"/>
              </w:rPr>
              <w:t>North</w:t>
            </w:r>
          </w:p>
        </w:tc>
        <w:tc>
          <w:tcPr>
            <w:tcW w:type="dxa" w:w="1080"/>
          </w:tcPr>
          <w:p>
            <w:r/>
            <w:r>
              <w:rPr>
                <w:sz w:val="18"/>
              </w:rPr>
              <w:t>135</w:t>
            </w:r>
          </w:p>
        </w:tc>
        <w:tc>
          <w:tcPr>
            <w:tcW w:type="dxa" w:w="1080"/>
          </w:tcPr>
          <w:p>
            <w:r/>
            <w:r>
              <w:rPr>
                <w:sz w:val="18"/>
              </w:rPr>
              <w:t>120</w:t>
            </w:r>
          </w:p>
        </w:tc>
        <w:tc>
          <w:tcPr>
            <w:tcW w:type="dxa" w:w="1080"/>
          </w:tcPr>
          <w:p>
            <w:r/>
            <w:r>
              <w:rPr>
                <w:sz w:val="18"/>
              </w:rPr>
              <w:t>68</w:t>
            </w:r>
          </w:p>
        </w:tc>
        <w:tc>
          <w:tcPr>
            <w:tcW w:type="dxa" w:w="1080"/>
          </w:tcPr>
          <w:p>
            <w:r/>
            <w:r>
              <w:rPr>
                <w:sz w:val="18"/>
              </w:rPr>
              <w:t>67</w:t>
            </w:r>
          </w:p>
        </w:tc>
        <w:tc>
          <w:tcPr>
            <w:tcW w:type="dxa" w:w="1080"/>
          </w:tcPr>
          <w:p>
            <w:r/>
            <w:r>
              <w:rPr>
                <w:sz w:val="18"/>
              </w:rPr>
              <w:t>52</w:t>
            </w:r>
          </w:p>
        </w:tc>
        <w:tc>
          <w:tcPr>
            <w:tcW w:type="dxa" w:w="1080"/>
          </w:tcPr>
          <w:p>
            <w:r/>
            <w:r>
              <w:rPr>
                <w:sz w:val="18"/>
              </w:rPr>
              <w:t>GDE / shallow</w:t>
            </w:r>
          </w:p>
        </w:tc>
      </w:tr>
      <w:tr>
        <w:tc>
          <w:tcPr>
            <w:tcW w:type="dxa" w:w="1080"/>
          </w:tcPr>
          <w:p>
            <w:r/>
            <w:r>
              <w:rPr>
                <w:sz w:val="18"/>
              </w:rPr>
              <w:t>27L001</w:t>
            </w:r>
          </w:p>
        </w:tc>
        <w:tc>
          <w:tcPr>
            <w:tcW w:type="dxa" w:w="1080"/>
          </w:tcPr>
          <w:p>
            <w:r/>
            <w:r>
              <w:rPr>
                <w:sz w:val="18"/>
              </w:rPr>
              <w:t>North</w:t>
            </w:r>
          </w:p>
        </w:tc>
        <w:tc>
          <w:tcPr>
            <w:tcW w:type="dxa" w:w="1080"/>
          </w:tcPr>
          <w:p>
            <w:r/>
            <w:r>
              <w:rPr>
                <w:sz w:val="18"/>
              </w:rPr>
              <w:t>121</w:t>
            </w:r>
          </w:p>
        </w:tc>
        <w:tc>
          <w:tcPr>
            <w:tcW w:type="dxa" w:w="1080"/>
          </w:tcPr>
          <w:p>
            <w:r/>
            <w:r>
              <w:rPr>
                <w:sz w:val="18"/>
              </w:rPr>
              <w:t>106</w:t>
            </w:r>
          </w:p>
        </w:tc>
        <w:tc>
          <w:tcPr>
            <w:tcW w:type="dxa" w:w="1080"/>
          </w:tcPr>
          <w:p>
            <w:r/>
            <w:r>
              <w:rPr>
                <w:sz w:val="18"/>
              </w:rPr>
              <w:t>55</w:t>
            </w:r>
          </w:p>
        </w:tc>
        <w:tc>
          <w:tcPr>
            <w:tcW w:type="dxa" w:w="1080"/>
          </w:tcPr>
          <w:p>
            <w:r/>
            <w:r>
              <w:rPr>
                <w:sz w:val="18"/>
              </w:rPr>
              <w:t>66</w:t>
            </w:r>
          </w:p>
        </w:tc>
        <w:tc>
          <w:tcPr>
            <w:tcW w:type="dxa" w:w="1080"/>
          </w:tcPr>
          <w:p>
            <w:r/>
            <w:r>
              <w:rPr>
                <w:sz w:val="18"/>
              </w:rPr>
              <w:t>51</w:t>
            </w:r>
          </w:p>
        </w:tc>
        <w:tc>
          <w:tcPr>
            <w:tcW w:type="dxa" w:w="1080"/>
          </w:tcPr>
          <w:p>
            <w:r/>
            <w:r>
              <w:rPr>
                <w:sz w:val="18"/>
              </w:rPr>
              <w:t>GDE / shallow</w:t>
            </w:r>
          </w:p>
        </w:tc>
      </w:tr>
      <w:tr>
        <w:tc>
          <w:tcPr>
            <w:tcW w:type="dxa" w:w="1080"/>
          </w:tcPr>
          <w:p>
            <w:r/>
            <w:r>
              <w:rPr>
                <w:sz w:val="18"/>
              </w:rPr>
              <w:t>36P001</w:t>
            </w:r>
          </w:p>
        </w:tc>
        <w:tc>
          <w:tcPr>
            <w:tcW w:type="dxa" w:w="1080"/>
          </w:tcPr>
          <w:p>
            <w:r/>
            <w:r>
              <w:rPr>
                <w:sz w:val="18"/>
              </w:rPr>
              <w:t>North</w:t>
            </w:r>
          </w:p>
        </w:tc>
        <w:tc>
          <w:tcPr>
            <w:tcW w:type="dxa" w:w="1080"/>
          </w:tcPr>
          <w:p>
            <w:r/>
            <w:r>
              <w:rPr>
                <w:sz w:val="18"/>
              </w:rPr>
              <w:t>108</w:t>
            </w:r>
          </w:p>
        </w:tc>
        <w:tc>
          <w:tcPr>
            <w:tcW w:type="dxa" w:w="1080"/>
          </w:tcPr>
          <w:p>
            <w:r/>
            <w:r>
              <w:rPr>
                <w:sz w:val="18"/>
              </w:rPr>
              <w:t>93</w:t>
            </w:r>
          </w:p>
        </w:tc>
        <w:tc>
          <w:tcPr>
            <w:tcW w:type="dxa" w:w="1080"/>
          </w:tcPr>
          <w:p>
            <w:r/>
            <w:r>
              <w:rPr>
                <w:sz w:val="18"/>
              </w:rPr>
              <w:t>45</w:t>
            </w:r>
          </w:p>
        </w:tc>
        <w:tc>
          <w:tcPr>
            <w:tcW w:type="dxa" w:w="1080"/>
          </w:tcPr>
          <w:p>
            <w:r/>
            <w:r>
              <w:rPr>
                <w:sz w:val="18"/>
              </w:rPr>
              <w:t>63</w:t>
            </w:r>
          </w:p>
        </w:tc>
        <w:tc>
          <w:tcPr>
            <w:tcW w:type="dxa" w:w="1080"/>
          </w:tcPr>
          <w:p>
            <w:r/>
            <w:r>
              <w:rPr>
                <w:sz w:val="18"/>
              </w:rPr>
              <w:t>48</w:t>
            </w:r>
          </w:p>
        </w:tc>
        <w:tc>
          <w:tcPr>
            <w:tcW w:type="dxa" w:w="1080"/>
          </w:tcPr>
          <w:p>
            <w:r/>
            <w:r>
              <w:rPr>
                <w:sz w:val="18"/>
              </w:rPr>
              <w:t>GDE / shallow</w:t>
            </w:r>
          </w:p>
        </w:tc>
      </w:tr>
      <w:tr>
        <w:tc>
          <w:tcPr>
            <w:tcW w:type="dxa" w:w="1080"/>
          </w:tcPr>
          <w:p>
            <w:r/>
            <w:r>
              <w:rPr>
                <w:sz w:val="18"/>
              </w:rPr>
              <w:t>20K001</w:t>
            </w:r>
          </w:p>
        </w:tc>
        <w:tc>
          <w:tcPr>
            <w:tcW w:type="dxa" w:w="1080"/>
          </w:tcPr>
          <w:p>
            <w:r/>
            <w:r>
              <w:rPr>
                <w:sz w:val="18"/>
              </w:rPr>
              <w:t>North</w:t>
            </w:r>
          </w:p>
        </w:tc>
        <w:tc>
          <w:tcPr>
            <w:tcW w:type="dxa" w:w="1080"/>
          </w:tcPr>
          <w:p>
            <w:r/>
            <w:r>
              <w:rPr>
                <w:sz w:val="18"/>
              </w:rPr>
              <w:t>115</w:t>
            </w:r>
          </w:p>
        </w:tc>
        <w:tc>
          <w:tcPr>
            <w:tcW w:type="dxa" w:w="1080"/>
          </w:tcPr>
          <w:p>
            <w:r/>
            <w:r>
              <w:rPr>
                <w:sz w:val="18"/>
              </w:rPr>
              <w:t>100</w:t>
            </w:r>
          </w:p>
        </w:tc>
        <w:tc>
          <w:tcPr>
            <w:tcW w:type="dxa" w:w="1080"/>
          </w:tcPr>
          <w:p>
            <w:r/>
            <w:r>
              <w:rPr>
                <w:sz w:val="18"/>
              </w:rPr>
              <w:t>48</w:t>
            </w:r>
          </w:p>
        </w:tc>
        <w:tc>
          <w:tcPr>
            <w:tcW w:type="dxa" w:w="1080"/>
          </w:tcPr>
          <w:p>
            <w:r/>
            <w:r>
              <w:rPr>
                <w:sz w:val="18"/>
              </w:rPr>
              <w:t>67</w:t>
            </w:r>
          </w:p>
        </w:tc>
        <w:tc>
          <w:tcPr>
            <w:tcW w:type="dxa" w:w="1080"/>
          </w:tcPr>
          <w:p>
            <w:r/>
            <w:r>
              <w:rPr>
                <w:sz w:val="18"/>
              </w:rPr>
              <w:t>52</w:t>
            </w:r>
          </w:p>
        </w:tc>
        <w:tc>
          <w:tcPr>
            <w:tcW w:type="dxa" w:w="1080"/>
          </w:tcPr>
          <w:p>
            <w:r/>
            <w:r>
              <w:rPr>
                <w:sz w:val="18"/>
              </w:rPr>
              <w:t>GDE / shallow</w:t>
            </w:r>
          </w:p>
        </w:tc>
      </w:tr>
      <w:tr>
        <w:tc>
          <w:tcPr>
            <w:tcW w:type="dxa" w:w="1080"/>
          </w:tcPr>
          <w:p>
            <w:r/>
            <w:r>
              <w:rPr>
                <w:sz w:val="18"/>
              </w:rPr>
              <w:t>32E001</w:t>
            </w:r>
          </w:p>
        </w:tc>
        <w:tc>
          <w:tcPr>
            <w:tcW w:type="dxa" w:w="1080"/>
          </w:tcPr>
          <w:p>
            <w:r/>
            <w:r>
              <w:rPr>
                <w:sz w:val="18"/>
              </w:rPr>
              <w:t>South</w:t>
            </w:r>
          </w:p>
        </w:tc>
        <w:tc>
          <w:tcPr>
            <w:tcW w:type="dxa" w:w="1080"/>
          </w:tcPr>
          <w:p>
            <w:r/>
            <w:r>
              <w:rPr>
                <w:sz w:val="18"/>
              </w:rPr>
              <w:t>91</w:t>
            </w:r>
          </w:p>
        </w:tc>
        <w:tc>
          <w:tcPr>
            <w:tcW w:type="dxa" w:w="1080"/>
          </w:tcPr>
          <w:p>
            <w:r/>
            <w:r>
              <w:rPr>
                <w:sz w:val="18"/>
              </w:rPr>
              <w:t>76</w:t>
            </w:r>
          </w:p>
        </w:tc>
        <w:tc>
          <w:tcPr>
            <w:tcW w:type="dxa" w:w="1080"/>
          </w:tcPr>
          <w:p>
            <w:r/>
            <w:r>
              <w:rPr>
                <w:sz w:val="18"/>
              </w:rPr>
              <w:t>30</w:t>
            </w:r>
          </w:p>
        </w:tc>
        <w:tc>
          <w:tcPr>
            <w:tcW w:type="dxa" w:w="1080"/>
          </w:tcPr>
          <w:p>
            <w:r/>
            <w:r>
              <w:rPr>
                <w:sz w:val="18"/>
              </w:rPr>
              <w:t>61</w:t>
            </w:r>
          </w:p>
        </w:tc>
        <w:tc>
          <w:tcPr>
            <w:tcW w:type="dxa" w:w="1080"/>
          </w:tcPr>
          <w:p>
            <w:r/>
            <w:r>
              <w:rPr>
                <w:sz w:val="18"/>
              </w:rPr>
              <w:t>46</w:t>
            </w:r>
          </w:p>
        </w:tc>
        <w:tc>
          <w:tcPr>
            <w:tcW w:type="dxa" w:w="1080"/>
          </w:tcPr>
          <w:p>
            <w:r/>
            <w:r>
              <w:rPr>
                <w:sz w:val="18"/>
              </w:rPr>
              <w:t>GDE / shallow</w:t>
            </w:r>
          </w:p>
        </w:tc>
      </w:tr>
      <w:tr>
        <w:tc>
          <w:tcPr>
            <w:tcW w:type="dxa" w:w="1080"/>
          </w:tcPr>
          <w:p>
            <w:r/>
            <w:r>
              <w:rPr>
                <w:sz w:val="18"/>
              </w:rPr>
              <w:t>25C001</w:t>
            </w:r>
          </w:p>
        </w:tc>
        <w:tc>
          <w:tcPr>
            <w:tcW w:type="dxa" w:w="1080"/>
          </w:tcPr>
          <w:p>
            <w:r/>
            <w:r>
              <w:rPr>
                <w:sz w:val="18"/>
              </w:rPr>
              <w:t>North</w:t>
            </w:r>
          </w:p>
        </w:tc>
        <w:tc>
          <w:tcPr>
            <w:tcW w:type="dxa" w:w="1080"/>
          </w:tcPr>
          <w:p>
            <w:r/>
            <w:r>
              <w:rPr>
                <w:sz w:val="18"/>
              </w:rPr>
              <w:t>130</w:t>
            </w:r>
          </w:p>
        </w:tc>
        <w:tc>
          <w:tcPr>
            <w:tcW w:type="dxa" w:w="1080"/>
          </w:tcPr>
          <w:p>
            <w:r/>
            <w:r>
              <w:rPr>
                <w:sz w:val="18"/>
              </w:rPr>
              <w:t>115</w:t>
            </w:r>
          </w:p>
        </w:tc>
        <w:tc>
          <w:tcPr>
            <w:tcW w:type="dxa" w:w="1080"/>
          </w:tcPr>
          <w:p>
            <w:r/>
            <w:r>
              <w:rPr>
                <w:sz w:val="18"/>
              </w:rPr>
              <w:t>50</w:t>
            </w:r>
          </w:p>
        </w:tc>
        <w:tc>
          <w:tcPr>
            <w:tcW w:type="dxa" w:w="1080"/>
          </w:tcPr>
          <w:p>
            <w:r/>
            <w:r>
              <w:rPr>
                <w:sz w:val="18"/>
              </w:rPr>
              <w:t>80</w:t>
            </w:r>
          </w:p>
        </w:tc>
        <w:tc>
          <w:tcPr>
            <w:tcW w:type="dxa" w:w="1080"/>
          </w:tcPr>
          <w:p>
            <w:r/>
            <w:r>
              <w:rPr>
                <w:sz w:val="18"/>
              </w:rPr>
              <w:t>65</w:t>
            </w:r>
          </w:p>
        </w:tc>
        <w:tc>
          <w:tcPr>
            <w:tcW w:type="dxa" w:w="1080"/>
          </w:tcPr>
          <w:p>
            <w:r/>
            <w:r>
              <w:rPr>
                <w:sz w:val="18"/>
              </w:rPr>
              <w:t>Boundary</w:t>
            </w:r>
          </w:p>
        </w:tc>
      </w:tr>
      <w:tr>
        <w:tc>
          <w:tcPr>
            <w:tcW w:type="dxa" w:w="1080"/>
          </w:tcPr>
          <w:p>
            <w:r/>
            <w:r>
              <w:rPr>
                <w:sz w:val="18"/>
              </w:rPr>
              <w:t>05M001</w:t>
            </w:r>
          </w:p>
        </w:tc>
        <w:tc>
          <w:tcPr>
            <w:tcW w:type="dxa" w:w="1080"/>
          </w:tcPr>
          <w:p>
            <w:r/>
            <w:r>
              <w:rPr>
                <w:sz w:val="18"/>
              </w:rPr>
              <w:t>North</w:t>
            </w:r>
          </w:p>
        </w:tc>
        <w:tc>
          <w:tcPr>
            <w:tcW w:type="dxa" w:w="1080"/>
          </w:tcPr>
          <w:p>
            <w:r/>
            <w:r>
              <w:rPr>
                <w:sz w:val="18"/>
              </w:rPr>
              <w:t>115</w:t>
            </w:r>
          </w:p>
        </w:tc>
        <w:tc>
          <w:tcPr>
            <w:tcW w:type="dxa" w:w="1080"/>
          </w:tcPr>
          <w:p>
            <w:r/>
            <w:r>
              <w:rPr>
                <w:sz w:val="18"/>
              </w:rPr>
              <w:t>100</w:t>
            </w:r>
          </w:p>
        </w:tc>
        <w:tc>
          <w:tcPr>
            <w:tcW w:type="dxa" w:w="1080"/>
          </w:tcPr>
          <w:p>
            <w:r/>
            <w:r>
              <w:rPr>
                <w:sz w:val="18"/>
              </w:rPr>
              <w:t>31</w:t>
            </w:r>
          </w:p>
        </w:tc>
        <w:tc>
          <w:tcPr>
            <w:tcW w:type="dxa" w:w="1080"/>
          </w:tcPr>
          <w:p>
            <w:r/>
            <w:r>
              <w:rPr>
                <w:sz w:val="18"/>
              </w:rPr>
              <w:t>84</w:t>
            </w:r>
          </w:p>
        </w:tc>
        <w:tc>
          <w:tcPr>
            <w:tcW w:type="dxa" w:w="1080"/>
          </w:tcPr>
          <w:p>
            <w:r/>
            <w:r>
              <w:rPr>
                <w:sz w:val="18"/>
              </w:rPr>
              <w:t>69</w:t>
            </w:r>
          </w:p>
        </w:tc>
        <w:tc>
          <w:tcPr>
            <w:tcW w:type="dxa" w:w="1080"/>
          </w:tcPr>
          <w:p>
            <w:r/>
            <w:r>
              <w:rPr>
                <w:sz w:val="18"/>
              </w:rPr>
              <w:t>Boundary</w:t>
            </w:r>
          </w:p>
        </w:tc>
      </w:tr>
      <w:tr>
        <w:tc>
          <w:tcPr>
            <w:tcW w:type="dxa" w:w="1080"/>
          </w:tcPr>
          <w:p>
            <w:r/>
            <w:r>
              <w:rPr>
                <w:sz w:val="18"/>
              </w:rPr>
              <w:t>10B003</w:t>
            </w:r>
          </w:p>
        </w:tc>
        <w:tc>
          <w:tcPr>
            <w:tcW w:type="dxa" w:w="1080"/>
          </w:tcPr>
          <w:p>
            <w:r/>
            <w:r>
              <w:rPr>
                <w:sz w:val="18"/>
              </w:rPr>
              <w:t>South</w:t>
            </w:r>
          </w:p>
        </w:tc>
        <w:tc>
          <w:tcPr>
            <w:tcW w:type="dxa" w:w="1080"/>
          </w:tcPr>
          <w:p>
            <w:r/>
            <w:r>
              <w:rPr>
                <w:sz w:val="18"/>
              </w:rPr>
              <w:t>64</w:t>
            </w:r>
          </w:p>
        </w:tc>
        <w:tc>
          <w:tcPr>
            <w:tcW w:type="dxa" w:w="1080"/>
          </w:tcPr>
          <w:p>
            <w:r/>
            <w:r>
              <w:rPr>
                <w:sz w:val="18"/>
              </w:rPr>
              <w:t>49</w:t>
            </w:r>
          </w:p>
        </w:tc>
        <w:tc>
          <w:tcPr>
            <w:tcW w:type="dxa" w:w="1080"/>
          </w:tcPr>
          <w:p>
            <w:r/>
            <w:r>
              <w:rPr>
                <w:sz w:val="18"/>
              </w:rPr>
              <w:t>10</w:t>
            </w:r>
          </w:p>
        </w:tc>
        <w:tc>
          <w:tcPr>
            <w:tcW w:type="dxa" w:w="1080"/>
          </w:tcPr>
          <w:p>
            <w:r/>
            <w:r>
              <w:rPr>
                <w:sz w:val="18"/>
              </w:rPr>
              <w:t>54</w:t>
            </w:r>
          </w:p>
        </w:tc>
        <w:tc>
          <w:tcPr>
            <w:tcW w:type="dxa" w:w="1080"/>
          </w:tcPr>
          <w:p>
            <w:r/>
            <w:r>
              <w:rPr>
                <w:sz w:val="18"/>
              </w:rPr>
              <w:t>39</w:t>
            </w:r>
          </w:p>
        </w:tc>
        <w:tc>
          <w:tcPr>
            <w:tcW w:type="dxa" w:w="1080"/>
          </w:tcPr>
          <w:p>
            <w:r/>
            <w:r>
              <w:rPr>
                <w:sz w:val="18"/>
              </w:rPr>
              <w:t>Boundary</w:t>
            </w:r>
          </w:p>
        </w:tc>
      </w:tr>
      <w:tr>
        <w:tc>
          <w:tcPr>
            <w:tcW w:type="dxa" w:w="1080"/>
          </w:tcPr>
          <w:p>
            <w:r/>
            <w:r>
              <w:rPr>
                <w:sz w:val="18"/>
              </w:rPr>
              <w:t>27D001</w:t>
            </w:r>
          </w:p>
        </w:tc>
        <w:tc>
          <w:tcPr>
            <w:tcW w:type="dxa" w:w="1080"/>
          </w:tcPr>
          <w:p>
            <w:r/>
            <w:r>
              <w:rPr>
                <w:sz w:val="18"/>
              </w:rPr>
              <w:t>South</w:t>
            </w:r>
          </w:p>
        </w:tc>
        <w:tc>
          <w:tcPr>
            <w:tcW w:type="dxa" w:w="1080"/>
          </w:tcPr>
          <w:p>
            <w:r/>
            <w:r>
              <w:rPr>
                <w:sz w:val="18"/>
              </w:rPr>
              <w:t>84</w:t>
            </w:r>
          </w:p>
        </w:tc>
        <w:tc>
          <w:tcPr>
            <w:tcW w:type="dxa" w:w="1080"/>
          </w:tcPr>
          <w:p>
            <w:r/>
            <w:r>
              <w:rPr>
                <w:sz w:val="18"/>
              </w:rPr>
              <w:t>69</w:t>
            </w:r>
          </w:p>
        </w:tc>
        <w:tc>
          <w:tcPr>
            <w:tcW w:type="dxa" w:w="1080"/>
          </w:tcPr>
          <w:p>
            <w:r/>
            <w:r>
              <w:rPr>
                <w:sz w:val="18"/>
              </w:rPr>
              <w:t>23</w:t>
            </w:r>
          </w:p>
        </w:tc>
        <w:tc>
          <w:tcPr>
            <w:tcW w:type="dxa" w:w="1080"/>
          </w:tcPr>
          <w:p>
            <w:r/>
            <w:r>
              <w:rPr>
                <w:sz w:val="18"/>
              </w:rPr>
              <w:t>61</w:t>
            </w:r>
          </w:p>
        </w:tc>
        <w:tc>
          <w:tcPr>
            <w:tcW w:type="dxa" w:w="1080"/>
          </w:tcPr>
          <w:p>
            <w:r/>
            <w:r>
              <w:rPr>
                <w:sz w:val="18"/>
              </w:rPr>
              <w:t>46</w:t>
            </w:r>
          </w:p>
        </w:tc>
        <w:tc>
          <w:tcPr>
            <w:tcW w:type="dxa" w:w="1080"/>
          </w:tcPr>
          <w:p>
            <w:r/>
            <w:r>
              <w:rPr>
                <w:sz w:val="18"/>
              </w:rPr>
              <w:t>Boundary</w:t>
            </w:r>
          </w:p>
        </w:tc>
      </w:tr>
      <w:tr>
        <w:tc>
          <w:tcPr>
            <w:tcW w:type="dxa" w:w="1080"/>
          </w:tcPr>
          <w:p>
            <w:r/>
            <w:r>
              <w:rPr>
                <w:sz w:val="18"/>
              </w:rPr>
              <w:t>02H003</w:t>
            </w:r>
          </w:p>
        </w:tc>
        <w:tc>
          <w:tcPr>
            <w:tcW w:type="dxa" w:w="1080"/>
          </w:tcPr>
          <w:p>
            <w:r/>
            <w:r>
              <w:rPr>
                <w:sz w:val="18"/>
              </w:rPr>
              <w:t>South</w:t>
            </w:r>
          </w:p>
        </w:tc>
        <w:tc>
          <w:tcPr>
            <w:tcW w:type="dxa" w:w="1080"/>
          </w:tcPr>
          <w:p>
            <w:r/>
            <w:r>
              <w:rPr>
                <w:sz w:val="18"/>
              </w:rPr>
              <w:t>73</w:t>
            </w:r>
          </w:p>
        </w:tc>
        <w:tc>
          <w:tcPr>
            <w:tcW w:type="dxa" w:w="1080"/>
          </w:tcPr>
          <w:p>
            <w:r/>
            <w:r>
              <w:rPr>
                <w:sz w:val="18"/>
              </w:rPr>
              <w:t>58</w:t>
            </w:r>
          </w:p>
        </w:tc>
        <w:tc>
          <w:tcPr>
            <w:tcW w:type="dxa" w:w="1080"/>
          </w:tcPr>
          <w:p>
            <w:r/>
            <w:r>
              <w:rPr>
                <w:sz w:val="18"/>
              </w:rPr>
              <w:t>11</w:t>
            </w:r>
          </w:p>
        </w:tc>
        <w:tc>
          <w:tcPr>
            <w:tcW w:type="dxa" w:w="1080"/>
          </w:tcPr>
          <w:p>
            <w:r/>
            <w:r>
              <w:rPr>
                <w:sz w:val="18"/>
              </w:rPr>
              <w:t>62</w:t>
            </w:r>
          </w:p>
        </w:tc>
        <w:tc>
          <w:tcPr>
            <w:tcW w:type="dxa" w:w="1080"/>
          </w:tcPr>
          <w:p>
            <w:r/>
            <w:r>
              <w:rPr>
                <w:sz w:val="18"/>
              </w:rPr>
              <w:t>47</w:t>
            </w:r>
          </w:p>
        </w:tc>
        <w:tc>
          <w:tcPr>
            <w:tcW w:type="dxa" w:w="1080"/>
          </w:tcPr>
          <w:p>
            <w:r/>
            <w:r>
              <w:rPr>
                <w:sz w:val="18"/>
              </w:rPr>
              <w:t>Boundary</w:t>
            </w:r>
          </w:p>
        </w:tc>
      </w:tr>
      <w:tr>
        <w:tc>
          <w:tcPr>
            <w:tcW w:type="dxa" w:w="1080"/>
          </w:tcPr>
          <w:p>
            <w:r/>
            <w:r>
              <w:rPr>
                <w:sz w:val="18"/>
              </w:rPr>
              <w:t>09G001</w:t>
            </w:r>
          </w:p>
        </w:tc>
        <w:tc>
          <w:tcPr>
            <w:tcW w:type="dxa" w:w="1080"/>
          </w:tcPr>
          <w:p>
            <w:r/>
            <w:r>
              <w:rPr>
                <w:sz w:val="18"/>
              </w:rPr>
              <w:t>South</w:t>
            </w:r>
          </w:p>
        </w:tc>
        <w:tc>
          <w:tcPr>
            <w:tcW w:type="dxa" w:w="1080"/>
          </w:tcPr>
          <w:p>
            <w:r/>
            <w:r>
              <w:rPr>
                <w:sz w:val="18"/>
              </w:rPr>
              <w:t>87</w:t>
            </w:r>
          </w:p>
        </w:tc>
        <w:tc>
          <w:tcPr>
            <w:tcW w:type="dxa" w:w="1080"/>
          </w:tcPr>
          <w:p>
            <w:r/>
            <w:r>
              <w:rPr>
                <w:sz w:val="18"/>
              </w:rPr>
              <w:t>72</w:t>
            </w:r>
          </w:p>
        </w:tc>
        <w:tc>
          <w:tcPr>
            <w:tcW w:type="dxa" w:w="1080"/>
          </w:tcPr>
          <w:p>
            <w:r/>
            <w:r>
              <w:rPr>
                <w:sz w:val="18"/>
              </w:rPr>
              <w:t>25</w:t>
            </w:r>
          </w:p>
        </w:tc>
        <w:tc>
          <w:tcPr>
            <w:tcW w:type="dxa" w:w="1080"/>
          </w:tcPr>
          <w:p>
            <w:r/>
            <w:r>
              <w:rPr>
                <w:sz w:val="18"/>
              </w:rPr>
              <w:t>62</w:t>
            </w:r>
          </w:p>
        </w:tc>
        <w:tc>
          <w:tcPr>
            <w:tcW w:type="dxa" w:w="1080"/>
          </w:tcPr>
          <w:p>
            <w:r/>
            <w:r>
              <w:rPr>
                <w:sz w:val="18"/>
              </w:rPr>
              <w:t>47</w:t>
            </w:r>
          </w:p>
        </w:tc>
        <w:tc>
          <w:tcPr>
            <w:tcW w:type="dxa" w:w="1080"/>
          </w:tcPr>
          <w:p>
            <w:r/>
            <w:r>
              <w:rPr>
                <w:sz w:val="18"/>
              </w:rPr>
              <w:t>Boundary</w:t>
            </w:r>
          </w:p>
        </w:tc>
      </w:tr>
      <w:tr>
        <w:tc>
          <w:tcPr>
            <w:tcW w:type="dxa" w:w="1080"/>
          </w:tcPr>
          <w:p>
            <w:r/>
            <w:r>
              <w:rPr>
                <w:sz w:val="18"/>
              </w:rPr>
              <w:t>24C001</w:t>
            </w:r>
          </w:p>
        </w:tc>
        <w:tc>
          <w:tcPr>
            <w:tcW w:type="dxa" w:w="1080"/>
          </w:tcPr>
          <w:p>
            <w:r/>
            <w:r>
              <w:rPr>
                <w:sz w:val="18"/>
              </w:rPr>
              <w:t>South</w:t>
            </w:r>
          </w:p>
        </w:tc>
        <w:tc>
          <w:tcPr>
            <w:tcW w:type="dxa" w:w="1080"/>
          </w:tcPr>
          <w:p>
            <w:r/>
            <w:r>
              <w:rPr>
                <w:sz w:val="18"/>
              </w:rPr>
              <w:t>77</w:t>
            </w:r>
          </w:p>
        </w:tc>
        <w:tc>
          <w:tcPr>
            <w:tcW w:type="dxa" w:w="1080"/>
          </w:tcPr>
          <w:p>
            <w:r/>
            <w:r>
              <w:rPr>
                <w:sz w:val="18"/>
              </w:rPr>
              <w:t>62</w:t>
            </w:r>
          </w:p>
        </w:tc>
        <w:tc>
          <w:tcPr>
            <w:tcW w:type="dxa" w:w="1080"/>
          </w:tcPr>
          <w:p>
            <w:r/>
            <w:r>
              <w:rPr>
                <w:sz w:val="18"/>
              </w:rPr>
              <w:t>18</w:t>
            </w:r>
          </w:p>
        </w:tc>
        <w:tc>
          <w:tcPr>
            <w:tcW w:type="dxa" w:w="1080"/>
          </w:tcPr>
          <w:p>
            <w:r/>
            <w:r>
              <w:rPr>
                <w:sz w:val="18"/>
              </w:rPr>
              <w:t>59</w:t>
            </w:r>
          </w:p>
        </w:tc>
        <w:tc>
          <w:tcPr>
            <w:tcW w:type="dxa" w:w="1080"/>
          </w:tcPr>
          <w:p>
            <w:r/>
            <w:r>
              <w:rPr>
                <w:sz w:val="18"/>
              </w:rPr>
              <w:t>44</w:t>
            </w:r>
          </w:p>
        </w:tc>
        <w:tc>
          <w:tcPr>
            <w:tcW w:type="dxa" w:w="1080"/>
          </w:tcPr>
          <w:p>
            <w:r/>
            <w:r>
              <w:rPr>
                <w:sz w:val="18"/>
              </w:rPr>
              <w:t>Boundary</w:t>
            </w:r>
          </w:p>
        </w:tc>
      </w:tr>
      <w:tr>
        <w:tc>
          <w:tcPr>
            <w:tcW w:type="dxa" w:w="1080"/>
          </w:tcPr>
          <w:p>
            <w:r/>
            <w:r>
              <w:rPr>
                <w:sz w:val="18"/>
              </w:rPr>
              <w:t>33L001</w:t>
            </w:r>
          </w:p>
        </w:tc>
        <w:tc>
          <w:tcPr>
            <w:tcW w:type="dxa" w:w="1080"/>
          </w:tcPr>
          <w:p>
            <w:r/>
            <w:r>
              <w:rPr>
                <w:sz w:val="18"/>
              </w:rPr>
              <w:t>South</w:t>
            </w:r>
          </w:p>
        </w:tc>
        <w:tc>
          <w:tcPr>
            <w:tcW w:type="dxa" w:w="1080"/>
          </w:tcPr>
          <w:p>
            <w:r/>
            <w:r>
              <w:rPr>
                <w:sz w:val="18"/>
              </w:rPr>
              <w:t>87</w:t>
            </w:r>
          </w:p>
        </w:tc>
        <w:tc>
          <w:tcPr>
            <w:tcW w:type="dxa" w:w="1080"/>
          </w:tcPr>
          <w:p>
            <w:r/>
            <w:r>
              <w:rPr>
                <w:sz w:val="18"/>
              </w:rPr>
              <w:t>72</w:t>
            </w:r>
          </w:p>
        </w:tc>
        <w:tc>
          <w:tcPr>
            <w:tcW w:type="dxa" w:w="1080"/>
          </w:tcPr>
          <w:p>
            <w:r/>
            <w:r>
              <w:rPr>
                <w:sz w:val="18"/>
              </w:rPr>
              <w:t>26</w:t>
            </w:r>
          </w:p>
        </w:tc>
        <w:tc>
          <w:tcPr>
            <w:tcW w:type="dxa" w:w="1080"/>
          </w:tcPr>
          <w:p>
            <w:r/>
            <w:r>
              <w:rPr>
                <w:sz w:val="18"/>
              </w:rPr>
              <w:t>61</w:t>
            </w:r>
          </w:p>
        </w:tc>
        <w:tc>
          <w:tcPr>
            <w:tcW w:type="dxa" w:w="1080"/>
          </w:tcPr>
          <w:p>
            <w:r/>
            <w:r>
              <w:rPr>
                <w:sz w:val="18"/>
              </w:rPr>
              <w:t>46</w:t>
            </w:r>
          </w:p>
        </w:tc>
        <w:tc>
          <w:tcPr>
            <w:tcW w:type="dxa" w:w="1080"/>
          </w:tcPr>
          <w:p>
            <w:r/>
            <w:r>
              <w:rPr>
                <w:sz w:val="18"/>
              </w:rPr>
              <w:t>Boundary</w:t>
            </w:r>
          </w:p>
        </w:tc>
      </w:tr>
      <w:tr>
        <w:tc>
          <w:tcPr>
            <w:tcW w:type="dxa" w:w="1080"/>
          </w:tcPr>
          <w:p>
            <w:r/>
            <w:r>
              <w:rPr>
                <w:sz w:val="18"/>
              </w:rPr>
              <w:t>29P002</w:t>
            </w:r>
          </w:p>
        </w:tc>
        <w:tc>
          <w:tcPr>
            <w:tcW w:type="dxa" w:w="1080"/>
          </w:tcPr>
          <w:p>
            <w:r/>
            <w:r>
              <w:rPr>
                <w:sz w:val="18"/>
              </w:rPr>
              <w:t>North</w:t>
            </w:r>
          </w:p>
        </w:tc>
        <w:tc>
          <w:tcPr>
            <w:tcW w:type="dxa" w:w="1080"/>
          </w:tcPr>
          <w:p>
            <w:r/>
            <w:r>
              <w:rPr>
                <w:sz w:val="18"/>
              </w:rPr>
              <w:t>127</w:t>
            </w:r>
          </w:p>
        </w:tc>
        <w:tc>
          <w:tcPr>
            <w:tcW w:type="dxa" w:w="1080"/>
          </w:tcPr>
          <w:p>
            <w:r/>
            <w:r>
              <w:rPr>
                <w:sz w:val="18"/>
              </w:rPr>
              <w:t>112</w:t>
            </w:r>
          </w:p>
        </w:tc>
        <w:tc>
          <w:tcPr>
            <w:tcW w:type="dxa" w:w="1080"/>
          </w:tcPr>
          <w:p>
            <w:r/>
            <w:r>
              <w:rPr>
                <w:sz w:val="18"/>
              </w:rPr>
              <w:t>61</w:t>
            </w:r>
          </w:p>
        </w:tc>
        <w:tc>
          <w:tcPr>
            <w:tcW w:type="dxa" w:w="1080"/>
          </w:tcPr>
          <w:p>
            <w:r/>
            <w:r>
              <w:rPr>
                <w:sz w:val="18"/>
              </w:rPr>
              <w:t>66</w:t>
            </w:r>
          </w:p>
        </w:tc>
        <w:tc>
          <w:tcPr>
            <w:tcW w:type="dxa" w:w="1080"/>
          </w:tcPr>
          <w:p>
            <w:r/>
            <w:r>
              <w:rPr>
                <w:sz w:val="18"/>
              </w:rPr>
              <w:t>51</w:t>
            </w:r>
          </w:p>
        </w:tc>
        <w:tc>
          <w:tcPr>
            <w:tcW w:type="dxa" w:w="1080"/>
          </w:tcPr>
          <w:p>
            <w:r/>
            <w:r>
              <w:rPr>
                <w:sz w:val="18"/>
              </w:rPr>
              <w:t>High domestic-well count</w:t>
            </w:r>
          </w:p>
        </w:tc>
      </w:tr>
    </w:tbl>
    <w:p>
      <w:r>
        <w:rPr>
          <w:i/>
          <w:color w:val="555555"/>
          <w:sz w:val="17"/>
        </w:rPr>
        <w:t>Averages across the 14 LML wells: MO − MT = 65 ft; LML − MT = 50 ft. (10B003 uses the county Table 3 values, which the dashboard flags as internally divergent from its independent AGWL-mirror derivation; shown here as published in the packet.)</w:t>
      </w:r>
    </w:p>
    <w:p>
      <w:pPr>
        <w:pStyle w:val="Heading1"/>
      </w:pPr>
      <w:r>
        <w:rPr>
          <w:color w:val="1F3864"/>
        </w:rPr>
        <w:t>6. Answering the one real objection: “LMLs have no teeth”</w:t>
      </w:r>
    </w:p>
    <w:p>
      <w:r>
        <w:rPr>
          <w:b w:val="0"/>
          <w:i w:val="0"/>
        </w:rPr>
        <w:t>This is the recurring critique (Attachment C, p.18–19) and it must be met head-on, because it is the whole ballgame. The response:</w:t>
      </w:r>
    </w:p>
    <w:p>
      <w:r>
        <w:rPr>
          <w:b w:val="0"/>
          <w:i/>
        </w:rPr>
        <w:t>The teeth of an LML are the retained MT authority plus a formal trigger that arms it. An LML does not weaken the regulatory hook — it keeps the MT fully in place and adds a data-driven signal for when to strengthen it. Reaching an LML across multiple seasons, with no drought recovery, is the administrative record that justifies raising the MT or activating a demand-reduction PMA. Alternative 2 spends that lever up front, on a formula not tied to any measured impact; Alternative 1 keeps it loaded and tells the Boards precisely when to use it.</w:t>
      </w:r>
    </w:p>
    <w:p>
      <w:r>
        <w:rPr>
          <w:b w:val="0"/>
          <w:i w:val="0"/>
        </w:rPr>
        <w:t>Optional strengthener — an explicit LML response ladder. To defuse the “advisement only” critique entirely, propose writing a defined process into Alternative 1:</w:t>
      </w:r>
    </w:p>
    <w:p>
      <w:pPr>
        <w:pStyle w:val="ListNumber"/>
      </w:pPr>
      <w:r>
        <w:t xml:space="preserve"> LML persistently reached (multiple seasons) → staff investigation report to the Boards within a set period (e.g. 6 months) documenting magnitude, causes, drought context, and domestic-well/GDE exposure.</w:t>
      </w:r>
    </w:p>
    <w:p>
      <w:pPr>
        <w:pStyle w:val="ListNumber"/>
      </w:pPr>
      <w:r>
        <w:t xml:space="preserve"> Report triggers a Board decision point: scale a PMA (recharge, efficiency, mitigation outreach), expand monitoring, and/or initiate an MT amendment.</w:t>
      </w:r>
    </w:p>
    <w:p>
      <w:pPr>
        <w:pStyle w:val="ListNumber"/>
      </w:pPr>
      <w:r>
        <w:t xml:space="preserve"> If levels continue to decline without recovery across the next wet period, MT amendment is presumed on the agenda.</w:t>
      </w:r>
    </w:p>
    <w:p>
      <w:r>
        <w:rPr>
          <w:b w:val="0"/>
          <w:i w:val="0"/>
        </w:rPr>
        <w:t>This converts “advisement only” into a defined, accountable process without hard-coding a premature regulatory line — and it directly answers stakeholders who want LMLs tied to real consequences.</w:t>
      </w:r>
    </w:p>
    <w:p>
      <w:pPr>
        <w:pStyle w:val="Heading1"/>
      </w:pPr>
      <w:r>
        <w:rPr>
          <w:color w:val="1F3864"/>
        </w:rPr>
        <w:t>7. Where the case is vulnerable — be ready for these</w:t>
      </w:r>
    </w:p>
    <w:p>
      <w:r>
        <w:rPr>
          <w:b w:val="0"/>
          <w:i w:val="0"/>
        </w:rPr>
        <w:t>Good advocacy pre-empts the rebuttal. The three strongest counter-points, with responses:</w:t>
      </w:r>
    </w:p>
    <w:p>
      <w:pPr>
        <w:pStyle w:val="ListBullet"/>
      </w:pPr>
      <w:r>
        <w:rPr>
          <w:b/>
        </w:rPr>
        <w:t xml:space="preserve">The at-risk-well count. </w:t>
      </w:r>
      <w:r>
        <w:t xml:space="preserve"> Alternative 2 drops post-1980 domestic wells “at risk at MT” from 266 to 95 (Table 4, p.16) — a concrete protective figure. Response: that is a hypothetical “if levels were at the MT” count (staff’s own footnote), and the basin is managed toward the MO, not the MT — so it is a worst-case regulatory artifact, and the mitigation program (common to both) is what actually protects those wells.</w:t>
      </w:r>
    </w:p>
    <w:p>
      <w:pPr>
        <w:pStyle w:val="ListBullet"/>
      </w:pPr>
      <w:r>
        <w:rPr>
          <w:b/>
        </w:rPr>
        <w:t xml:space="preserve">“LMLs are ignorable.” </w:t>
      </w:r>
      <w:r>
        <w:t xml:space="preserve"> A future Board could decline to act on an LML. Response: a future Board could equally decline to amend an MT; the LML at least creates a formal expectation and record, and the response ladder in §6 hardens it.</w:t>
      </w:r>
    </w:p>
    <w:p>
      <w:pPr>
        <w:pStyle w:val="ListBullet"/>
      </w:pPr>
      <w:r>
        <w:rPr>
          <w:b/>
        </w:rPr>
        <w:t xml:space="preserve">The storage deficit. </w:t>
      </w:r>
      <w:r>
        <w:t xml:space="preserve"> The subbasin retains a cumulative storage deficit since ~2000 (p.7–8) — the strongest hydrologic argument for the other side. Response: extractions “fluctuate with hydrologic conditions without … a sustained increasing trend” and the ag footprint is stable (p.8); the risk is episodic drought, not chronic demand growth, and a static higher MT does not recharge the aquifer — the PMAs that LMLs trigger do.</w:t>
      </w:r>
    </w:p>
    <w:p>
      <w:pPr>
        <w:pStyle w:val="Heading1"/>
      </w:pPr>
      <w:r>
        <w:rPr>
          <w:color w:val="1F3864"/>
        </w:rPr>
        <w:t>8. Talking points by audience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
              <w:rPr>
                <w:b/>
                <w:sz w:val="18"/>
              </w:rPr>
              <w:t>Audience</w:t>
            </w:r>
          </w:p>
        </w:tc>
        <w:tc>
          <w:tcPr>
            <w:tcW w:type="dxa" w:w="4320"/>
          </w:tcPr>
          <w:p>
            <w:r/>
            <w:r>
              <w:rPr>
                <w:b/>
                <w:sz w:val="18"/>
              </w:rPr>
              <w:t>What lands</w:t>
            </w:r>
          </w:p>
        </w:tc>
      </w:tr>
      <w:tr>
        <w:tc>
          <w:tcPr>
            <w:tcW w:type="dxa" w:w="4320"/>
          </w:tcPr>
          <w:p>
            <w:r/>
            <w:r>
              <w:rPr>
                <w:sz w:val="18"/>
              </w:rPr>
              <w:t>Domestic-well owners</w:t>
            </w:r>
          </w:p>
        </w:tc>
        <w:tc>
          <w:tcPr>
            <w:tcW w:type="dxa" w:w="4320"/>
          </w:tcPr>
          <w:p>
            <w:r/>
            <w:r>
              <w:rPr>
                <w:sz w:val="18"/>
              </w:rPr>
              <w:t>Alt 1 keeps every current protection and adds an earlier warning; the mitigation program (in both) is what protects your well. Alt 2’s lower-MT-at-8-wells fact and its “at-MT” framing.</w:t>
            </w:r>
          </w:p>
        </w:tc>
      </w:tr>
      <w:tr>
        <w:tc>
          <w:tcPr>
            <w:tcW w:type="dxa" w:w="4320"/>
          </w:tcPr>
          <w:p>
            <w:r/>
            <w:r>
              <w:rPr>
                <w:sz w:val="18"/>
              </w:rPr>
              <w:t>Environmental / GDE reps</w:t>
            </w:r>
          </w:p>
        </w:tc>
        <w:tc>
          <w:tcPr>
            <w:tcW w:type="dxa" w:w="4320"/>
          </w:tcPr>
          <w:p>
            <w:r/>
            <w:r>
              <w:rPr>
                <w:sz w:val="18"/>
              </w:rPr>
              <w:t>LMLs at the 5 GDE/shallow wells trigger investigation ~50 ft before the MT; pair with the place-based GDE monitoring PMA and an ecological response ladder. Alt 2 lowers the floor at some GDE/boundary wells.</w:t>
            </w:r>
          </w:p>
        </w:tc>
      </w:tr>
      <w:tr>
        <w:tc>
          <w:tcPr>
            <w:tcW w:type="dxa" w:w="4320"/>
          </w:tcPr>
          <w:p>
            <w:r/>
            <w:r>
              <w:rPr>
                <w:sz w:val="18"/>
              </w:rPr>
              <w:t>Agricultural reps</w:t>
            </w:r>
          </w:p>
        </w:tc>
        <w:tc>
          <w:tcPr>
            <w:tcW w:type="dxa" w:w="4320"/>
          </w:tcPr>
          <w:p>
            <w:r/>
            <w:r>
              <w:rPr>
                <w:sz w:val="18"/>
              </w:rPr>
              <w:t>Alt 1 avoids premature regulatory exposure and preserves flexibility; action is scaled and proportional to real drought conditions, not a static line.</w:t>
            </w:r>
          </w:p>
        </w:tc>
      </w:tr>
      <w:tr>
        <w:tc>
          <w:tcPr>
            <w:tcW w:type="dxa" w:w="4320"/>
          </w:tcPr>
          <w:p>
            <w:r/>
            <w:r>
              <w:rPr>
                <w:sz w:val="18"/>
              </w:rPr>
              <w:t>Board / DWR-minded members</w:t>
            </w:r>
          </w:p>
        </w:tc>
        <w:tc>
          <w:tcPr>
            <w:tcW w:type="dxa" w:w="4320"/>
          </w:tcPr>
          <w:p>
            <w:r/>
            <w:r>
              <w:rPr>
                <w:sz w:val="18"/>
              </w:rPr>
              <w:t>Either alternative satisfies RCA 3; Alt 1 does so while preserving the adaptive-management framework DWR endorsed, and adds boundary-aligned triggers.</w:t>
            </w:r>
          </w:p>
        </w:tc>
      </w:tr>
    </w:tbl>
    <w:p>
      <w:r>
        <w:rPr>
          <w:b/>
          <w:i w:val="0"/>
        </w:rPr>
        <w:t>One-line close for the podium:</w:t>
      </w:r>
    </w:p>
    <w:p>
      <w:r>
        <w:rPr>
          <w:b w:val="0"/>
          <w:i/>
          <w:color w:val="0F5B5B"/>
        </w:rPr>
        <w:t>“Alternative 1 keeps every protection we have, adds an earlier one on top, and keeps the authority to raise minimum thresholds ready for the moment the data prove we need it — Alternative 2 gives that authority away today, for a line that lowers protection at eight wells and adds no water to the basin.”</w:t>
      </w:r>
    </w:p>
    <w:p>
      <w:pPr>
        <w:pStyle w:val="Heading1"/>
      </w:pPr>
      <w:r>
        <w:rPr>
          <w:color w:val="1F3864"/>
        </w:rPr>
        <w:t>9. Strategic review (independent)</w:t>
      </w:r>
    </w:p>
    <w:p>
      <w:r>
        <w:rPr>
          <w:b w:val="0"/>
          <w:i/>
          <w:color w:val="555555"/>
        </w:rPr>
        <w:t>[Independent strategic review (Fable) pending — to be inserted on completion. It stress-tests the framing, identifies the weakest pillar and the strongest opposing counter, and recommends the highest-leverage edits and any hybrid worth considering.]</w:t>
      </w:r>
    </w:p>
    <w:p>
      <w:pPr>
        <w:pStyle w:val="Heading1"/>
      </w:pPr>
      <w:r>
        <w:rPr>
          <w:color w:val="1F3864"/>
        </w:rPr>
        <w:t>10. Key source references</w:t>
      </w:r>
    </w:p>
    <w:p>
      <w:pPr>
        <w:pStyle w:val="ListBullet"/>
      </w:pPr>
      <w:r>
        <w:t xml:space="preserve"> MT is not the managed level; MO averages 62 ft above MT — staff memo p.8.</w:t>
      </w:r>
    </w:p>
    <w:p>
      <w:pPr>
        <w:pStyle w:val="ListBullet"/>
      </w:pPr>
      <w:r>
        <w:t xml:space="preserve"> LML = 15 ft below MO; response actions; “persistently reaching” = multiple seasons — p.9.</w:t>
      </w:r>
    </w:p>
    <w:p>
      <w:pPr>
        <w:pStyle w:val="ListBullet"/>
      </w:pPr>
      <w:r>
        <w:t xml:space="preserve"> 14 LML wells and their three purposes — p.9.</w:t>
      </w:r>
    </w:p>
    <w:p>
      <w:pPr>
        <w:pStyle w:val="ListBullet"/>
      </w:pPr>
      <w:r>
        <w:t xml:space="preserve"> Alt 2 formula (deeper of historical-low−20 or 5% domestic-well-risk) — p.10–11.</w:t>
      </w:r>
    </w:p>
    <w:p>
      <w:pPr>
        <w:pStyle w:val="ListBullet"/>
      </w:pPr>
      <w:r>
        <w:t xml:space="preserve"> Alt 2 lowers MT at 8 wells; limited boundary benefit — p.11.</w:t>
      </w:r>
    </w:p>
    <w:p>
      <w:pPr>
        <w:pStyle w:val="ListBullet"/>
      </w:pPr>
      <w:r>
        <w:t xml:space="preserve"> Attachment A concessions (premature regulatory action; limited boundary value; Alt 1 preserves flexibility) — p.12.</w:t>
      </w:r>
    </w:p>
    <w:p>
      <w:pPr>
        <w:pStyle w:val="ListBullet"/>
      </w:pPr>
      <w:r>
        <w:t xml:space="preserve"> Either alternative addresses DWR RCA 3 — p.6–7.</w:t>
      </w:r>
    </w:p>
    <w:p>
      <w:pPr>
        <w:pStyle w:val="ListBullet"/>
      </w:pPr>
      <w:r>
        <w:t xml:space="preserve"> Adaptive management; revisit plan elements at each PE — p.9.</w:t>
      </w:r>
    </w:p>
    <w:p>
      <w:pPr>
        <w:pStyle w:val="ListBullet"/>
      </w:pPr>
      <w:r>
        <w:t xml:space="preserve"> Basin drought–recovery pattern; historical lows 2013–15 &amp; 2020–22; ~40 wells dry — p.7–8.</w:t>
      </w:r>
    </w:p>
    <w:p>
      <w:pPr>
        <w:pStyle w:val="ListBullet"/>
      </w:pPr>
      <w:r>
        <w:t xml:space="preserve"> Storage deficit since 2000; extractions fluctuate, no sustained upward trend — p.7–8.</w:t>
      </w:r>
    </w:p>
    <w:p>
      <w:pPr>
        <w:pStyle w:val="ListBullet"/>
      </w:pPr>
      <w:r>
        <w:t xml:space="preserve"> Table 4 domestic wells at risk at MT, post-1980: Alt 1 = 266, Alt 2 = 95 — p.16.</w:t>
      </w:r>
    </w:p>
    <w:p>
      <w:pPr>
        <w:pStyle w:val="ListBullet"/>
      </w:pPr>
      <w:r>
        <w:t xml:space="preserve"> “No teeth” / regulatory-hook critique of LMLs — Attachment C, p.18–19.</w:t>
      </w:r>
    </w:p>
    <w:p>
      <w:r>
        <w:rPr>
          <w:i/>
          <w:color w:val="555555"/>
          <w:sz w:val="17"/>
        </w:rPr>
        <w:t>Working notes — advocacy analysis prepared to support Alternative 1. Authoritative threshold figures regenerate from data/thresholds.json; packet page references are to the 7/22/2026 SHAC packet. No dashboard or data files were modified in producing this note.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