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864"/>
        </w:rPr>
        <w:t>Local Management Levels vs. Raising Minimum Thresholds</w:t>
      </w:r>
    </w:p>
    <w:p>
      <w:r>
        <w:rPr>
          <w:b w:val="0"/>
          <w:i/>
          <w:color w:val="555555"/>
          <w:sz w:val="24"/>
        </w:rPr>
        <w:t>The case for Alternative 1 — Working technical notes (with independent red-team review)</w:t>
      </w:r>
    </w:p>
    <w:p>
      <w:r>
        <w:rPr>
          <w:b/>
          <w:sz w:val="18"/>
        </w:rPr>
        <w:t xml:space="preserve">Prepared for: </w:t>
      </w:r>
      <w:r>
        <w:rPr>
          <w:sz w:val="18"/>
        </w:rPr>
        <w:t>Tovey Giezentanner</w:t>
      </w:r>
      <w:r>
        <w:rPr>
          <w:b/>
          <w:sz w:val="18"/>
        </w:rPr>
        <w:t xml:space="preserve">   |   Date: </w:t>
      </w:r>
      <w:r>
        <w:rPr>
          <w:sz w:val="18"/>
        </w:rPr>
        <w:t>2026-07-17</w:t>
      </w:r>
      <w:r>
        <w:rPr>
          <w:b/>
          <w:sz w:val="18"/>
        </w:rPr>
        <w:t xml:space="preserve">   |   For: </w:t>
      </w:r>
      <w:r>
        <w:rPr>
          <w:sz w:val="18"/>
        </w:rPr>
        <w:t>Vina GSA SHAC, 7/22/2026</w:t>
      </w:r>
    </w:p>
    <w:p>
      <w:r>
        <w:rPr>
          <w:i/>
          <w:color w:val="555555"/>
          <w:sz w:val="17"/>
        </w:rPr>
        <w:t>Sources: Vina GSA SHAC packet, 7/22/2026 — staff memo 7/16/2026 (C. Buck / Larry Walker Associates), Attachments A–C. Authoritative MO/MT/all-time-min from the repo's data/thresholds.json (county Strawman Table 3). Page refs (“p.N”) are to the packet's printed page markers. Part II is an independent strategic review (internal red-team; not for circulation).</w:t>
      </w:r>
    </w:p>
    <w:p>
      <w:r>
        <w:rPr>
          <w:b/>
          <w:i w:val="0"/>
          <w:color w:val="0F5B5B"/>
        </w:rPr>
        <w:t>How to read this document</w:t>
      </w:r>
    </w:p>
    <w:p>
      <w:pPr>
        <w:pStyle w:val="ListBullet"/>
      </w:pPr>
      <w:r>
        <w:rPr>
          <w:b/>
        </w:rPr>
        <w:t xml:space="preserve">Part I — </w:t>
      </w:r>
      <w:r>
        <w:t xml:space="preserve"> the case for Alternative 1, revised after the red-team.</w:t>
      </w:r>
    </w:p>
    <w:p>
      <w:pPr>
        <w:pStyle w:val="ListBullet"/>
      </w:pPr>
      <w:r>
        <w:rPr>
          <w:b/>
        </w:rPr>
        <w:t xml:space="preserve">Part II — </w:t>
      </w:r>
      <w:r>
        <w:t xml:space="preserve"> the independent strategic review that reshaped it (Fable).</w:t>
      </w:r>
    </w:p>
    <w:p>
      <w:pPr>
        <w:pStyle w:val="ListBullet"/>
      </w:pPr>
      <w:r>
        <w:rPr>
          <w:b/>
        </w:rPr>
        <w:t xml:space="preserve">Part III — </w:t>
      </w:r>
      <w:r>
        <w:t xml:space="preserve"> recommended position (“Alt-1-plus”) and the decisions that are yours to make.</w:t>
      </w:r>
    </w:p>
    <w:p>
      <w:pPr>
        <w:pStyle w:val="ListBullet"/>
      </w:pPr>
      <w:r>
        <w:rPr>
          <w:b/>
        </w:rPr>
        <w:t xml:space="preserve">Part IV — </w:t>
      </w:r>
      <w:r>
        <w:t xml:space="preserve"> open items and pre-meeting homework.</w:t>
      </w:r>
    </w:p>
    <w:p>
      <w:r>
        <w:rPr>
          <w:b w:val="0"/>
          <w:i/>
          <w:color w:val="555555"/>
          <w:sz w:val="19"/>
        </w:rPr>
        <w:t>Note on the revision: an early draft leaned on two lines — “LMLs are more restrictive in practice” and “keep the powder dry.” The review showed both are landmines: the first is contradicted by your own dashboard (the LML would have triggered essentially never, including through both droughts), and the second is a delay message to a room defined by ~40 dry wells. Part I below is the corrected case; §I.4 pillar 2 and the master frame are where it changed most.</w:t>
      </w:r>
    </w:p>
    <w:p>
      <w:pPr>
        <w:pStyle w:val="Heading1"/>
      </w:pPr>
      <w:r>
        <w:rPr>
          <w:color w:val="1F3864"/>
        </w:rPr>
        <w:t>PART I — The case for Alternative 1</w:t>
      </w:r>
    </w:p>
    <w:p>
      <w:pPr>
        <w:pStyle w:val="Heading2"/>
      </w:pPr>
      <w:r>
        <w:rPr>
          <w:color w:val="1F3864"/>
        </w:rPr>
        <w:t>I.1  Bottom line and master frame</w:t>
      </w:r>
    </w:p>
    <w:p>
      <w:r>
        <w:rPr>
          <w:b w:val="0"/>
          <w:i w:val="0"/>
        </w:rPr>
        <w:t>Alternative 1 (retain the 2022 MTs and add Local Management Levels) is the better choice for the basin — but the winning argument is not that LMLs are a stricter line. It is that Alternative 1 is the alternative wired to act. Two sentences to open with:</w:t>
      </w:r>
    </w:p>
    <w:p>
      <w:r>
        <w:rPr>
          <w:b/>
          <w:i w:val="0"/>
          <w:color w:val="0F5B5B"/>
        </w:rPr>
        <w:t>Manage to the objective, not the floor. Put actions on triggers, not numbers on a map.</w:t>
      </w:r>
    </w:p>
    <w:p>
      <w:r>
        <w:rPr>
          <w:b w:val="0"/>
          <w:i w:val="0"/>
        </w:rPr>
        <w:t>Alternative 2 moves a regulatory floor that nobody plans to operate at and that the basin has never reached — and it lowers that floor at 8 wells, including GDE and boundary areas. Alternative 1 keeps every floor and installs the basin's first trigger that is wired to something: investigation, the domestic-well mitigation program, projects, and — if strengthened as recommended in Part III — a pre-committed, evidence-triggered path to amending the MT itself.</w:t>
      </w:r>
    </w:p>
    <w:p>
      <w:pPr>
        <w:pStyle w:val="Heading2"/>
      </w:pPr>
      <w:r>
        <w:rPr>
          <w:color w:val="1F3864"/>
        </w:rPr>
        <w:t>I.2  The decision, precisely</w:t>
      </w:r>
    </w:p>
    <w:p>
      <w:r>
        <w:rPr>
          <w:b w:val="0"/>
          <w:i w:val="0"/>
        </w:rPr>
        <w:t>Both alternatives use the same expanded 2027 RMS network (29 wells / 26 areas) and the same MOs and IMs (p.6). The network is common ground and not a reason to prefer either. The only question is: add LMLs on top of the existing MTs (Alt 1), or change the MT levels themselves (Alt 2).</w:t>
      </w:r>
    </w:p>
    <w:p>
      <w:pPr>
        <w:pStyle w:val="Heading2"/>
      </w:pPr>
      <w:r>
        <w:rPr>
          <w:color w:val="1F3864"/>
        </w:rPr>
        <w:t>I.3  What each alternative actually does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
              <w:rPr>
                <w:b/>
                <w:sz w:val="17"/>
              </w:rPr>
            </w:r>
          </w:p>
        </w:tc>
        <w:tc>
          <w:tcPr>
            <w:tcW w:type="dxa" w:w="2880"/>
          </w:tcPr>
          <w:p>
            <w:r/>
            <w:r>
              <w:rPr>
                <w:b/>
                <w:sz w:val="17"/>
              </w:rPr>
              <w:t>Alt 1 — MTs + LMLs</w:t>
            </w:r>
          </w:p>
        </w:tc>
        <w:tc>
          <w:tcPr>
            <w:tcW w:type="dxa" w:w="2880"/>
          </w:tcPr>
          <w:p>
            <w:r/>
            <w:r>
              <w:rPr>
                <w:b/>
                <w:sz w:val="17"/>
              </w:rPr>
              <w:t>Alt 2 — Revised MTs</w:t>
            </w:r>
          </w:p>
        </w:tc>
      </w:tr>
      <w:tr>
        <w:tc>
          <w:tcPr>
            <w:tcW w:type="dxa" w:w="2880"/>
          </w:tcPr>
          <w:p>
            <w:r/>
            <w:r>
              <w:rPr>
                <w:sz w:val="17"/>
              </w:rPr>
              <w:t>MT levels</w:t>
            </w:r>
          </w:p>
        </w:tc>
        <w:tc>
          <w:tcPr>
            <w:tcW w:type="dxa" w:w="2880"/>
          </w:tcPr>
          <w:p>
            <w:r/>
            <w:r>
              <w:rPr>
                <w:sz w:val="17"/>
              </w:rPr>
              <w:t>Keep all 2022 MTs; new wells by the comparable 2022 method.</w:t>
            </w:r>
          </w:p>
        </w:tc>
        <w:tc>
          <w:tcPr>
            <w:tcW w:type="dxa" w:w="2880"/>
          </w:tcPr>
          <w:p>
            <w:r/>
            <w:r>
              <w:rPr>
                <w:sz w:val="17"/>
              </w:rPr>
              <w:t>Recompute each north/south MT as the deeper of historical-low−20 ft or the 5%-domestic-well-risk level.</w:t>
            </w:r>
          </w:p>
        </w:tc>
      </w:tr>
      <w:tr>
        <w:tc>
          <w:tcPr>
            <w:tcW w:type="dxa" w:w="2880"/>
          </w:tcPr>
          <w:p>
            <w:r/>
            <w:r>
              <w:rPr>
                <w:sz w:val="17"/>
              </w:rPr>
              <w:t>Early trigger</w:t>
            </w:r>
          </w:p>
        </w:tc>
        <w:tc>
          <w:tcPr>
            <w:tcW w:type="dxa" w:w="2880"/>
          </w:tcPr>
          <w:p>
            <w:r/>
            <w:r>
              <w:rPr>
                <w:sz w:val="17"/>
              </w:rPr>
              <w:t>LML 15 ft below the MO at 14 of 29 wells.</w:t>
            </w:r>
          </w:p>
        </w:tc>
        <w:tc>
          <w:tcPr>
            <w:tcW w:type="dxa" w:w="2880"/>
          </w:tcPr>
          <w:p>
            <w:r/>
            <w:r>
              <w:rPr>
                <w:sz w:val="17"/>
              </w:rPr>
              <w:t>None.</w:t>
            </w:r>
          </w:p>
        </w:tc>
      </w:tr>
      <w:tr>
        <w:tc>
          <w:tcPr>
            <w:tcW w:type="dxa" w:w="2880"/>
          </w:tcPr>
          <w:p>
            <w:r/>
            <w:r>
              <w:rPr>
                <w:sz w:val="17"/>
              </w:rPr>
              <w:t>Trigger type</w:t>
            </w:r>
          </w:p>
        </w:tc>
        <w:tc>
          <w:tcPr>
            <w:tcW w:type="dxa" w:w="2880"/>
          </w:tcPr>
          <w:p>
            <w:r/>
            <w:r>
              <w:rPr>
                <w:sz w:val="17"/>
              </w:rPr>
              <w:t>Non-regulatory early warning → monitoring, investigation, or PMA activation.</w:t>
            </w:r>
          </w:p>
        </w:tc>
        <w:tc>
          <w:tcPr>
            <w:tcW w:type="dxa" w:w="2880"/>
          </w:tcPr>
          <w:p>
            <w:r/>
            <w:r>
              <w:rPr>
                <w:sz w:val="17"/>
              </w:rPr>
              <w:t>Regulatory — an MT exceedance is a compliance line.</w:t>
            </w:r>
          </w:p>
        </w:tc>
      </w:tr>
      <w:tr>
        <w:tc>
          <w:tcPr>
            <w:tcW w:type="dxa" w:w="2880"/>
          </w:tcPr>
          <w:p>
            <w:r/>
            <w:r>
              <w:rPr>
                <w:sz w:val="17"/>
              </w:rPr>
              <w:t>Net effect on floor</w:t>
            </w:r>
          </w:p>
        </w:tc>
        <w:tc>
          <w:tcPr>
            <w:tcW w:type="dxa" w:w="2880"/>
          </w:tcPr>
          <w:p>
            <w:r/>
            <w:r>
              <w:rPr>
                <w:sz w:val="17"/>
              </w:rPr>
              <w:t>Strictly additive — never lowers an MT.</w:t>
            </w:r>
          </w:p>
        </w:tc>
        <w:tc>
          <w:tcPr>
            <w:tcW w:type="dxa" w:w="2880"/>
          </w:tcPr>
          <w:p>
            <w:r/>
            <w:r>
              <w:rPr>
                <w:sz w:val="17"/>
              </w:rPr>
              <w:t>Raises most MTs but LOWERS 8 (p.11).</w:t>
            </w:r>
          </w:p>
        </w:tc>
      </w:tr>
    </w:tbl>
    <w:p>
      <w:r>
        <w:rPr>
          <w:i/>
          <w:color w:val="555555"/>
          <w:sz w:val="16"/>
        </w:rPr>
        <w:t>LML wells (14): GDE/shallow — 09E001, 27L001, 36P001, 20K001, 32E001; near-boundary — 25C001, 05M001, 10B003, 27D001, 02H003, 09G001, 24C001, 33L001; high domestic-well count — 29P002 (p.9).</w:t>
      </w:r>
    </w:p>
    <w:p>
      <w:pPr>
        <w:pStyle w:val="Heading2"/>
      </w:pPr>
      <w:r>
        <w:rPr>
          <w:color w:val="1F3864"/>
        </w:rPr>
        <w:t>I.4  The case — five pillars</w:t>
      </w:r>
    </w:p>
    <w:p>
      <w:pPr>
        <w:pStyle w:val="Heading3"/>
      </w:pPr>
      <w:r>
        <w:rPr>
          <w:color w:val="1F3864"/>
        </w:rPr>
        <w:t>Pillar 1 — Additive protection; and the uniform formula is the real defect</w:t>
      </w:r>
    </w:p>
    <w:p>
      <w:r>
        <w:rPr>
          <w:b w:val="0"/>
          <w:i w:val="0"/>
        </w:rPr>
        <w:t>Alternative 1 carries forward every 2022 MT and adds a trigger; it cannot be less protective than today. Alternative 2's uniform formula, in staff's own words, “results in 8 RMS wells having a lower MT than the 2022 MT alternative” (p.11) — generally low-domestic-count polygons that include GDE and boundary areas. “Raising the MT” is a misnomer: it moves the floor, down at 8 wells, including where the GDEs are.</w:t>
      </w:r>
    </w:p>
    <w:p>
      <w:r>
        <w:rPr>
          <w:b w:val="0"/>
          <w:i w:val="0"/>
          <w:color w:val="555555"/>
        </w:rPr>
        <w:t>Pre-empt the obvious counter-move. A proponent can move to “take the higher of the formula and the 2022 MT” — deleting the 8-well point in one motion. Do not let Pillar 1 rest on the 8 wells alone. The deeper defect is that a single basin-wide formula is insensitive to local conditions (GDE proximity, boundary position, domestic-well density) and produces perverse results wherever local conditions deviate — the 8 lowered wells are the symptom. A patched formula is still a formula. Supporting color: the county's own Table 3 row for 10B003 is internally inconsistent (its printed MT/MO don't follow from its own printed inputs), which is what formula-driven, un-ground-truthed threshold-setting produces.</w:t>
      </w:r>
    </w:p>
    <w:p>
      <w:pPr>
        <w:pStyle w:val="Heading3"/>
      </w:pPr>
      <w:r>
        <w:rPr>
          <w:color w:val="1F3864"/>
        </w:rPr>
        <w:t>Pillar 2 — The LML is a tripwire for unprecedented decline (reframed)</w:t>
      </w:r>
    </w:p>
    <w:p>
      <w:r>
        <w:rPr>
          <w:b w:val="0"/>
          <w:i w:val="0"/>
        </w:rPr>
        <w:t>Do NOT argue that the LML is “more restrictive” or “acts first.” Your own dashboard refutes it: the MO−15 LML would have triggered once in the entire record (a single 2011 outlier at 20K001, a non-drought year) and never at MO−20 — including straight through the 2012–16 and 2020–22 droughts. An opponent who puts “acts first” next to “never fired, including when 40 wells went dry” wins the room in one slide.</w:t>
      </w:r>
    </w:p>
    <w:p>
      <w:r>
        <w:rPr>
          <w:b w:val="0"/>
          <w:i w:val="0"/>
        </w:rPr>
        <w:t>The reason, from the authoritative data: the MO is set at approximately the all-time historical low, so the LML (MO−15) sits below the record low at 13 of the 14 wells (on average 12 ft below the lowest level ever measured). The honest, defensible framing:</w:t>
      </w:r>
    </w:p>
    <w:p>
      <w:r>
        <w:rPr>
          <w:b w:val="0"/>
          <w:i/>
        </w:rPr>
        <w:t>The LML is calibrated to fire only in conditions worse than anything on record — a drought deeper than 2020–22. That is a feature: it is the tripwire that says “the historical drought-and-recovery pattern is breaking,” which is precisely the moment an MT-amendment decision belongs on the agenda. Ordinary-drought harm to domestic wells happens at levels far above either alternative's MT and is not caught by any threshold on either map — that is the mitigation program's job (see I.5).</w:t>
      </w:r>
    </w:p>
    <w:p>
      <w:pPr>
        <w:pStyle w:val="Heading3"/>
      </w:pPr>
      <w:r>
        <w:rPr>
          <w:color w:val="1F3864"/>
        </w:rPr>
        <w:t>Pillar 3 — Actions on triggers, not numbers on a map</w:t>
      </w:r>
    </w:p>
    <w:p>
      <w:r>
        <w:rPr>
          <w:b w:val="0"/>
          <w:i w:val="0"/>
        </w:rPr>
        <w:t>Only projects add water to the aquifer. Raising the MT does not; it is a line. What protects the basin and its wells is (a) managing toward the MO and (b) the PMAs — recharge, irrigation efficiency, and the Domestic Well Mitigation Program (common to both alternatives, p.8/p.11). The LML is the mechanism that fires those earlier: reaching one “would prompt … increased monitoring, investigation into impacts and causes, or activation of a GSP project or management action” (p.9). Alternative 1 attaches an action to the trigger; Alternative 2 attaches a number to a map.</w:t>
      </w:r>
    </w:p>
    <w:p>
      <w:r>
        <w:rPr>
          <w:b w:val="0"/>
          <w:i w:val="0"/>
        </w:rPr>
        <w:t>Use the storage deficit offensively. The subbasin's cumulative storage deficit since ~2000 (p.7–8) is the one fact that survives every rebuttal — and neither alternative's threshold does anything about it. Only recharge and demand-side PMAs touch storage. Concede the deficit loudly, then ask which alternative is built to launch the projects that actually address it. (This pillar's force depends on the PMA portfolio being real — named, funded, with leads and timelines; see Part IV.)</w:t>
      </w:r>
    </w:p>
    <w:p>
      <w:pPr>
        <w:pStyle w:val="Heading3"/>
      </w:pPr>
      <w:r>
        <w:rPr>
          <w:color w:val="1F3864"/>
        </w:rPr>
        <w:t>Pillar 4 — A regulatory floor should be set on evidence, because it cannot be walked back</w:t>
      </w:r>
    </w:p>
    <w:p>
      <w:r>
        <w:rPr>
          <w:b w:val="0"/>
          <w:i w:val="0"/>
        </w:rPr>
        <w:t>Own the irreversibility argument openly rather than hinting at delay. MTs are a political one-way ratchet: once raised, they are nearly impossible to lower. That is exactly why a regulatory floor should be set on the best available, ground-truthed evidence — and why the disciplined path is to set it through the LML response ladder (I.6), on the record of an actual unprecedented decline, rather than up front on a uniform formula. The adaptive-management framework and the 5-year Periodic Evaluation (p.9) — this very packet is proof — make that path real and routine.</w:t>
      </w:r>
    </w:p>
    <w:p>
      <w:pPr>
        <w:pStyle w:val="Heading3"/>
      </w:pPr>
      <w:r>
        <w:rPr>
          <w:color w:val="1F3864"/>
        </w:rPr>
        <w:t>Pillar 5 — The stated reasons to raise the MT are weak on their own terms</w:t>
      </w:r>
    </w:p>
    <w:p>
      <w:pPr>
        <w:pStyle w:val="ListBullet"/>
      </w:pPr>
      <w:r>
        <w:rPr>
          <w:b/>
        </w:rPr>
        <w:t xml:space="preserve">DWR does not require a higher MT. </w:t>
      </w:r>
      <w:r>
        <w:t xml:space="preserve"> Either alternative addresses DWR's Recommended Corrective Action 3 (p.6–7). What answers DWR is removing the “non-dry-year” condition (happening regardless) plus the expanded network and documented impacts — not the MT elevation.</w:t>
      </w:r>
    </w:p>
    <w:p>
      <w:pPr>
        <w:pStyle w:val="ListBullet"/>
      </w:pPr>
      <w:r>
        <w:rPr>
          <w:b/>
        </w:rPr>
        <w:t xml:space="preserve">The boundary rationale is self-undercut. </w:t>
      </w:r>
      <w:r>
        <w:t xml:space="preserve"> Attachment A concedes Alt 2 has “limited value in reducing threshold differences at boundaries” (p.12; also p.11), while Alt 1 adds LMLs at boundary wells that “more closely align with neighboring thresholds” (p.12). On the very issue used to sell Alt 2, Alt 1 does more.</w:t>
      </w:r>
    </w:p>
    <w:p>
      <w:pPr>
        <w:pStyle w:val="ListBullet"/>
      </w:pPr>
      <w:r>
        <w:rPr>
          <w:b/>
        </w:rPr>
        <w:t xml:space="preserve">Careful with the “premature” framing. </w:t>
      </w:r>
      <w:r>
        <w:t xml:space="preserve"> Frame Alt 2's premature-trigger risk as misdirected action (wrong tool, wrong place), not “too early” — to environmental reps, acting before confirmed impacts is the definition of precaution, so do not quote staff's “before impacts are confirmed” approvingly. The point is that Alt 2 fires a compliance event at a floor the basin has never reached, not that caution is bad.</w:t>
      </w:r>
    </w:p>
    <w:p>
      <w:pPr>
        <w:pStyle w:val="Heading2"/>
      </w:pPr>
      <w:r>
        <w:rPr>
          <w:color w:val="1F3864"/>
        </w:rPr>
        <w:t>I.5  The honest concession that wins credibility</w:t>
      </w:r>
    </w:p>
    <w:p>
      <w:r>
        <w:rPr>
          <w:b/>
          <w:i w:val="0"/>
        </w:rPr>
        <w:t>Deliver this once, early, and plainly — it disarms the opposition's best number and moves the debate onto your strongest ground:</w:t>
      </w:r>
    </w:p>
    <w:p>
      <w:r>
        <w:rPr>
          <w:b w:val="0"/>
          <w:i/>
          <w:color w:val="0F5B5B"/>
        </w:rPr>
        <w:t>“No minimum threshold on either map kept those ~40 wells wet in 2021 — they went dry at levels far above both alternatives' MTs. Anyone selling you a threshold as domestic-well protection is selling the wrong product. The product is a funded, fast mitigation program — and Alternative 1 is the alternative wired to trigger it sooner.”</w:t>
      </w:r>
    </w:p>
    <w:p>
      <w:r>
        <w:rPr>
          <w:b w:val="0"/>
          <w:i w:val="0"/>
          <w:color w:val="555555"/>
          <w:sz w:val="19"/>
        </w:rPr>
        <w:t>Discipline: this must never shade into “the MT doesn't matter.” The MT is the regulatory backstop; the point is that it is not the tool that keeps a shallow domestic well wet in a drought.</w:t>
      </w:r>
    </w:p>
    <w:p>
      <w:pPr>
        <w:pStyle w:val="Heading2"/>
      </w:pPr>
      <w:r>
        <w:rPr>
          <w:color w:val="1F3864"/>
        </w:rPr>
        <w:t>I.6  Answering “LMLs have no teeth” — the response ladder (make it policy, not a footnote)</w:t>
      </w:r>
    </w:p>
    <w:p>
      <w:r>
        <w:rPr>
          <w:b w:val="0"/>
          <w:i w:val="0"/>
        </w:rPr>
        <w:t>The “no teeth” critique (Attachment C, p.18–19) is the whole ballgame, and as the LML is currently described (“advisement or monitoring only”) the critique is essentially correct. Neutralize it by writing a defined response ladder into Alternative 1 itself, with at least one automatic consequence:</w:t>
      </w:r>
    </w:p>
    <w:p>
      <w:pPr>
        <w:pStyle w:val="ListNumber"/>
      </w:pPr>
      <w:r>
        <w:t xml:space="preserve"> LML persistently reached (multiple seasons) → mandatory staff investigation report to the Boards within a set deadline (e.g. 6 months): magnitude, causes, drought context, domestic-well and GDE exposure, and an ecological-condition element at GDE wells.</w:t>
      </w:r>
    </w:p>
    <w:p>
      <w:pPr>
        <w:pStyle w:val="ListNumber"/>
      </w:pPr>
      <w:r>
        <w:t xml:space="preserve"> Automatic consequence on exceedance → the Domestic Well Mitigation Program activates for the affected area (enrollment, deepening/lowering assistance, interim supply), with funding identified. This is not discretionary.</w:t>
      </w:r>
    </w:p>
    <w:p>
      <w:pPr>
        <w:pStyle w:val="ListNumber"/>
      </w:pPr>
      <w:r>
        <w:t xml:space="preserve"> Ratchet → a second consecutive season below the LML auto-initiates the MT-amendment process; if the Boards decline, they must adopt written findings explaining why (“comply or explain”).</w:t>
      </w:r>
    </w:p>
    <w:p>
      <w:r>
        <w:rPr>
          <w:b w:val="0"/>
          <w:i w:val="0"/>
        </w:rPr>
        <w:t>This makes Alternative 1 contain a pre-committed, evidence-armed path to the very MT raise the environmental bloc wants — at which point “no teeth” has no purchase. “Board considers an amendment” is not enough; “considers” is what boards do to things they intend to shelve, and every rep in the room knows it.</w:t>
      </w:r>
    </w:p>
    <w:p>
      <w:pPr>
        <w:pStyle w:val="Heading2"/>
      </w:pPr>
      <w:r>
        <w:rPr>
          <w:color w:val="1F3864"/>
        </w:rPr>
        <w:t>I.7  Companion data table — the 14 LML wells (authoritative)</w:t>
      </w:r>
    </w:p>
    <w:p>
      <w:r>
        <w:rPr>
          <w:b w:val="0"/>
          <w:i w:val="0"/>
        </w:rPr>
        <w:t>MO and 2022/Alt-1 MT from data/thresholds.json (county Strawman Table 3); LML = MO − 15; all-time min is the lowest spring level in the DWR record. The two rightmost columns are the crux of Pillar 2: the LML sits far above the MT (so the MT floor is a long way down) yet below the historical low (so it only trips in an unprecedented drought).</w:t>
      </w:r>
    </w:p>
    <w:tbl>
      <w:tblPr>
        <w:tblStyle w:val="LightGrid-Accent1"/>
        <w:tblW w:type="auto" w:w="0"/>
        <w:jc w:val="lef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7"/>
              </w:rPr>
              <w:t>Well</w:t>
            </w:r>
          </w:p>
        </w:tc>
        <w:tc>
          <w:tcPr>
            <w:tcW w:type="dxa" w:w="864"/>
          </w:tcPr>
          <w:p>
            <w:r/>
            <w:r>
              <w:rPr>
                <w:b/>
                <w:sz w:val="17"/>
              </w:rPr>
              <w:t>MA</w:t>
            </w:r>
          </w:p>
        </w:tc>
        <w:tc>
          <w:tcPr>
            <w:tcW w:type="dxa" w:w="864"/>
          </w:tcPr>
          <w:p>
            <w:r/>
            <w:r>
              <w:rPr>
                <w:b/>
                <w:sz w:val="17"/>
              </w:rPr>
              <w:t>MO</w:t>
            </w:r>
          </w:p>
        </w:tc>
        <w:tc>
          <w:tcPr>
            <w:tcW w:type="dxa" w:w="864"/>
          </w:tcPr>
          <w:p>
            <w:r/>
            <w:r>
              <w:rPr>
                <w:b/>
                <w:sz w:val="17"/>
              </w:rPr>
              <w:t>LML</w:t>
            </w:r>
          </w:p>
        </w:tc>
        <w:tc>
          <w:tcPr>
            <w:tcW w:type="dxa" w:w="864"/>
          </w:tcPr>
          <w:p>
            <w:r/>
            <w:r>
              <w:rPr>
                <w:b/>
                <w:sz w:val="17"/>
              </w:rPr>
              <w:t>2022 MT</w:t>
            </w:r>
          </w:p>
        </w:tc>
        <w:tc>
          <w:tcPr>
            <w:tcW w:type="dxa" w:w="864"/>
          </w:tcPr>
          <w:p>
            <w:r/>
            <w:r>
              <w:rPr>
                <w:b/>
                <w:sz w:val="17"/>
              </w:rPr>
              <w:t>all-time min</w:t>
            </w:r>
          </w:p>
        </w:tc>
        <w:tc>
          <w:tcPr>
            <w:tcW w:type="dxa" w:w="864"/>
          </w:tcPr>
          <w:p>
            <w:r/>
            <w:r>
              <w:rPr>
                <w:b/>
                <w:sz w:val="17"/>
              </w:rPr>
              <w:t>MO−MT</w:t>
            </w:r>
          </w:p>
        </w:tc>
        <w:tc>
          <w:tcPr>
            <w:tcW w:type="dxa" w:w="864"/>
          </w:tcPr>
          <w:p>
            <w:r/>
            <w:r>
              <w:rPr>
                <w:b/>
                <w:sz w:val="17"/>
              </w:rPr>
              <w:t>LML−MT</w:t>
            </w:r>
          </w:p>
        </w:tc>
        <w:tc>
          <w:tcPr>
            <w:tcW w:type="dxa" w:w="864"/>
          </w:tcPr>
          <w:p>
            <w:r/>
            <w:r>
              <w:rPr>
                <w:b/>
                <w:sz w:val="17"/>
              </w:rPr>
              <w:t>LML−min</w:t>
            </w:r>
          </w:p>
        </w:tc>
        <w:tc>
          <w:tcPr>
            <w:tcW w:type="dxa" w:w="864"/>
          </w:tcPr>
          <w:p>
            <w:r/>
            <w:r>
              <w:rPr>
                <w:b/>
                <w:sz w:val="17"/>
              </w:rPr>
              <w:t>purpose</w:t>
            </w:r>
          </w:p>
        </w:tc>
      </w:tr>
      <w:tr>
        <w:tc>
          <w:tcPr>
            <w:tcW w:type="dxa" w:w="864"/>
          </w:tcPr>
          <w:p>
            <w:r/>
            <w:r>
              <w:rPr>
                <w:sz w:val="17"/>
              </w:rPr>
              <w:t>09E001</w:t>
            </w:r>
          </w:p>
        </w:tc>
        <w:tc>
          <w:tcPr>
            <w:tcW w:type="dxa" w:w="864"/>
          </w:tcPr>
          <w:p>
            <w:r/>
            <w:r>
              <w:rPr>
                <w:sz w:val="17"/>
              </w:rPr>
              <w:t>North</w:t>
            </w:r>
          </w:p>
        </w:tc>
        <w:tc>
          <w:tcPr>
            <w:tcW w:type="dxa" w:w="864"/>
          </w:tcPr>
          <w:p>
            <w:r/>
            <w:r>
              <w:rPr>
                <w:sz w:val="17"/>
              </w:rPr>
              <w:t>135</w:t>
            </w:r>
          </w:p>
        </w:tc>
        <w:tc>
          <w:tcPr>
            <w:tcW w:type="dxa" w:w="864"/>
          </w:tcPr>
          <w:p>
            <w:r/>
            <w:r>
              <w:rPr>
                <w:sz w:val="17"/>
              </w:rPr>
              <w:t>120</w:t>
            </w:r>
          </w:p>
        </w:tc>
        <w:tc>
          <w:tcPr>
            <w:tcW w:type="dxa" w:w="864"/>
          </w:tcPr>
          <w:p>
            <w:r/>
            <w:r>
              <w:rPr>
                <w:sz w:val="17"/>
              </w:rPr>
              <w:t>68</w:t>
            </w:r>
          </w:p>
        </w:tc>
        <w:tc>
          <w:tcPr>
            <w:tcW w:type="dxa" w:w="864"/>
          </w:tcPr>
          <w:p>
            <w:r/>
            <w:r>
              <w:rPr>
                <w:sz w:val="17"/>
              </w:rPr>
              <w:t>123.4</w:t>
            </w:r>
          </w:p>
        </w:tc>
        <w:tc>
          <w:tcPr>
            <w:tcW w:type="dxa" w:w="864"/>
          </w:tcPr>
          <w:p>
            <w:r/>
            <w:r>
              <w:rPr>
                <w:sz w:val="17"/>
              </w:rPr>
              <w:t>67</w:t>
            </w:r>
          </w:p>
        </w:tc>
        <w:tc>
          <w:tcPr>
            <w:tcW w:type="dxa" w:w="864"/>
          </w:tcPr>
          <w:p>
            <w:r/>
            <w:r>
              <w:rPr>
                <w:sz w:val="17"/>
              </w:rPr>
              <w:t>52</w:t>
            </w:r>
          </w:p>
        </w:tc>
        <w:tc>
          <w:tcPr>
            <w:tcW w:type="dxa" w:w="864"/>
          </w:tcPr>
          <w:p>
            <w:r/>
            <w:r>
              <w:rPr>
                <w:sz w:val="17"/>
              </w:rPr>
              <w:t>-3</w:t>
            </w:r>
          </w:p>
        </w:tc>
        <w:tc>
          <w:tcPr>
            <w:tcW w:type="dxa" w:w="864"/>
          </w:tcPr>
          <w:p>
            <w:r/>
            <w:r>
              <w:rPr>
                <w:sz w:val="17"/>
              </w:rPr>
              <w:t>GDE/shallow</w:t>
            </w:r>
          </w:p>
        </w:tc>
      </w:tr>
      <w:tr>
        <w:tc>
          <w:tcPr>
            <w:tcW w:type="dxa" w:w="864"/>
          </w:tcPr>
          <w:p>
            <w:r/>
            <w:r>
              <w:rPr>
                <w:sz w:val="17"/>
              </w:rPr>
              <w:t>27L001</w:t>
            </w:r>
          </w:p>
        </w:tc>
        <w:tc>
          <w:tcPr>
            <w:tcW w:type="dxa" w:w="864"/>
          </w:tcPr>
          <w:p>
            <w:r/>
            <w:r>
              <w:rPr>
                <w:sz w:val="17"/>
              </w:rPr>
              <w:t>North</w:t>
            </w:r>
          </w:p>
        </w:tc>
        <w:tc>
          <w:tcPr>
            <w:tcW w:type="dxa" w:w="864"/>
          </w:tcPr>
          <w:p>
            <w:r/>
            <w:r>
              <w:rPr>
                <w:sz w:val="17"/>
              </w:rPr>
              <w:t>121</w:t>
            </w:r>
          </w:p>
        </w:tc>
        <w:tc>
          <w:tcPr>
            <w:tcW w:type="dxa" w:w="864"/>
          </w:tcPr>
          <w:p>
            <w:r/>
            <w:r>
              <w:rPr>
                <w:sz w:val="17"/>
              </w:rPr>
              <w:t>106</w:t>
            </w:r>
          </w:p>
        </w:tc>
        <w:tc>
          <w:tcPr>
            <w:tcW w:type="dxa" w:w="864"/>
          </w:tcPr>
          <w:p>
            <w:r/>
            <w:r>
              <w:rPr>
                <w:sz w:val="17"/>
              </w:rPr>
              <w:t>55</w:t>
            </w:r>
          </w:p>
        </w:tc>
        <w:tc>
          <w:tcPr>
            <w:tcW w:type="dxa" w:w="864"/>
          </w:tcPr>
          <w:p>
            <w:r/>
            <w:r>
              <w:rPr>
                <w:sz w:val="17"/>
              </w:rPr>
              <w:t>115.1</w:t>
            </w:r>
          </w:p>
        </w:tc>
        <w:tc>
          <w:tcPr>
            <w:tcW w:type="dxa" w:w="864"/>
          </w:tcPr>
          <w:p>
            <w:r/>
            <w:r>
              <w:rPr>
                <w:sz w:val="17"/>
              </w:rPr>
              <w:t>66</w:t>
            </w:r>
          </w:p>
        </w:tc>
        <w:tc>
          <w:tcPr>
            <w:tcW w:type="dxa" w:w="864"/>
          </w:tcPr>
          <w:p>
            <w:r/>
            <w:r>
              <w:rPr>
                <w:sz w:val="17"/>
              </w:rPr>
              <w:t>51</w:t>
            </w:r>
          </w:p>
        </w:tc>
        <w:tc>
          <w:tcPr>
            <w:tcW w:type="dxa" w:w="864"/>
          </w:tcPr>
          <w:p>
            <w:r/>
            <w:r>
              <w:rPr>
                <w:sz w:val="17"/>
              </w:rPr>
              <w:t>-9</w:t>
            </w:r>
          </w:p>
        </w:tc>
        <w:tc>
          <w:tcPr>
            <w:tcW w:type="dxa" w:w="864"/>
          </w:tcPr>
          <w:p>
            <w:r/>
            <w:r>
              <w:rPr>
                <w:sz w:val="17"/>
              </w:rPr>
              <w:t>GDE/shallow</w:t>
            </w:r>
          </w:p>
        </w:tc>
      </w:tr>
      <w:tr>
        <w:tc>
          <w:tcPr>
            <w:tcW w:type="dxa" w:w="864"/>
          </w:tcPr>
          <w:p>
            <w:r/>
            <w:r>
              <w:rPr>
                <w:sz w:val="17"/>
              </w:rPr>
              <w:t>36P001</w:t>
            </w:r>
          </w:p>
        </w:tc>
        <w:tc>
          <w:tcPr>
            <w:tcW w:type="dxa" w:w="864"/>
          </w:tcPr>
          <w:p>
            <w:r/>
            <w:r>
              <w:rPr>
                <w:sz w:val="17"/>
              </w:rPr>
              <w:t>North</w:t>
            </w:r>
          </w:p>
        </w:tc>
        <w:tc>
          <w:tcPr>
            <w:tcW w:type="dxa" w:w="864"/>
          </w:tcPr>
          <w:p>
            <w:r/>
            <w:r>
              <w:rPr>
                <w:sz w:val="17"/>
              </w:rPr>
              <w:t>108</w:t>
            </w:r>
          </w:p>
        </w:tc>
        <w:tc>
          <w:tcPr>
            <w:tcW w:type="dxa" w:w="864"/>
          </w:tcPr>
          <w:p>
            <w:r/>
            <w:r>
              <w:rPr>
                <w:sz w:val="17"/>
              </w:rPr>
              <w:t>93</w:t>
            </w:r>
          </w:p>
        </w:tc>
        <w:tc>
          <w:tcPr>
            <w:tcW w:type="dxa" w:w="864"/>
          </w:tcPr>
          <w:p>
            <w:r/>
            <w:r>
              <w:rPr>
                <w:sz w:val="17"/>
              </w:rPr>
              <w:t>45</w:t>
            </w:r>
          </w:p>
        </w:tc>
        <w:tc>
          <w:tcPr>
            <w:tcW w:type="dxa" w:w="864"/>
          </w:tcPr>
          <w:p>
            <w:r/>
            <w:r>
              <w:rPr>
                <w:sz w:val="17"/>
              </w:rPr>
              <w:t>103.5</w:t>
            </w:r>
          </w:p>
        </w:tc>
        <w:tc>
          <w:tcPr>
            <w:tcW w:type="dxa" w:w="864"/>
          </w:tcPr>
          <w:p>
            <w:r/>
            <w:r>
              <w:rPr>
                <w:sz w:val="17"/>
              </w:rPr>
              <w:t>63</w:t>
            </w:r>
          </w:p>
        </w:tc>
        <w:tc>
          <w:tcPr>
            <w:tcW w:type="dxa" w:w="864"/>
          </w:tcPr>
          <w:p>
            <w:r/>
            <w:r>
              <w:rPr>
                <w:sz w:val="17"/>
              </w:rPr>
              <w:t>48</w:t>
            </w:r>
          </w:p>
        </w:tc>
        <w:tc>
          <w:tcPr>
            <w:tcW w:type="dxa" w:w="864"/>
          </w:tcPr>
          <w:p>
            <w:r/>
            <w:r>
              <w:rPr>
                <w:sz w:val="17"/>
              </w:rPr>
              <w:t>-10</w:t>
            </w:r>
          </w:p>
        </w:tc>
        <w:tc>
          <w:tcPr>
            <w:tcW w:type="dxa" w:w="864"/>
          </w:tcPr>
          <w:p>
            <w:r/>
            <w:r>
              <w:rPr>
                <w:sz w:val="17"/>
              </w:rPr>
              <w:t>GDE/shallow</w:t>
            </w:r>
          </w:p>
        </w:tc>
      </w:tr>
      <w:tr>
        <w:tc>
          <w:tcPr>
            <w:tcW w:type="dxa" w:w="864"/>
          </w:tcPr>
          <w:p>
            <w:r/>
            <w:r>
              <w:rPr>
                <w:sz w:val="17"/>
              </w:rPr>
              <w:t>20K001</w:t>
            </w:r>
          </w:p>
        </w:tc>
        <w:tc>
          <w:tcPr>
            <w:tcW w:type="dxa" w:w="864"/>
          </w:tcPr>
          <w:p>
            <w:r/>
            <w:r>
              <w:rPr>
                <w:sz w:val="17"/>
              </w:rPr>
              <w:t>North</w:t>
            </w:r>
          </w:p>
        </w:tc>
        <w:tc>
          <w:tcPr>
            <w:tcW w:type="dxa" w:w="864"/>
          </w:tcPr>
          <w:p>
            <w:r/>
            <w:r>
              <w:rPr>
                <w:sz w:val="17"/>
              </w:rPr>
              <w:t>115</w:t>
            </w:r>
          </w:p>
        </w:tc>
        <w:tc>
          <w:tcPr>
            <w:tcW w:type="dxa" w:w="864"/>
          </w:tcPr>
          <w:p>
            <w:r/>
            <w:r>
              <w:rPr>
                <w:sz w:val="17"/>
              </w:rPr>
              <w:t>100</w:t>
            </w:r>
          </w:p>
        </w:tc>
        <w:tc>
          <w:tcPr>
            <w:tcW w:type="dxa" w:w="864"/>
          </w:tcPr>
          <w:p>
            <w:r/>
            <w:r>
              <w:rPr>
                <w:sz w:val="17"/>
              </w:rPr>
              <w:t>48</w:t>
            </w:r>
          </w:p>
        </w:tc>
        <w:tc>
          <w:tcPr>
            <w:tcW w:type="dxa" w:w="864"/>
          </w:tcPr>
          <w:p>
            <w:r/>
            <w:r>
              <w:rPr>
                <w:sz w:val="17"/>
              </w:rPr>
              <w:t>98.9</w:t>
            </w:r>
          </w:p>
        </w:tc>
        <w:tc>
          <w:tcPr>
            <w:tcW w:type="dxa" w:w="864"/>
          </w:tcPr>
          <w:p>
            <w:r/>
            <w:r>
              <w:rPr>
                <w:sz w:val="17"/>
              </w:rPr>
              <w:t>67</w:t>
            </w:r>
          </w:p>
        </w:tc>
        <w:tc>
          <w:tcPr>
            <w:tcW w:type="dxa" w:w="864"/>
          </w:tcPr>
          <w:p>
            <w:r/>
            <w:r>
              <w:rPr>
                <w:sz w:val="17"/>
              </w:rPr>
              <w:t>52</w:t>
            </w:r>
          </w:p>
        </w:tc>
        <w:tc>
          <w:tcPr>
            <w:tcW w:type="dxa" w:w="864"/>
          </w:tcPr>
          <w:p>
            <w:r/>
            <w:r>
              <w:rPr>
                <w:sz w:val="17"/>
              </w:rPr>
              <w:t>+1</w:t>
            </w:r>
          </w:p>
        </w:tc>
        <w:tc>
          <w:tcPr>
            <w:tcW w:type="dxa" w:w="864"/>
          </w:tcPr>
          <w:p>
            <w:r/>
            <w:r>
              <w:rPr>
                <w:sz w:val="17"/>
              </w:rPr>
              <w:t>GDE/shallow</w:t>
            </w:r>
          </w:p>
        </w:tc>
      </w:tr>
      <w:tr>
        <w:tc>
          <w:tcPr>
            <w:tcW w:type="dxa" w:w="864"/>
          </w:tcPr>
          <w:p>
            <w:r/>
            <w:r>
              <w:rPr>
                <w:sz w:val="17"/>
              </w:rPr>
              <w:t>32E001</w:t>
            </w:r>
          </w:p>
        </w:tc>
        <w:tc>
          <w:tcPr>
            <w:tcW w:type="dxa" w:w="864"/>
          </w:tcPr>
          <w:p>
            <w:r/>
            <w:r>
              <w:rPr>
                <w:sz w:val="17"/>
              </w:rPr>
              <w:t>South</w:t>
            </w:r>
          </w:p>
        </w:tc>
        <w:tc>
          <w:tcPr>
            <w:tcW w:type="dxa" w:w="864"/>
          </w:tcPr>
          <w:p>
            <w:r/>
            <w:r>
              <w:rPr>
                <w:sz w:val="17"/>
              </w:rPr>
              <w:t>91</w:t>
            </w:r>
          </w:p>
        </w:tc>
        <w:tc>
          <w:tcPr>
            <w:tcW w:type="dxa" w:w="864"/>
          </w:tcPr>
          <w:p>
            <w:r/>
            <w:r>
              <w:rPr>
                <w:sz w:val="17"/>
              </w:rPr>
              <w:t>76</w:t>
            </w:r>
          </w:p>
        </w:tc>
        <w:tc>
          <w:tcPr>
            <w:tcW w:type="dxa" w:w="864"/>
          </w:tcPr>
          <w:p>
            <w:r/>
            <w:r>
              <w:rPr>
                <w:sz w:val="17"/>
              </w:rPr>
              <w:t>30</w:t>
            </w:r>
          </w:p>
        </w:tc>
        <w:tc>
          <w:tcPr>
            <w:tcW w:type="dxa" w:w="864"/>
          </w:tcPr>
          <w:p>
            <w:r/>
            <w:r>
              <w:rPr>
                <w:sz w:val="17"/>
              </w:rPr>
              <w:t>94.0</w:t>
            </w:r>
          </w:p>
        </w:tc>
        <w:tc>
          <w:tcPr>
            <w:tcW w:type="dxa" w:w="864"/>
          </w:tcPr>
          <w:p>
            <w:r/>
            <w:r>
              <w:rPr>
                <w:sz w:val="17"/>
              </w:rPr>
              <w:t>61</w:t>
            </w:r>
          </w:p>
        </w:tc>
        <w:tc>
          <w:tcPr>
            <w:tcW w:type="dxa" w:w="864"/>
          </w:tcPr>
          <w:p>
            <w:r/>
            <w:r>
              <w:rPr>
                <w:sz w:val="17"/>
              </w:rPr>
              <w:t>46</w:t>
            </w:r>
          </w:p>
        </w:tc>
        <w:tc>
          <w:tcPr>
            <w:tcW w:type="dxa" w:w="864"/>
          </w:tcPr>
          <w:p>
            <w:r/>
            <w:r>
              <w:rPr>
                <w:sz w:val="17"/>
              </w:rPr>
              <w:t>-18</w:t>
            </w:r>
          </w:p>
        </w:tc>
        <w:tc>
          <w:tcPr>
            <w:tcW w:type="dxa" w:w="864"/>
          </w:tcPr>
          <w:p>
            <w:r/>
            <w:r>
              <w:rPr>
                <w:sz w:val="17"/>
              </w:rPr>
              <w:t>GDE/shallow</w:t>
            </w:r>
          </w:p>
        </w:tc>
      </w:tr>
      <w:tr>
        <w:tc>
          <w:tcPr>
            <w:tcW w:type="dxa" w:w="864"/>
          </w:tcPr>
          <w:p>
            <w:r/>
            <w:r>
              <w:rPr>
                <w:sz w:val="17"/>
              </w:rPr>
              <w:t>25C001</w:t>
            </w:r>
          </w:p>
        </w:tc>
        <w:tc>
          <w:tcPr>
            <w:tcW w:type="dxa" w:w="864"/>
          </w:tcPr>
          <w:p>
            <w:r/>
            <w:r>
              <w:rPr>
                <w:sz w:val="17"/>
              </w:rPr>
              <w:t>North</w:t>
            </w:r>
          </w:p>
        </w:tc>
        <w:tc>
          <w:tcPr>
            <w:tcW w:type="dxa" w:w="864"/>
          </w:tcPr>
          <w:p>
            <w:r/>
            <w:r>
              <w:rPr>
                <w:sz w:val="17"/>
              </w:rPr>
              <w:t>130</w:t>
            </w:r>
          </w:p>
        </w:tc>
        <w:tc>
          <w:tcPr>
            <w:tcW w:type="dxa" w:w="864"/>
          </w:tcPr>
          <w:p>
            <w:r/>
            <w:r>
              <w:rPr>
                <w:sz w:val="17"/>
              </w:rPr>
              <w:t>115</w:t>
            </w:r>
          </w:p>
        </w:tc>
        <w:tc>
          <w:tcPr>
            <w:tcW w:type="dxa" w:w="864"/>
          </w:tcPr>
          <w:p>
            <w:r/>
            <w:r>
              <w:rPr>
                <w:sz w:val="17"/>
              </w:rPr>
              <w:t>50</w:t>
            </w:r>
          </w:p>
        </w:tc>
        <w:tc>
          <w:tcPr>
            <w:tcW w:type="dxa" w:w="864"/>
          </w:tcPr>
          <w:p>
            <w:r/>
            <w:r>
              <w:rPr>
                <w:sz w:val="17"/>
              </w:rPr>
              <w:t>127.2</w:t>
            </w:r>
          </w:p>
        </w:tc>
        <w:tc>
          <w:tcPr>
            <w:tcW w:type="dxa" w:w="864"/>
          </w:tcPr>
          <w:p>
            <w:r/>
            <w:r>
              <w:rPr>
                <w:sz w:val="17"/>
              </w:rPr>
              <w:t>80</w:t>
            </w:r>
          </w:p>
        </w:tc>
        <w:tc>
          <w:tcPr>
            <w:tcW w:type="dxa" w:w="864"/>
          </w:tcPr>
          <w:p>
            <w:r/>
            <w:r>
              <w:rPr>
                <w:sz w:val="17"/>
              </w:rPr>
              <w:t>65</w:t>
            </w:r>
          </w:p>
        </w:tc>
        <w:tc>
          <w:tcPr>
            <w:tcW w:type="dxa" w:w="864"/>
          </w:tcPr>
          <w:p>
            <w:r/>
            <w:r>
              <w:rPr>
                <w:sz w:val="17"/>
              </w:rPr>
              <w:t>-12</w:t>
            </w:r>
          </w:p>
        </w:tc>
        <w:tc>
          <w:tcPr>
            <w:tcW w:type="dxa" w:w="864"/>
          </w:tcPr>
          <w:p>
            <w:r/>
            <w:r>
              <w:rPr>
                <w:sz w:val="17"/>
              </w:rPr>
              <w:t>Boundary</w:t>
            </w:r>
          </w:p>
        </w:tc>
      </w:tr>
      <w:tr>
        <w:tc>
          <w:tcPr>
            <w:tcW w:type="dxa" w:w="864"/>
          </w:tcPr>
          <w:p>
            <w:r/>
            <w:r>
              <w:rPr>
                <w:sz w:val="17"/>
              </w:rPr>
              <w:t>05M001</w:t>
            </w:r>
          </w:p>
        </w:tc>
        <w:tc>
          <w:tcPr>
            <w:tcW w:type="dxa" w:w="864"/>
          </w:tcPr>
          <w:p>
            <w:r/>
            <w:r>
              <w:rPr>
                <w:sz w:val="17"/>
              </w:rPr>
              <w:t>North</w:t>
            </w:r>
          </w:p>
        </w:tc>
        <w:tc>
          <w:tcPr>
            <w:tcW w:type="dxa" w:w="864"/>
          </w:tcPr>
          <w:p>
            <w:r/>
            <w:r>
              <w:rPr>
                <w:sz w:val="17"/>
              </w:rPr>
              <w:t>115</w:t>
            </w:r>
          </w:p>
        </w:tc>
        <w:tc>
          <w:tcPr>
            <w:tcW w:type="dxa" w:w="864"/>
          </w:tcPr>
          <w:p>
            <w:r/>
            <w:r>
              <w:rPr>
                <w:sz w:val="17"/>
              </w:rPr>
              <w:t>100</w:t>
            </w:r>
          </w:p>
        </w:tc>
        <w:tc>
          <w:tcPr>
            <w:tcW w:type="dxa" w:w="864"/>
          </w:tcPr>
          <w:p>
            <w:r/>
            <w:r>
              <w:rPr>
                <w:sz w:val="17"/>
              </w:rPr>
              <w:t>31</w:t>
            </w:r>
          </w:p>
        </w:tc>
        <w:tc>
          <w:tcPr>
            <w:tcW w:type="dxa" w:w="864"/>
          </w:tcPr>
          <w:p>
            <w:r/>
            <w:r>
              <w:rPr>
                <w:sz w:val="17"/>
              </w:rPr>
              <w:t>112.2</w:t>
            </w:r>
          </w:p>
        </w:tc>
        <w:tc>
          <w:tcPr>
            <w:tcW w:type="dxa" w:w="864"/>
          </w:tcPr>
          <w:p>
            <w:r/>
            <w:r>
              <w:rPr>
                <w:sz w:val="17"/>
              </w:rPr>
              <w:t>84</w:t>
            </w:r>
          </w:p>
        </w:tc>
        <w:tc>
          <w:tcPr>
            <w:tcW w:type="dxa" w:w="864"/>
          </w:tcPr>
          <w:p>
            <w:r/>
            <w:r>
              <w:rPr>
                <w:sz w:val="17"/>
              </w:rPr>
              <w:t>69</w:t>
            </w:r>
          </w:p>
        </w:tc>
        <w:tc>
          <w:tcPr>
            <w:tcW w:type="dxa" w:w="864"/>
          </w:tcPr>
          <w:p>
            <w:r/>
            <w:r>
              <w:rPr>
                <w:sz w:val="17"/>
              </w:rPr>
              <w:t>-12</w:t>
            </w:r>
          </w:p>
        </w:tc>
        <w:tc>
          <w:tcPr>
            <w:tcW w:type="dxa" w:w="864"/>
          </w:tcPr>
          <w:p>
            <w:r/>
            <w:r>
              <w:rPr>
                <w:sz w:val="17"/>
              </w:rPr>
              <w:t>Boundary</w:t>
            </w:r>
          </w:p>
        </w:tc>
      </w:tr>
      <w:tr>
        <w:tc>
          <w:tcPr>
            <w:tcW w:type="dxa" w:w="864"/>
          </w:tcPr>
          <w:p>
            <w:r/>
            <w:r>
              <w:rPr>
                <w:sz w:val="17"/>
              </w:rPr>
              <w:t>10B003</w:t>
            </w:r>
          </w:p>
        </w:tc>
        <w:tc>
          <w:tcPr>
            <w:tcW w:type="dxa" w:w="864"/>
          </w:tcPr>
          <w:p>
            <w:r/>
            <w:r>
              <w:rPr>
                <w:sz w:val="17"/>
              </w:rPr>
              <w:t>South</w:t>
            </w:r>
          </w:p>
        </w:tc>
        <w:tc>
          <w:tcPr>
            <w:tcW w:type="dxa" w:w="864"/>
          </w:tcPr>
          <w:p>
            <w:r/>
            <w:r>
              <w:rPr>
                <w:sz w:val="17"/>
              </w:rPr>
              <w:t>64</w:t>
            </w:r>
          </w:p>
        </w:tc>
        <w:tc>
          <w:tcPr>
            <w:tcW w:type="dxa" w:w="864"/>
          </w:tcPr>
          <w:p>
            <w:r/>
            <w:r>
              <w:rPr>
                <w:sz w:val="17"/>
              </w:rPr>
              <w:t>49</w:t>
            </w:r>
          </w:p>
        </w:tc>
        <w:tc>
          <w:tcPr>
            <w:tcW w:type="dxa" w:w="864"/>
          </w:tcPr>
          <w:p>
            <w:r/>
            <w:r>
              <w:rPr>
                <w:sz w:val="17"/>
              </w:rPr>
              <w:t>10</w:t>
            </w:r>
          </w:p>
        </w:tc>
        <w:tc>
          <w:tcPr>
            <w:tcW w:type="dxa" w:w="864"/>
          </w:tcPr>
          <w:p>
            <w:r/>
            <w:r>
              <w:rPr>
                <w:sz w:val="17"/>
              </w:rPr>
              <w:t>88.7</w:t>
            </w:r>
          </w:p>
        </w:tc>
        <w:tc>
          <w:tcPr>
            <w:tcW w:type="dxa" w:w="864"/>
          </w:tcPr>
          <w:p>
            <w:r/>
            <w:r>
              <w:rPr>
                <w:sz w:val="17"/>
              </w:rPr>
              <w:t>54</w:t>
            </w:r>
          </w:p>
        </w:tc>
        <w:tc>
          <w:tcPr>
            <w:tcW w:type="dxa" w:w="864"/>
          </w:tcPr>
          <w:p>
            <w:r/>
            <w:r>
              <w:rPr>
                <w:sz w:val="17"/>
              </w:rPr>
              <w:t>39</w:t>
            </w:r>
          </w:p>
        </w:tc>
        <w:tc>
          <w:tcPr>
            <w:tcW w:type="dxa" w:w="864"/>
          </w:tcPr>
          <w:p>
            <w:r/>
            <w:r>
              <w:rPr>
                <w:sz w:val="17"/>
              </w:rPr>
              <w:t>-40</w:t>
            </w:r>
          </w:p>
        </w:tc>
        <w:tc>
          <w:tcPr>
            <w:tcW w:type="dxa" w:w="864"/>
          </w:tcPr>
          <w:p>
            <w:r/>
            <w:r>
              <w:rPr>
                <w:sz w:val="17"/>
              </w:rPr>
              <w:t>Boundary</w:t>
            </w:r>
          </w:p>
        </w:tc>
      </w:tr>
      <w:tr>
        <w:tc>
          <w:tcPr>
            <w:tcW w:type="dxa" w:w="864"/>
          </w:tcPr>
          <w:p>
            <w:r/>
            <w:r>
              <w:rPr>
                <w:sz w:val="17"/>
              </w:rPr>
              <w:t>27D001</w:t>
            </w:r>
          </w:p>
        </w:tc>
        <w:tc>
          <w:tcPr>
            <w:tcW w:type="dxa" w:w="864"/>
          </w:tcPr>
          <w:p>
            <w:r/>
            <w:r>
              <w:rPr>
                <w:sz w:val="17"/>
              </w:rPr>
              <w:t>South</w:t>
            </w:r>
          </w:p>
        </w:tc>
        <w:tc>
          <w:tcPr>
            <w:tcW w:type="dxa" w:w="864"/>
          </w:tcPr>
          <w:p>
            <w:r/>
            <w:r>
              <w:rPr>
                <w:sz w:val="17"/>
              </w:rPr>
              <w:t>84</w:t>
            </w:r>
          </w:p>
        </w:tc>
        <w:tc>
          <w:tcPr>
            <w:tcW w:type="dxa" w:w="864"/>
          </w:tcPr>
          <w:p>
            <w:r/>
            <w:r>
              <w:rPr>
                <w:sz w:val="17"/>
              </w:rPr>
              <w:t>69</w:t>
            </w:r>
          </w:p>
        </w:tc>
        <w:tc>
          <w:tcPr>
            <w:tcW w:type="dxa" w:w="864"/>
          </w:tcPr>
          <w:p>
            <w:r/>
            <w:r>
              <w:rPr>
                <w:sz w:val="17"/>
              </w:rPr>
              <w:t>23</w:t>
            </w:r>
          </w:p>
        </w:tc>
        <w:tc>
          <w:tcPr>
            <w:tcW w:type="dxa" w:w="864"/>
          </w:tcPr>
          <w:p>
            <w:r/>
            <w:r>
              <w:rPr>
                <w:sz w:val="17"/>
              </w:rPr>
              <w:t>71.9</w:t>
            </w:r>
          </w:p>
        </w:tc>
        <w:tc>
          <w:tcPr>
            <w:tcW w:type="dxa" w:w="864"/>
          </w:tcPr>
          <w:p>
            <w:r/>
            <w:r>
              <w:rPr>
                <w:sz w:val="17"/>
              </w:rPr>
              <w:t>61</w:t>
            </w:r>
          </w:p>
        </w:tc>
        <w:tc>
          <w:tcPr>
            <w:tcW w:type="dxa" w:w="864"/>
          </w:tcPr>
          <w:p>
            <w:r/>
            <w:r>
              <w:rPr>
                <w:sz w:val="17"/>
              </w:rPr>
              <w:t>46</w:t>
            </w:r>
          </w:p>
        </w:tc>
        <w:tc>
          <w:tcPr>
            <w:tcW w:type="dxa" w:w="864"/>
          </w:tcPr>
          <w:p>
            <w:r/>
            <w:r>
              <w:rPr>
                <w:sz w:val="17"/>
              </w:rPr>
              <w:t>-3</w:t>
            </w:r>
          </w:p>
        </w:tc>
        <w:tc>
          <w:tcPr>
            <w:tcW w:type="dxa" w:w="864"/>
          </w:tcPr>
          <w:p>
            <w:r/>
            <w:r>
              <w:rPr>
                <w:sz w:val="17"/>
              </w:rPr>
              <w:t>Boundary</w:t>
            </w:r>
          </w:p>
        </w:tc>
      </w:tr>
      <w:tr>
        <w:tc>
          <w:tcPr>
            <w:tcW w:type="dxa" w:w="864"/>
          </w:tcPr>
          <w:p>
            <w:r/>
            <w:r>
              <w:rPr>
                <w:sz w:val="17"/>
              </w:rPr>
              <w:t>02H003</w:t>
            </w:r>
          </w:p>
        </w:tc>
        <w:tc>
          <w:tcPr>
            <w:tcW w:type="dxa" w:w="864"/>
          </w:tcPr>
          <w:p>
            <w:r/>
            <w:r>
              <w:rPr>
                <w:sz w:val="17"/>
              </w:rPr>
              <w:t>South</w:t>
            </w:r>
          </w:p>
        </w:tc>
        <w:tc>
          <w:tcPr>
            <w:tcW w:type="dxa" w:w="864"/>
          </w:tcPr>
          <w:p>
            <w:r/>
            <w:r>
              <w:rPr>
                <w:sz w:val="17"/>
              </w:rPr>
              <w:t>73</w:t>
            </w:r>
          </w:p>
        </w:tc>
        <w:tc>
          <w:tcPr>
            <w:tcW w:type="dxa" w:w="864"/>
          </w:tcPr>
          <w:p>
            <w:r/>
            <w:r>
              <w:rPr>
                <w:sz w:val="17"/>
              </w:rPr>
              <w:t>58</w:t>
            </w:r>
          </w:p>
        </w:tc>
        <w:tc>
          <w:tcPr>
            <w:tcW w:type="dxa" w:w="864"/>
          </w:tcPr>
          <w:p>
            <w:r/>
            <w:r>
              <w:rPr>
                <w:sz w:val="17"/>
              </w:rPr>
              <w:t>11</w:t>
            </w:r>
          </w:p>
        </w:tc>
        <w:tc>
          <w:tcPr>
            <w:tcW w:type="dxa" w:w="864"/>
          </w:tcPr>
          <w:p>
            <w:r/>
            <w:r>
              <w:rPr>
                <w:sz w:val="17"/>
              </w:rPr>
              <w:t>73.5</w:t>
            </w:r>
          </w:p>
        </w:tc>
        <w:tc>
          <w:tcPr>
            <w:tcW w:type="dxa" w:w="864"/>
          </w:tcPr>
          <w:p>
            <w:r/>
            <w:r>
              <w:rPr>
                <w:sz w:val="17"/>
              </w:rPr>
              <w:t>62</w:t>
            </w:r>
          </w:p>
        </w:tc>
        <w:tc>
          <w:tcPr>
            <w:tcW w:type="dxa" w:w="864"/>
          </w:tcPr>
          <w:p>
            <w:r/>
            <w:r>
              <w:rPr>
                <w:sz w:val="17"/>
              </w:rPr>
              <w:t>47</w:t>
            </w:r>
          </w:p>
        </w:tc>
        <w:tc>
          <w:tcPr>
            <w:tcW w:type="dxa" w:w="864"/>
          </w:tcPr>
          <w:p>
            <w:r/>
            <w:r>
              <w:rPr>
                <w:sz w:val="17"/>
              </w:rPr>
              <w:t>-16</w:t>
            </w:r>
          </w:p>
        </w:tc>
        <w:tc>
          <w:tcPr>
            <w:tcW w:type="dxa" w:w="864"/>
          </w:tcPr>
          <w:p>
            <w:r/>
            <w:r>
              <w:rPr>
                <w:sz w:val="17"/>
              </w:rPr>
              <w:t>Boundary</w:t>
            </w:r>
          </w:p>
        </w:tc>
      </w:tr>
      <w:tr>
        <w:tc>
          <w:tcPr>
            <w:tcW w:type="dxa" w:w="864"/>
          </w:tcPr>
          <w:p>
            <w:r/>
            <w:r>
              <w:rPr>
                <w:sz w:val="17"/>
              </w:rPr>
              <w:t>09G001</w:t>
            </w:r>
          </w:p>
        </w:tc>
        <w:tc>
          <w:tcPr>
            <w:tcW w:type="dxa" w:w="864"/>
          </w:tcPr>
          <w:p>
            <w:r/>
            <w:r>
              <w:rPr>
                <w:sz w:val="17"/>
              </w:rPr>
              <w:t>South</w:t>
            </w:r>
          </w:p>
        </w:tc>
        <w:tc>
          <w:tcPr>
            <w:tcW w:type="dxa" w:w="864"/>
          </w:tcPr>
          <w:p>
            <w:r/>
            <w:r>
              <w:rPr>
                <w:sz w:val="17"/>
              </w:rPr>
              <w:t>87</w:t>
            </w:r>
          </w:p>
        </w:tc>
        <w:tc>
          <w:tcPr>
            <w:tcW w:type="dxa" w:w="864"/>
          </w:tcPr>
          <w:p>
            <w:r/>
            <w:r>
              <w:rPr>
                <w:sz w:val="17"/>
              </w:rPr>
              <w:t>72</w:t>
            </w:r>
          </w:p>
        </w:tc>
        <w:tc>
          <w:tcPr>
            <w:tcW w:type="dxa" w:w="864"/>
          </w:tcPr>
          <w:p>
            <w:r/>
            <w:r>
              <w:rPr>
                <w:sz w:val="17"/>
              </w:rPr>
              <w:t>25</w:t>
            </w:r>
          </w:p>
        </w:tc>
        <w:tc>
          <w:tcPr>
            <w:tcW w:type="dxa" w:w="864"/>
          </w:tcPr>
          <w:p>
            <w:r/>
            <w:r>
              <w:rPr>
                <w:sz w:val="17"/>
              </w:rPr>
              <w:t>87.3</w:t>
            </w:r>
          </w:p>
        </w:tc>
        <w:tc>
          <w:tcPr>
            <w:tcW w:type="dxa" w:w="864"/>
          </w:tcPr>
          <w:p>
            <w:r/>
            <w:r>
              <w:rPr>
                <w:sz w:val="17"/>
              </w:rPr>
              <w:t>62</w:t>
            </w:r>
          </w:p>
        </w:tc>
        <w:tc>
          <w:tcPr>
            <w:tcW w:type="dxa" w:w="864"/>
          </w:tcPr>
          <w:p>
            <w:r/>
            <w:r>
              <w:rPr>
                <w:sz w:val="17"/>
              </w:rPr>
              <w:t>47</w:t>
            </w:r>
          </w:p>
        </w:tc>
        <w:tc>
          <w:tcPr>
            <w:tcW w:type="dxa" w:w="864"/>
          </w:tcPr>
          <w:p>
            <w:r/>
            <w:r>
              <w:rPr>
                <w:sz w:val="17"/>
              </w:rPr>
              <w:t>-15</w:t>
            </w:r>
          </w:p>
        </w:tc>
        <w:tc>
          <w:tcPr>
            <w:tcW w:type="dxa" w:w="864"/>
          </w:tcPr>
          <w:p>
            <w:r/>
            <w:r>
              <w:rPr>
                <w:sz w:val="17"/>
              </w:rPr>
              <w:t>Boundary</w:t>
            </w:r>
          </w:p>
        </w:tc>
      </w:tr>
      <w:tr>
        <w:tc>
          <w:tcPr>
            <w:tcW w:type="dxa" w:w="864"/>
          </w:tcPr>
          <w:p>
            <w:r/>
            <w:r>
              <w:rPr>
                <w:sz w:val="17"/>
              </w:rPr>
              <w:t>24C001</w:t>
            </w:r>
          </w:p>
        </w:tc>
        <w:tc>
          <w:tcPr>
            <w:tcW w:type="dxa" w:w="864"/>
          </w:tcPr>
          <w:p>
            <w:r/>
            <w:r>
              <w:rPr>
                <w:sz w:val="17"/>
              </w:rPr>
              <w:t>South</w:t>
            </w:r>
          </w:p>
        </w:tc>
        <w:tc>
          <w:tcPr>
            <w:tcW w:type="dxa" w:w="864"/>
          </w:tcPr>
          <w:p>
            <w:r/>
            <w:r>
              <w:rPr>
                <w:sz w:val="17"/>
              </w:rPr>
              <w:t>77</w:t>
            </w:r>
          </w:p>
        </w:tc>
        <w:tc>
          <w:tcPr>
            <w:tcW w:type="dxa" w:w="864"/>
          </w:tcPr>
          <w:p>
            <w:r/>
            <w:r>
              <w:rPr>
                <w:sz w:val="17"/>
              </w:rPr>
              <w:t>62</w:t>
            </w:r>
          </w:p>
        </w:tc>
        <w:tc>
          <w:tcPr>
            <w:tcW w:type="dxa" w:w="864"/>
          </w:tcPr>
          <w:p>
            <w:r/>
            <w:r>
              <w:rPr>
                <w:sz w:val="17"/>
              </w:rPr>
              <w:t>18</w:t>
            </w:r>
          </w:p>
        </w:tc>
        <w:tc>
          <w:tcPr>
            <w:tcW w:type="dxa" w:w="864"/>
          </w:tcPr>
          <w:p>
            <w:r/>
            <w:r>
              <w:rPr>
                <w:sz w:val="17"/>
              </w:rPr>
              <w:t>83.7</w:t>
            </w:r>
          </w:p>
        </w:tc>
        <w:tc>
          <w:tcPr>
            <w:tcW w:type="dxa" w:w="864"/>
          </w:tcPr>
          <w:p>
            <w:r/>
            <w:r>
              <w:rPr>
                <w:sz w:val="17"/>
              </w:rPr>
              <w:t>59</w:t>
            </w:r>
          </w:p>
        </w:tc>
        <w:tc>
          <w:tcPr>
            <w:tcW w:type="dxa" w:w="864"/>
          </w:tcPr>
          <w:p>
            <w:r/>
            <w:r>
              <w:rPr>
                <w:sz w:val="17"/>
              </w:rPr>
              <w:t>44</w:t>
            </w:r>
          </w:p>
        </w:tc>
        <w:tc>
          <w:tcPr>
            <w:tcW w:type="dxa" w:w="864"/>
          </w:tcPr>
          <w:p>
            <w:r/>
            <w:r>
              <w:rPr>
                <w:sz w:val="17"/>
              </w:rPr>
              <w:t>-22</w:t>
            </w:r>
          </w:p>
        </w:tc>
        <w:tc>
          <w:tcPr>
            <w:tcW w:type="dxa" w:w="864"/>
          </w:tcPr>
          <w:p>
            <w:r/>
            <w:r>
              <w:rPr>
                <w:sz w:val="17"/>
              </w:rPr>
              <w:t>Boundary</w:t>
            </w:r>
          </w:p>
        </w:tc>
      </w:tr>
      <w:tr>
        <w:tc>
          <w:tcPr>
            <w:tcW w:type="dxa" w:w="864"/>
          </w:tcPr>
          <w:p>
            <w:r/>
            <w:r>
              <w:rPr>
                <w:sz w:val="17"/>
              </w:rPr>
              <w:t>33L001</w:t>
            </w:r>
          </w:p>
        </w:tc>
        <w:tc>
          <w:tcPr>
            <w:tcW w:type="dxa" w:w="864"/>
          </w:tcPr>
          <w:p>
            <w:r/>
            <w:r>
              <w:rPr>
                <w:sz w:val="17"/>
              </w:rPr>
              <w:t>South</w:t>
            </w:r>
          </w:p>
        </w:tc>
        <w:tc>
          <w:tcPr>
            <w:tcW w:type="dxa" w:w="864"/>
          </w:tcPr>
          <w:p>
            <w:r/>
            <w:r>
              <w:rPr>
                <w:sz w:val="17"/>
              </w:rPr>
              <w:t>87</w:t>
            </w:r>
          </w:p>
        </w:tc>
        <w:tc>
          <w:tcPr>
            <w:tcW w:type="dxa" w:w="864"/>
          </w:tcPr>
          <w:p>
            <w:r/>
            <w:r>
              <w:rPr>
                <w:sz w:val="17"/>
              </w:rPr>
              <w:t>72</w:t>
            </w:r>
          </w:p>
        </w:tc>
        <w:tc>
          <w:tcPr>
            <w:tcW w:type="dxa" w:w="864"/>
          </w:tcPr>
          <w:p>
            <w:r/>
            <w:r>
              <w:rPr>
                <w:sz w:val="17"/>
              </w:rPr>
              <w:t>26</w:t>
            </w:r>
          </w:p>
        </w:tc>
        <w:tc>
          <w:tcPr>
            <w:tcW w:type="dxa" w:w="864"/>
          </w:tcPr>
          <w:p>
            <w:r/>
            <w:r>
              <w:rPr>
                <w:sz w:val="17"/>
              </w:rPr>
              <w:t>80.5</w:t>
            </w:r>
          </w:p>
        </w:tc>
        <w:tc>
          <w:tcPr>
            <w:tcW w:type="dxa" w:w="864"/>
          </w:tcPr>
          <w:p>
            <w:r/>
            <w:r>
              <w:rPr>
                <w:sz w:val="17"/>
              </w:rPr>
              <w:t>61</w:t>
            </w:r>
          </w:p>
        </w:tc>
        <w:tc>
          <w:tcPr>
            <w:tcW w:type="dxa" w:w="864"/>
          </w:tcPr>
          <w:p>
            <w:r/>
            <w:r>
              <w:rPr>
                <w:sz w:val="17"/>
              </w:rPr>
              <w:t>46</w:t>
            </w:r>
          </w:p>
        </w:tc>
        <w:tc>
          <w:tcPr>
            <w:tcW w:type="dxa" w:w="864"/>
          </w:tcPr>
          <w:p>
            <w:r/>
            <w:r>
              <w:rPr>
                <w:sz w:val="17"/>
              </w:rPr>
              <w:t>-8</w:t>
            </w:r>
          </w:p>
        </w:tc>
        <w:tc>
          <w:tcPr>
            <w:tcW w:type="dxa" w:w="864"/>
          </w:tcPr>
          <w:p>
            <w:r/>
            <w:r>
              <w:rPr>
                <w:sz w:val="17"/>
              </w:rPr>
              <w:t>Boundary</w:t>
            </w:r>
          </w:p>
        </w:tc>
      </w:tr>
      <w:tr>
        <w:tc>
          <w:tcPr>
            <w:tcW w:type="dxa" w:w="864"/>
          </w:tcPr>
          <w:p>
            <w:r/>
            <w:r>
              <w:rPr>
                <w:sz w:val="17"/>
              </w:rPr>
              <w:t>29P002</w:t>
            </w:r>
          </w:p>
        </w:tc>
        <w:tc>
          <w:tcPr>
            <w:tcW w:type="dxa" w:w="864"/>
          </w:tcPr>
          <w:p>
            <w:r/>
            <w:r>
              <w:rPr>
                <w:sz w:val="17"/>
              </w:rPr>
              <w:t>North</w:t>
            </w:r>
          </w:p>
        </w:tc>
        <w:tc>
          <w:tcPr>
            <w:tcW w:type="dxa" w:w="864"/>
          </w:tcPr>
          <w:p>
            <w:r/>
            <w:r>
              <w:rPr>
                <w:sz w:val="17"/>
              </w:rPr>
              <w:t>127</w:t>
            </w:r>
          </w:p>
        </w:tc>
        <w:tc>
          <w:tcPr>
            <w:tcW w:type="dxa" w:w="864"/>
          </w:tcPr>
          <w:p>
            <w:r/>
            <w:r>
              <w:rPr>
                <w:sz w:val="17"/>
              </w:rPr>
              <w:t>112</w:t>
            </w:r>
          </w:p>
        </w:tc>
        <w:tc>
          <w:tcPr>
            <w:tcW w:type="dxa" w:w="864"/>
          </w:tcPr>
          <w:p>
            <w:r/>
            <w:r>
              <w:rPr>
                <w:sz w:val="17"/>
              </w:rPr>
              <w:t>61</w:t>
            </w:r>
          </w:p>
        </w:tc>
        <w:tc>
          <w:tcPr>
            <w:tcW w:type="dxa" w:w="864"/>
          </w:tcPr>
          <w:p>
            <w:r/>
            <w:r>
              <w:rPr>
                <w:sz w:val="17"/>
              </w:rPr>
              <w:t>115.3</w:t>
            </w:r>
          </w:p>
        </w:tc>
        <w:tc>
          <w:tcPr>
            <w:tcW w:type="dxa" w:w="864"/>
          </w:tcPr>
          <w:p>
            <w:r/>
            <w:r>
              <w:rPr>
                <w:sz w:val="17"/>
              </w:rPr>
              <w:t>66</w:t>
            </w:r>
          </w:p>
        </w:tc>
        <w:tc>
          <w:tcPr>
            <w:tcW w:type="dxa" w:w="864"/>
          </w:tcPr>
          <w:p>
            <w:r/>
            <w:r>
              <w:rPr>
                <w:sz w:val="17"/>
              </w:rPr>
              <w:t>51</w:t>
            </w:r>
          </w:p>
        </w:tc>
        <w:tc>
          <w:tcPr>
            <w:tcW w:type="dxa" w:w="864"/>
          </w:tcPr>
          <w:p>
            <w:r/>
            <w:r>
              <w:rPr>
                <w:sz w:val="17"/>
              </w:rPr>
              <w:t>-3</w:t>
            </w:r>
          </w:p>
        </w:tc>
        <w:tc>
          <w:tcPr>
            <w:tcW w:type="dxa" w:w="864"/>
          </w:tcPr>
          <w:p>
            <w:r/>
            <w:r>
              <w:rPr>
                <w:sz w:val="17"/>
              </w:rPr>
              <w:t>High dom. count</w:t>
            </w:r>
          </w:p>
        </w:tc>
      </w:tr>
    </w:tbl>
    <w:p>
      <w:r>
        <w:rPr>
          <w:i/>
          <w:color w:val="555555"/>
          <w:sz w:val="16"/>
        </w:rPr>
        <w:t>Averages (14 wells): MO−MT = 65 ft; LML−MT = 50 ft; LML−min = -12 ft. The LML sits below the all-time low at 13 of 14 wells — only 20K001 is above (+1 ft), which is exactly the one well the dashboard shows ever tripping (2011). 10B003 uses the county Table 3 values, which the dashboard flags as internally divergent from its independent AGWL-mirror derivation.</w:t>
      </w:r>
    </w:p>
    <w:p>
      <w:pPr>
        <w:pStyle w:val="Heading2"/>
      </w:pPr>
      <w:r>
        <w:rPr>
          <w:color w:val="1F3864"/>
        </w:rPr>
        <w:t>I.8  Talking points by audience</w:t>
      </w:r>
    </w:p>
    <w:tbl>
      <w:tblPr>
        <w:tblStyle w:val="LightGrid-Accent1"/>
        <w:tblW w:type="auto" w:w="0"/>
        <w:jc w:val="left"/>
        <w:tblLook w:firstColumn="1" w:firstRow="1" w:lastColumn="0" w:lastRow="0" w:noHBand="0" w:noVBand="1" w:val="04A0"/>
      </w:tblPr>
      <w:tblGrid>
        <w:gridCol w:w="4320"/>
        <w:gridCol w:w="4320"/>
      </w:tblGrid>
      <w:tr>
        <w:tc>
          <w:tcPr>
            <w:tcW w:type="dxa" w:w="4320"/>
          </w:tcPr>
          <w:p>
            <w:r/>
            <w:r>
              <w:rPr>
                <w:b/>
                <w:sz w:val="17"/>
              </w:rPr>
              <w:t>Audience</w:t>
            </w:r>
          </w:p>
        </w:tc>
        <w:tc>
          <w:tcPr>
            <w:tcW w:type="dxa" w:w="4320"/>
          </w:tcPr>
          <w:p>
            <w:r/>
            <w:r>
              <w:rPr>
                <w:b/>
                <w:sz w:val="17"/>
              </w:rPr>
              <w:t>What lands</w:t>
            </w:r>
          </w:p>
        </w:tc>
      </w:tr>
      <w:tr>
        <w:tc>
          <w:tcPr>
            <w:tcW w:type="dxa" w:w="4320"/>
          </w:tcPr>
          <w:p>
            <w:r/>
            <w:r>
              <w:rPr>
                <w:sz w:val="17"/>
              </w:rPr>
              <w:t>Domestic-well owners</w:t>
            </w:r>
          </w:p>
        </w:tc>
        <w:tc>
          <w:tcPr>
            <w:tcW w:type="dxa" w:w="4320"/>
          </w:tcPr>
          <w:p>
            <w:r/>
            <w:r>
              <w:rPr>
                <w:sz w:val="17"/>
              </w:rPr>
              <w:t>Lead with the honest concession (I.5) + the automatic mitigation trigger (I.6). Alt 1 keeps every current protection and delivers help sooner. The 266→95 stat is a hypothetical at a level never reached — but answer it with mitigation, not by calling it “hypothetical.”</w:t>
            </w:r>
          </w:p>
        </w:tc>
      </w:tr>
      <w:tr>
        <w:tc>
          <w:tcPr>
            <w:tcW w:type="dxa" w:w="4320"/>
          </w:tcPr>
          <w:p>
            <w:r/>
            <w:r>
              <w:rPr>
                <w:sz w:val="17"/>
              </w:rPr>
              <w:t>Environmental / GDE reps</w:t>
            </w:r>
          </w:p>
        </w:tc>
        <w:tc>
          <w:tcPr>
            <w:tcW w:type="dxa" w:w="4320"/>
          </w:tcPr>
          <w:p>
            <w:r/>
            <w:r>
              <w:rPr>
                <w:sz w:val="17"/>
              </w:rPr>
              <w:t>Two things reach them: Alt 2 lowers the floor at GDE/boundary wells, and a genuine offer of ecological input (TNC data included) into LML levels/siting plus a shallow-monitoring commitment. Treat their “tie LMLs to ecological thresholds” ask as a term sheet, not an attack.</w:t>
            </w:r>
          </w:p>
        </w:tc>
      </w:tr>
      <w:tr>
        <w:tc>
          <w:tcPr>
            <w:tcW w:type="dxa" w:w="4320"/>
          </w:tcPr>
          <w:p>
            <w:r/>
            <w:r>
              <w:rPr>
                <w:sz w:val="17"/>
              </w:rPr>
              <w:t>Agricultural reps</w:t>
            </w:r>
          </w:p>
        </w:tc>
        <w:tc>
          <w:tcPr>
            <w:tcW w:type="dxa" w:w="4320"/>
          </w:tcPr>
          <w:p>
            <w:r/>
            <w:r>
              <w:rPr>
                <w:sz w:val="17"/>
              </w:rPr>
              <w:t>Already with you — spend no airtime. Every minute comforting ag in open session costs credibility with the other two blocs.</w:t>
            </w:r>
          </w:p>
        </w:tc>
      </w:tr>
      <w:tr>
        <w:tc>
          <w:tcPr>
            <w:tcW w:type="dxa" w:w="4320"/>
          </w:tcPr>
          <w:p>
            <w:r/>
            <w:r>
              <w:rPr>
                <w:sz w:val="17"/>
              </w:rPr>
              <w:t>Board / DWR-minded</w:t>
            </w:r>
          </w:p>
        </w:tc>
        <w:tc>
          <w:tcPr>
            <w:tcW w:type="dxa" w:w="4320"/>
          </w:tcPr>
          <w:p>
            <w:r/>
            <w:r>
              <w:rPr>
                <w:sz w:val="17"/>
              </w:rPr>
              <w:t>RCA is satisfied either way (keep verbatim). Add: a codified LML response protocol with deadlines and findings is exactly the adaptive-management machinery periodic reviews reward; a tighter Alt-2 floor turns an ordinary-drought exceedance into a compliance event feeding an undesirable-results finding.</w:t>
            </w:r>
          </w:p>
        </w:tc>
      </w:tr>
    </w:tbl>
    <w:p>
      <w:r>
        <w:rPr>
          <w:b/>
          <w:i w:val="0"/>
        </w:rPr>
        <w:t>One-line close:</w:t>
      </w:r>
    </w:p>
    <w:p>
      <w:r>
        <w:rPr>
          <w:b w:val="0"/>
          <w:i/>
          <w:color w:val="0F5B5B"/>
        </w:rPr>
        <w:t>“Alternative 1 keeps every protection we have, wires the basin's first real trigger to mitigation and projects, and builds in an evidence-armed path to raise the minimum threshold the moment a drought worse than any on record proves we need it — Alternative 2 moves a floor the basin has never reached, lowers it at eight wells including the GDEs, and adds no water.”</w:t>
      </w:r>
    </w:p>
    <w:p>
      <w:pPr>
        <w:jc w:val="center"/>
      </w:pPr>
      <w:r>
        <w:rPr>
          <w:color w:val="555555"/>
        </w:rPr>
        <w:t>— — —</w:t>
      </w:r>
    </w:p>
    <w:p>
      <w:pPr>
        <w:pStyle w:val="Heading1"/>
      </w:pPr>
      <w:r>
        <w:rPr>
          <w:color w:val="1F3864"/>
        </w:rPr>
        <w:t>PART II — Independent strategic review (red-team)</w:t>
      </w:r>
    </w:p>
    <w:p>
      <w:r>
        <w:rPr>
          <w:b w:val="0"/>
          <w:i/>
          <w:color w:val="555555"/>
          <w:sz w:val="19"/>
        </w:rPr>
        <w:t>Verbatim review from an independent pass (“Fable”), which read the SHAC packet and the project's own dashboard materials. Internal working document — not for circulation. It is the source of the Part I revisions and the Part III recommendation.</w:t>
      </w:r>
    </w:p>
    <w:p>
      <w:pPr>
        <w:pStyle w:val="Heading2"/>
      </w:pPr>
      <w:r>
        <w:rPr>
          <w:color w:val="1F3864"/>
        </w:rPr>
        <w:t>Verdict</w:t>
      </w:r>
    </w:p>
    <w:p>
      <w:r>
        <w:rPr>
          <w:b w:val="0"/>
          <w:i w:val="0"/>
        </w:rPr>
        <w:t>Not a winner as-is. This is a skillful brief for the already-persuaded. It will hold the ag bloc, harden the environmental bloc, and leave domestic-well owners unmoved — which likely produces either a losing SHAC vote or a split recommendation that reads to two Boards as "ag consultants defended the status quo." The case's core problem is that it sells restraint to a room whose emotional center of gravity is ~40 dry domestic wells in 2020–22.</w:t>
      </w:r>
    </w:p>
    <w:p>
      <w:r>
        <w:rPr>
          <w:b w:val="0"/>
          <w:i w:val="0"/>
        </w:rPr>
        <w:t>Single highest-leverage change: Promote the "optional strengthener" — the LML response ladder — from a footnote to the centerpiece, and give it at least one automatic consequence (LML exceedance auto-activates the domestic-well mitigation program; a second consecutive season auto-initiates a Board MT-amendment review with a public finding deadline). Then reframe the whole case from "keep the powder dry" (restraint) to "pre-committed escalation" (action). Alt 1 must be pitched as LMLs with teeth, or the "no teeth" critique wins by default — because as currently drafted, it's true.</w:t>
      </w:r>
    </w:p>
    <w:p>
      <w:r>
        <w:rPr>
          <w:b w:val="0"/>
          <w:i w:val="0"/>
        </w:rPr>
        <w:t>Second-most-urgent: Reconcile the internal contradiction between Pillar 2 ("the LML acts first") and Tovey's own dashboard readout showing the MO−15 LML would have triggered essentially never in the historical record — one outlier reading at 20K001M in 2011 (a Below Normal, non-drought water year), and zero triggers through the 2012–16 and 2020–22 droughts. That readout is live on a dashboard being shown to this committee. An opponent who juxtaposes "acts first" with "never would have fired, including in the drought that dried 40 wells" ends the argument in one slide. Get ahead of it.</w:t>
      </w:r>
    </w:p>
    <w:p>
      <w:pPr>
        <w:pStyle w:val="Heading2"/>
      </w:pPr>
      <w:r>
        <w:rPr>
          <w:color w:val="1F3864"/>
        </w:rPr>
        <w:t>1. Strategic soundness</w:t>
      </w:r>
    </w:p>
    <w:p>
      <w:r>
        <w:rPr>
          <w:b w:val="0"/>
          <w:i w:val="0"/>
        </w:rPr>
        <w:t>"Keep the powder dry" is the wrong frame for this room — possibly the worst available.</w:t>
      </w:r>
    </w:p>
    <w:p>
      <w:pPr>
        <w:pStyle w:val="ListBullet"/>
      </w:pPr>
      <w:r>
        <w:t xml:space="preserve"> It is a delay frame in a proceeding born of delay. SGMA exists because "wait for more data" failed. Domestic-well owners lived through 2020–22; environmental reps have Wyandotte Creek as proof a neighboring GSA didn't wait. To both blocs, "convert the MT question into a data-triggered decision made later" is not prudence — it is the pattern they organized to break.</w:t>
      </w:r>
    </w:p>
    <w:p>
      <w:pPr>
        <w:pStyle w:val="ListBullet"/>
      </w:pPr>
      <w:r>
        <w:t xml:space="preserve"> It concedes the opponent's premise. By framing the case as "when should we raise the MT?" rather than "what actually protects the basin?", you accept that raising the MT is the prize and merely argue about timing. You will lose a timing argument to people who think the time was 2022.</w:t>
      </w:r>
    </w:p>
    <w:p>
      <w:r>
        <w:rPr>
          <w:b w:val="0"/>
          <w:i w:val="0"/>
        </w:rPr>
        <w:t>The stronger overarching frame is already inside the case, buried in Pillars 1 and 3: manage to the objective, not the floor; attach actions to triggers, not numbers to maps. The basin is managed toward the MO, 62 ft above the MT; nobody intends to operate at either alternative's MT. So the honest strategic contrast is: Alt 2 moves a floor nobody plans to touch — and actually lowers it at 8 wells, including GDE and boundary areas. Alt 1 installs the basin's first trigger that is wired to something: investigation, mitigation, projects, and a pre-committed path to MT amendment. That is an action frame. It works for domestic owners (mitigation fires sooner), for enviros partially (the 8-well lowering is an attack on Alt 2 in their own currency), for ag (no premature regulatory event), and for DWR-minded board members (a documented response protocol is exactly what periodic reviews reward). "Keep the powder dry" works for none of them except ag, who are already yours.</w:t>
      </w:r>
    </w:p>
    <w:p>
      <w:r>
        <w:rPr>
          <w:b w:val="0"/>
          <w:i w:val="0"/>
        </w:rPr>
        <w:t>Pillar 4 has a symmetry problem. "Adaptive management means we can raise later" proves equally that Alt 2 is low-cost: if MTs are revisitable at any time, adopting the higher MT now and revising at the 5-year PE if it proves too tight is just as reversible. The asymmetry you actually believe — that MTs are a political one-way ratchet, nearly impossible to lower once raised — is real, but stating it confirms the enviro theory that Alt 1 is about avoiding commitment. Either make the irreversibility argument openly and own it ("a regulatory floor should be set with the best data because it cannot realistically be walked back — so set it through the ladder, on evidence"), or drop Pillar 4 to a supporting role. As written, it's a boomerang.</w:t>
      </w:r>
    </w:p>
    <w:p>
      <w:pPr>
        <w:pStyle w:val="Heading2"/>
      </w:pPr>
      <w:r>
        <w:rPr>
          <w:color w:val="1F3864"/>
        </w:rPr>
        <w:t>2. The weakest link</w:t>
      </w:r>
    </w:p>
    <w:p>
      <w:r>
        <w:rPr>
          <w:b w:val="0"/>
          <w:i w:val="0"/>
        </w:rPr>
        <w:t>Pillar 2 ("the LML acts first / more restrictive in practice") is the most attackable — on two independent grounds, both fatal as drafted.</w:t>
      </w:r>
    </w:p>
    <w:p>
      <w:r>
        <w:rPr>
          <w:b w:val="0"/>
          <w:i w:val="0"/>
        </w:rPr>
        <w:t>Ground one: category error. Comparing the LML's level (120 at 09E001M) to Alt 2's MT level (86) compares an advisory line to a legal line. Height is not protection; consequence is. The enviro rebuttal writes itself: "A 'Please Slow Down' yard sign posted before the speed-limit sign is not stricter enforcement." "More restrictive in practice" is precisely the claim the "no teeth" critique exists to demolish.</w:t>
      </w:r>
    </w:p>
    <w:p>
      <w:r>
        <w:rPr>
          <w:b w:val="0"/>
          <w:i w:val="0"/>
        </w:rPr>
        <w:t>Ground two: your own data. The dashboard's trigger-frequency readout — built by your side, verified against a standalone analysis, demonstrable live on the projector — shows the MO−15 LML tripping once in the entire historical record (a single 2011-10-13 outlier at 20K001M, non-drought) and never at MO−20. The MO in this basin is set at approximately the drought-period minimum, so MO−15 sits below every recorded drought low at most wells. Sharpest opposition framing: "This early-warning siren stayed silent through 2012–16 and 2020–22, when forty families' wells went dry. It is calibrated to miss the only harm it claims to catch."</w:t>
      </w:r>
    </w:p>
    <w:p>
      <w:r>
        <w:rPr>
          <w:b w:val="0"/>
          <w:i w:val="0"/>
        </w:rPr>
        <w:t>The defensible reframe exists but must be adopted deliberately: the LML fires only in unprecedented conditions — a drought worse than any on record — which is precisely when an MT-amendment decision is warranted, while ordinary-drought harm to domestic wells (which occurs at levels far above either alternative's MT) is addressed by the mitigation program the LML arms. That's coherent. "Acts first and more restrictive in practice" is not.</w:t>
      </w:r>
    </w:p>
    <w:p>
      <w:r>
        <w:rPr>
          <w:b w:val="0"/>
          <w:i w:val="0"/>
        </w:rPr>
        <w:t>Strongest counter to your strongest pillar (Pillar 1, "Alt 2 lowers the MT at 8 wells"). This is your best material, but it is one friendly amendment from vaporizing. A competent staffer or enviro rep will move, mid-meeting: "Amend Alternative 2 so no MT is ever set below its 2022 value — take the higher of the formula and the existing MT." That amendment costs them nothing, deletes Pillar 1 in one motion, and converts Alt 2 into a strictly-raising alternative. Pre-position the deeper argument now: the 8 lowered wells are a symptom of the real defect — a uniform basin-wide formula insensitive to local conditions (GDEs, boundaries, well density) that produces perverse results wherever local conditions deviate. A patched formula is still a formula. (Supporting color: the county's own Table 3 contains an internally inconsistent row at 10B003M — printed values that don't follow from its own printed inputs — which is what formula-driven, un-ground-truthed threshold setting produces.)</w:t>
      </w:r>
    </w:p>
    <w:p>
      <w:pPr>
        <w:pStyle w:val="Heading2"/>
      </w:pPr>
      <w:r>
        <w:rPr>
          <w:color w:val="1F3864"/>
        </w:rPr>
        <w:t>3. Messaging — kill, keep, add</w:t>
      </w:r>
    </w:p>
    <w:p>
      <w:pPr>
        <w:pStyle w:val="ListBullet"/>
      </w:pPr>
      <w:r>
        <w:t xml:space="preserve"> "Keep the powder dry" — KILL ON SIGHT. Militarized delay metaphor; the quote-against-us risk is catastrophic and alliterative: "Consultant urged Board to 'keep the powder dry' while wells went dry." A headline you hand-deliver to opponents.</w:t>
      </w:r>
    </w:p>
    <w:p>
      <w:pPr>
        <w:pStyle w:val="ListBullet"/>
      </w:pPr>
      <w:r>
        <w:t xml:space="preserve"> "More restrictive in practice" — KILL. Overreach that invites the no-teeth demolition. Say "reached first" / "the earlier signal," never "restrictive."</w:t>
      </w:r>
    </w:p>
    <w:p>
      <w:pPr>
        <w:pStyle w:val="ListBullet"/>
      </w:pPr>
      <w:r>
        <w:t xml:space="preserve"> "Adds no water" — REWORK. True but boomerangs (an LML adds even less). Use only constructively: "Only projects add water. Alt 1 is the alternative wired to launch them."</w:t>
      </w:r>
    </w:p>
    <w:p>
      <w:pPr>
        <w:pStyle w:val="ListBullet"/>
      </w:pPr>
      <w:r>
        <w:t xml:space="preserve"> "Before impacts are confirmed as significant and unreasonable" (quoting staff) — HANDLE WITH CARE. To ag/board lawyers, "premature" is a flaw; to enviros, acting before confirmed impacts is the definition of precaution. Reframe as misdirected action (wrong tool, wrong place), not too-early action. One room, one public record — you cannot audience-segment it.</w:t>
      </w:r>
    </w:p>
    <w:p>
      <w:pPr>
        <w:pStyle w:val="ListBullet"/>
      </w:pPr>
      <w:r>
        <w:t xml:space="preserve"> "Attaches an action to the trigger; Alt 2 attaches a number to a map" — KEEP; your best line. But only credible if the response ladder is adopted policy.</w:t>
      </w:r>
    </w:p>
    <w:p>
      <w:pPr>
        <w:pStyle w:val="ListBullet"/>
      </w:pPr>
      <w:r>
        <w:t xml:space="preserve"> "Raise the MT is a misnomer" — KEEP, sharpen: "Alt 2 doesn't raise the floor — it moves it, down at 8 wells, including where the GDEs are."</w:t>
      </w:r>
    </w:p>
    <w:p>
      <w:r>
        <w:rPr>
          <w:b w:val="0"/>
          <w:i w:val="0"/>
        </w:rPr>
        <w:t>Per-audience: Environmental reps — only two things reach them: the 8-well lowering in GDE/boundary areas, and an offer to inform LML placement/levels with ecological data (TNC included). Note the liability in your files: TNC produced per-well ecological thresholds for 9 wells that were later removed from the public dashboard. If that surfaces, it reads as suppressing the environmental analysis while campaigning against the environmental position. Re-engaging with TNC's data proactively converts the liability into the concession that buys credibility. Domestic-well owners — they care about going dry and being made whole, not threshold elevations. The 266→95 "it's hypothetical" rebuttal is technically correct and emotionally tone-deaf. Winning material: the ~40 wells that went dry in 2020–22 went dry at levels above both alternatives' MTs — no MT on either map keeps a shallow well wet; a fast mitigation program does, and Alt 1 triggers it earlier. Ag reps — already persuaded; spend zero airtime. DWR-minded members — keep the RCA point verbatim; add that a codified LML response protocol with deadlines/findings is exactly the adaptive-management machinery periodic reviews reward, whereas an MT exceedance under Alt 2's tighter floor becomes a compliance event feeding an undesirable-results determination.</w:t>
      </w:r>
    </w:p>
    <w:p>
      <w:pPr>
        <w:pStyle w:val="Heading2"/>
      </w:pPr>
      <w:r>
        <w:rPr>
          <w:color w:val="1F3864"/>
        </w:rPr>
        <w:t>4. Coalition math</w:t>
      </w:r>
    </w:p>
    <w:p>
      <w:r>
        <w:rPr>
          <w:b w:val="0"/>
          <w:i w:val="0"/>
        </w:rPr>
        <w:t>As built, this case moves no one who isn't already moved. The realistic path to a SHAC majority: hold ag, win domestic-well owners, neutralize (not convert) environmental reps.</w:t>
      </w:r>
    </w:p>
    <w:p>
      <w:pPr>
        <w:pStyle w:val="ListBullet"/>
      </w:pPr>
      <w:r>
        <w:t xml:space="preserve"> Domestic bloc — winnable, and the swing. The concession that peels them: an LML exceedance automatically activates domestic-well protections (mitigation enrollment, deepening/lowering assistance, interim supply) with funding identified. Without it, the 266→95 stat beats you with this bloc regardless of its hypothetical character, because it's the only number in the room that's about them.</w:t>
      </w:r>
    </w:p>
    <w:p>
      <w:pPr>
        <w:pStyle w:val="ListBullet"/>
      </w:pPr>
      <w:r>
        <w:t xml:space="preserve"> Environmental bloc — neutralize, don't chase. Achievable: move them to "Alt 2 as drafted is flawed" via (a) the 8-well GDE/boundary lowering and (b) a genuine offer — LML levels/siting at GDE wells informed by ecological data, with an eco-condition element in the ladder's investigation step. Their stated ask ("LMLs tied to ecological thresholds or demand reduction") is an opening, not just an attack to rebut. Honest caveat: TNC's thresholds target shallow completions the RMS network's deeper screens don't measure — a real gap that supports expanding shallow monitoring as part of Alt 1 (itself a concession enviros can claim).</w:t>
      </w:r>
    </w:p>
    <w:p>
      <w:pPr>
        <w:pStyle w:val="ListBullet"/>
      </w:pPr>
      <w:r>
        <w:t xml:space="preserve"> The response ladder as drafted is insufficient. "Board considers MT amendment" is the tell. It needs: (1) a mandatory public investigation report with a deadline; (2) at least one automatic consequence (mitigation activation); (3) a ratchet — a second consecutive season below the LML auto-initiates the MT-amendment process, Board required to adopt findings if it declines ("comply or explain"). That makes Alt 1 contain a pre-committed path to Alt 2's remedy, armed by data — at which point "no teeth" has no purchase.</w:t>
      </w:r>
    </w:p>
    <w:p>
      <w:pPr>
        <w:pStyle w:val="ListBullet"/>
      </w:pPr>
      <w:r>
        <w:t xml:space="preserve"> Process point: whoever proposes the synthesis owns the outcome. Occupy the middle first, or staff/enviros will propose "Alt 2 with a 2022 floor" and it reads as the reasonable middle while you defend a corner.</w:t>
      </w:r>
    </w:p>
    <w:p>
      <w:pPr>
        <w:pStyle w:val="Heading2"/>
      </w:pPr>
      <w:r>
        <w:rPr>
          <w:color w:val="1F3864"/>
        </w:rPr>
        <w:t>5. What's missing / what could sink us</w:t>
      </w:r>
    </w:p>
    <w:p>
      <w:pPr>
        <w:pStyle w:val="ListNumber"/>
      </w:pPr>
      <w:r>
        <w:t xml:space="preserve"> The dashboard is a double agent. Two features argue for the opposition: (a) the LML trigger-frequency readout ("never triggered, including through both droughts"); (b) the MT-sensitivity widget, whose documented behavior is dry-well counts decrease as the MT is raised — drivable live on the projector. Both need pre-briefed reconciliations before the meeting, not after the ambush.</w:t>
      </w:r>
    </w:p>
    <w:p>
      <w:pPr>
        <w:pStyle w:val="ListNumber"/>
      </w:pPr>
      <w:r>
        <w:t xml:space="preserve"> The max(2022, formula) amendment — the single most probable floor maneuver; prepare the "a patched formula is still a formula" fallback now.</w:t>
      </w:r>
    </w:p>
    <w:p>
      <w:pPr>
        <w:pStyle w:val="ListNumber"/>
      </w:pPr>
      <w:r>
        <w:t xml:space="preserve"> The coverage gap. Alt 1 puts LMLs at 14 of 29 wells; the other 15 get neither a raised MT nor an LML. "Protection for half the map" is a clean attack. Have the site-selection rationale ready or hold "expand LML coverage" as a costless concession.</w:t>
      </w:r>
    </w:p>
    <w:p>
      <w:pPr>
        <w:pStyle w:val="ListNumber"/>
      </w:pPr>
      <w:r>
        <w:t xml:space="preserve"> The storage deficit is defensively acknowledged when it should be offensively used. The cumulative deficit since ~2000 survives every rebuttal, and neither alternative's threshold touches it — only recharge and demand-side PMAs do. Concede it loudly, then ask which alternative launches the projects.</w:t>
      </w:r>
    </w:p>
    <w:p>
      <w:pPr>
        <w:pStyle w:val="ListNumber"/>
      </w:pPr>
      <w:r>
        <w:t xml:space="preserve"> The credibility concession: "No minimum threshold on either map kept those 40 wells wet in 2021 — they went dry at levels far above both alternatives' MTs. Anyone selling you a threshold as domestic-well protection is selling the wrong product. The product is a funded, fast mitigation program — and Alt 1 is wired to trigger it." Deliver once, early, plainly. (Must never shade into "the MT doesn't matter.")</w:t>
      </w:r>
    </w:p>
    <w:p>
      <w:pPr>
        <w:pStyle w:val="ListNumber"/>
      </w:pPr>
      <w:r>
        <w:t xml:space="preserve"> The "post-1980" qualifier. The 95 figure excludes pre-1980 wells; the true at-MT count is higher under both alternatives. Know the full number first.</w:t>
      </w:r>
    </w:p>
    <w:p>
      <w:pPr>
        <w:pStyle w:val="ListNumber"/>
      </w:pPr>
      <w:r>
        <w:t xml:space="preserve"> DWR trajectory risk. DWR's Sac Valley posture trends toward scrutiny of MTs that tolerate domestic-well dewatering; a board member may fear standing pat invites a 2027 review comment. Pre-empt with the codified ladder, said explicitly.</w:t>
      </w:r>
    </w:p>
    <w:p>
      <w:pPr>
        <w:pStyle w:val="ListNumber"/>
      </w:pPr>
      <w:r>
        <w:t xml:space="preserve"> PMA credibility. Pillar 3 rests on the projects/mitigation being real — named, funded, with leads and timelines. If aspirational, "LMLs trigger PMAs earlier" collapses into the same lines-on-maps critique. Audit before the meeting.</w:t>
      </w:r>
    </w:p>
    <w:p>
      <w:pPr>
        <w:pStyle w:val="ListNumber"/>
      </w:pPr>
      <w:r>
        <w:t xml:space="preserve"> The recommended hybrid — "Alt 1-plus": LMLs at expanded coverage, ecological input on LML levels at GDE wells, the codified ladder with automatic mitigation activation and the MT-review ratchet — and, if needed to close, a targeted MT raise at the small number of high-domestic-density wells where the 266→95 delta actually concentrates (run that distribution; it is almost certainly a handful of wells). Establish what actually drove Wyandotte Creek's raise so the precedent can be distinguished on facts.</w:t>
      </w:r>
    </w:p>
    <w:p>
      <w:pPr>
        <w:pStyle w:val="Heading2"/>
      </w:pPr>
      <w:r>
        <w:rPr>
          <w:color w:val="1F3864"/>
        </w:rPr>
        <w:t>Punch-list (ranked by impact)</w:t>
      </w:r>
    </w:p>
    <w:p>
      <w:pPr>
        <w:pStyle w:val="ListNumber"/>
      </w:pPr>
      <w:r>
        <w:t xml:space="preserve"> Codify the response ladder into the alternative itself — mandatory investigation report with deadline, automatic mitigation activation on LML exceedance, auto-initiated MT-amendment review after two consecutive seasons with comply-or-explain findings. The difference between a losing and winnable case.</w:t>
      </w:r>
    </w:p>
    <w:p>
      <w:pPr>
        <w:pStyle w:val="ListNumber"/>
      </w:pPr>
      <w:r>
        <w:t xml:space="preserve"> Retire "keep the powder dry," "more restrictive in practice," and standalone "adds no water." Master frame: "manage to the objective, not the floor / actions on triggers, not numbers on maps."</w:t>
      </w:r>
    </w:p>
    <w:p>
      <w:pPr>
        <w:pStyle w:val="ListNumber"/>
      </w:pPr>
      <w:r>
        <w:t xml:space="preserve"> Reconcile Pillar 2 with the dashboard's zero-historical-trigger readout; adopt "fires only in unprecedented conditions, which is exactly when the MT decision belongs on the agenda," paired with the mitigation program as the ordinary-drought tool.</w:t>
      </w:r>
    </w:p>
    <w:p>
      <w:pPr>
        <w:pStyle w:val="ListNumber"/>
      </w:pPr>
      <w:r>
        <w:t xml:space="preserve"> Prepare the fallback to the max(2022, formula) amendment — shift Pillar 1's weight to "uniform formula insensitive to local conditions."</w:t>
      </w:r>
    </w:p>
    <w:p>
      <w:pPr>
        <w:pStyle w:val="ListNumber"/>
      </w:pPr>
      <w:r>
        <w:t xml:space="preserve"> Deliver the honest concession — 40 wells went dry above both MTs — early and once.</w:t>
      </w:r>
    </w:p>
    <w:p>
      <w:pPr>
        <w:pStyle w:val="ListNumber"/>
      </w:pPr>
      <w:r>
        <w:t xml:space="preserve"> Make the enviro offer concrete: ecological input (TNC included) into LML levels/siting plus a shallow-monitoring commitment; pre-empt the TNC-removal optics by re-engaging first.</w:t>
      </w:r>
    </w:p>
    <w:p>
      <w:pPr>
        <w:pStyle w:val="ListNumber"/>
      </w:pPr>
      <w:r>
        <w:t xml:space="preserve"> Answer the coverage gap at the 15 no-LML wells — rationale in hand, expansion held as a concession chip.</w:t>
      </w:r>
    </w:p>
    <w:p>
      <w:pPr>
        <w:pStyle w:val="ListNumber"/>
      </w:pPr>
      <w:r>
        <w:t xml:space="preserve"> Run the numbers you'll be hit with: the well-level distribution of the 266→95 delta, the pre-1980-inclusive at-MT count, the Wyandotte Creek context.</w:t>
      </w:r>
    </w:p>
    <w:p>
      <w:pPr>
        <w:pStyle w:val="ListNumber"/>
      </w:pPr>
      <w:r>
        <w:t xml:space="preserve"> Audit PMA readiness — names, funding, leads, timelines — before resting Pillar 3 on it.</w:t>
      </w:r>
    </w:p>
    <w:p>
      <w:r>
        <w:rPr>
          <w:b w:val="0"/>
          <w:i w:val="0"/>
        </w:rPr>
        <w:t>10. Repurpose the storage deficit from acknowledged vulnerability to the closing argument for the action frame.</w:t>
      </w:r>
    </w:p>
    <w:p>
      <w:pPr>
        <w:jc w:val="center"/>
      </w:pPr>
      <w:r>
        <w:rPr>
          <w:color w:val="555555"/>
        </w:rPr>
        <w:t>— — —</w:t>
      </w:r>
    </w:p>
    <w:p>
      <w:pPr>
        <w:pStyle w:val="Heading1"/>
      </w:pPr>
      <w:r>
        <w:rPr>
          <w:color w:val="1F3864"/>
        </w:rPr>
        <w:t>PART III — Recommended position: “Alt-1-plus”</w:t>
      </w:r>
    </w:p>
    <w:p>
      <w:r>
        <w:rPr>
          <w:b w:val="0"/>
          <w:i w:val="0"/>
        </w:rPr>
        <w:t>The review's conclusion is that pure Alternative 1 loses this room, but a strengthened version wins it. The recommended package — for your decision, not a foregone conclusion:</w:t>
      </w:r>
    </w:p>
    <w:p>
      <w:pPr>
        <w:pStyle w:val="ListNumber"/>
      </w:pPr>
      <w:r>
        <w:rPr>
          <w:b/>
        </w:rPr>
        <w:t xml:space="preserve">Ladder with teeth. </w:t>
      </w:r>
      <w:r>
        <w:t xml:space="preserve"> Codify the response ladder (I.6) into the alternative, with the automatic mitigation trigger and the comply-or-explain MT-amendment ratchet. This is the single highest-leverage change.</w:t>
      </w:r>
    </w:p>
    <w:p>
      <w:pPr>
        <w:pStyle w:val="ListNumber"/>
      </w:pPr>
      <w:r>
        <w:rPr>
          <w:b/>
        </w:rPr>
        <w:t xml:space="preserve">Genuine enviro offer. </w:t>
      </w:r>
      <w:r>
        <w:t xml:space="preserve"> Offer ecological input into LML levels/siting at GDE wells (TNC data included) and a shallow-monitoring commitment. Their stated ask is an opening; take it.</w:t>
      </w:r>
    </w:p>
    <w:p>
      <w:pPr>
        <w:pStyle w:val="ListNumber"/>
      </w:pPr>
      <w:r>
        <w:rPr>
          <w:b/>
        </w:rPr>
        <w:t xml:space="preserve">Coverage. </w:t>
      </w:r>
      <w:r>
        <w:t xml:space="preserve"> Hold “expand LMLs beyond 14 wells” as a low-cost concession chip for the 15 currently-uncovered wells.</w:t>
      </w:r>
    </w:p>
    <w:p>
      <w:pPr>
        <w:pStyle w:val="ListNumber"/>
      </w:pPr>
      <w:r>
        <w:rPr>
          <w:b/>
        </w:rPr>
        <w:t xml:space="preserve">Targeted, not uniform. </w:t>
      </w:r>
      <w:r>
        <w:t xml:space="preserve"> If needed to close, concede a targeted MT raise at the handful of high-domestic-density wells where the 266→95 delta actually concentrates — not a basin-wide formula. Run that distribution first (Part IV).</w:t>
      </w:r>
    </w:p>
    <w:p>
      <w:r>
        <w:rPr>
          <w:b w:val="0"/>
          <w:i w:val="0"/>
        </w:rPr>
        <w:t>Occupy the middle first. Whoever proposes the synthesis owns the outcome. If you stand on pure Alt 1, staff or an enviro rep will propose “Alt 2 with a 2022 floor” and it will read as the reasonable middle while you defend a corner.</w:t>
      </w:r>
    </w:p>
    <w:p>
      <w:r>
        <w:rPr>
          <w:b/>
          <w:i w:val="0"/>
        </w:rPr>
        <w:t>Decisions that are yours to make:</w:t>
      </w:r>
    </w:p>
    <w:p>
      <w:pPr>
        <w:pStyle w:val="ListBullet"/>
      </w:pPr>
      <w:r>
        <w:t xml:space="preserve"> Pure Alt 1, or Alt-1-plus with the ratchet and a possible targeted MT raise? (Determines whether you are defending a position or authoring the compromise.)</w:t>
      </w:r>
    </w:p>
    <w:p>
      <w:pPr>
        <w:pStyle w:val="ListBullet"/>
      </w:pPr>
      <w:r>
        <w:t xml:space="preserve"> How far to go on the automatic mitigation consequence — how binding, and is funding identified?</w:t>
      </w:r>
    </w:p>
    <w:p>
      <w:pPr>
        <w:pStyle w:val="ListBullet"/>
      </w:pPr>
      <w:r>
        <w:t xml:space="preserve"> How to handle the TNC ecological-threshold data (see Part IV) — a live strategic and optics question.</w:t>
      </w:r>
    </w:p>
    <w:p>
      <w:pPr>
        <w:jc w:val="center"/>
      </w:pPr>
      <w:r>
        <w:rPr>
          <w:color w:val="555555"/>
        </w:rPr>
        <w:t>— — —</w:t>
      </w:r>
    </w:p>
    <w:p>
      <w:pPr>
        <w:pStyle w:val="Heading1"/>
      </w:pPr>
      <w:r>
        <w:rPr>
          <w:color w:val="1F3864"/>
        </w:rPr>
        <w:t>PART IV — Open items and pre-meeting homework</w:t>
      </w:r>
    </w:p>
    <w:p>
      <w:pPr>
        <w:pStyle w:val="ListBullet"/>
      </w:pPr>
      <w:r>
        <w:rPr>
          <w:b/>
        </w:rPr>
        <w:t xml:space="preserve">Run the 266→95 well-level distribution. </w:t>
      </w:r>
      <w:r>
        <w:t xml:space="preserve"> Alt 2's post-1980 domestic-wells-at-risk drop (266→95, Table 4) is almost certainly concentrated in a few high-density polygons. Mapping it shows whether a targeted MT raise captures most of the benefit — and scopes the Alt-1-plus concession. I can run this from the domestic-well + threshold data in the repo.</w:t>
      </w:r>
    </w:p>
    <w:p>
      <w:pPr>
        <w:pStyle w:val="ListBullet"/>
      </w:pPr>
      <w:r>
        <w:rPr>
          <w:b/>
        </w:rPr>
        <w:t xml:space="preserve">Pre-1980 count. </w:t>
      </w:r>
      <w:r>
        <w:t xml:space="preserve"> The 95 figure excludes pre-1980 wells; know the pre-1980-inclusive at-MT count for both alternatives before an opponent introduces it.</w:t>
      </w:r>
    </w:p>
    <w:p>
      <w:pPr>
        <w:pStyle w:val="ListBullet"/>
      </w:pPr>
      <w:r>
        <w:rPr>
          <w:b/>
        </w:rPr>
        <w:t xml:space="preserve">PMA reality check. </w:t>
      </w:r>
      <w:r>
        <w:t xml:space="preserve"> Pillar 3 rests on the PMAs being real — named, funded, with leads and timelines. Audit the portfolio; if it is aspirational, “LMLs trigger PMAs earlier” collapses into the same lines-on-maps critique aimed at Alt 2.</w:t>
      </w:r>
    </w:p>
    <w:p>
      <w:pPr>
        <w:pStyle w:val="ListBullet"/>
      </w:pPr>
      <w:r>
        <w:rPr>
          <w:b/>
        </w:rPr>
        <w:t xml:space="preserve">Wyandotte context. </w:t>
      </w:r>
      <w:r>
        <w:t xml:space="preserve"> Establish what actually drove Wyandotte Creek GSA's MT raise (DWR pressure? a different dry-well record?) so the precedent the enviro bloc cites can be distinguished on facts.</w:t>
      </w:r>
    </w:p>
    <w:p>
      <w:pPr>
        <w:pStyle w:val="ListBullet"/>
      </w:pPr>
      <w:r>
        <w:rPr>
          <w:b/>
        </w:rPr>
        <w:t xml:space="preserve">Dashboard is a double agent. </w:t>
      </w:r>
      <w:r>
        <w:t xml:space="preserve"> The dashboard's LML trigger-frequency readout and the MT-sensitivity widget can both be driven live to argue the opponent's side. Pre-brief the reconciliations (Pillar 2 framing for the first; “levels have never been at the MT” context for the second) before the meeting.</w:t>
      </w:r>
    </w:p>
    <w:p>
      <w:pPr>
        <w:pStyle w:val="ListBullet"/>
      </w:pPr>
      <w:r>
        <w:rPr>
          <w:b/>
        </w:rPr>
        <w:t xml:space="preserve">TNC overlay — optics decision. </w:t>
      </w:r>
      <w:r>
        <w:t xml:space="preserve"> The TNC ecological-threshold overlay was added and later removed from the dashboard (commit e1ce2f3). If that surfaces during a debate in which you argue against the environmental position, it can read as suppressing the environmental analysis. Decision: whether to re-engage TNC's data proactively — which also doubles as the enviro concession in Part III. This is a strategic/optics call for you.</w:t>
      </w:r>
    </w:p>
    <w:p>
      <w:r>
        <w:rPr>
          <w:i/>
          <w:color w:val="555555"/>
          <w:sz w:val="17"/>
        </w:rPr>
        <w:t>Working notes — advocacy analysis for Alternative 1. Threshold figures regenerate from data/thresholds.json; packet page refs are to the 7/22/2026 SHAC packet. Part II is an internal red-team review. No dashboard or data files were modified in producing this note.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