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1BDE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bookmarkStart w:id="0" w:name="_GoBack"/>
      <w:r>
        <w:rPr>
          <w:rStyle w:val="11"/>
          <w:rFonts w:hint="default" w:ascii="Calibri" w:hAnsi="Calibri" w:cs="Calibri"/>
          <w:b/>
          <w:sz w:val="28"/>
          <w:szCs w:val="28"/>
        </w:rPr>
        <w:t>AGV Protocol – Tokenomics Document</w:t>
      </w:r>
    </w:p>
    <w:bookmarkEnd w:id="0"/>
    <w:p w14:paraId="2B8C279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11"/>
          <w:rFonts w:hint="default" w:ascii="Calibri" w:hAnsi="Calibri" w:cs="Calibri"/>
          <w:sz w:val="21"/>
          <w:szCs w:val="21"/>
        </w:rPr>
        <w:t>Version 2.0 – Binance / VC Ready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Style w:val="11"/>
          <w:rFonts w:hint="default" w:ascii="Calibri" w:hAnsi="Calibri" w:cs="Calibri"/>
          <w:sz w:val="21"/>
          <w:szCs w:val="21"/>
        </w:rPr>
        <w:t>Date:</w:t>
      </w:r>
      <w:r>
        <w:rPr>
          <w:rFonts w:hint="default" w:ascii="Calibri" w:hAnsi="Calibri" w:cs="Calibri"/>
          <w:sz w:val="21"/>
          <w:szCs w:val="21"/>
        </w:rPr>
        <w:t xml:space="preserve"> August 2025</w:t>
      </w:r>
    </w:p>
    <w:p w14:paraId="5F03D0B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1. Overview</w:t>
      </w:r>
    </w:p>
    <w:p w14:paraId="2DAE739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11"/>
          <w:rFonts w:hint="default" w:ascii="Calibri" w:hAnsi="Calibri" w:cs="Calibri"/>
          <w:sz w:val="21"/>
          <w:szCs w:val="21"/>
        </w:rPr>
        <w:t>AGV Protocol</w:t>
      </w:r>
      <w:r>
        <w:rPr>
          <w:rFonts w:hint="default" w:ascii="Calibri" w:hAnsi="Calibri" w:cs="Calibri"/>
          <w:sz w:val="21"/>
          <w:szCs w:val="21"/>
        </w:rPr>
        <w:t xml:space="preserve"> is a Real-World Asset (RWA) + DePIN tokenization framework that maps orchard yield, solar power, and compute nodes into verifiable on-chain assets.</w:t>
      </w:r>
      <w:r>
        <w:rPr>
          <w:rFonts w:hint="default" w:ascii="Calibri" w:hAnsi="Calibri" w:cs="Calibri"/>
          <w:sz w:val="21"/>
          <w:szCs w:val="21"/>
        </w:rPr>
        <w:br w:type="textWrapping"/>
      </w:r>
      <w:r>
        <w:rPr>
          <w:rFonts w:hint="default" w:ascii="Calibri" w:hAnsi="Calibri" w:cs="Calibri"/>
          <w:sz w:val="21"/>
          <w:szCs w:val="21"/>
        </w:rPr>
        <w:t xml:space="preserve">The Tokenomics is designed for </w:t>
      </w:r>
      <w:r>
        <w:rPr>
          <w:rStyle w:val="11"/>
          <w:rFonts w:hint="default" w:ascii="Calibri" w:hAnsi="Calibri" w:cs="Calibri"/>
          <w:sz w:val="21"/>
          <w:szCs w:val="21"/>
        </w:rPr>
        <w:t>capital efficiency, market stability, and long-term yield alignment</w:t>
      </w:r>
      <w:r>
        <w:rPr>
          <w:rFonts w:hint="default" w:ascii="Calibri" w:hAnsi="Calibri" w:cs="Calibri"/>
          <w:sz w:val="21"/>
          <w:szCs w:val="21"/>
        </w:rPr>
        <w:t>, ensuring balanced interests between asset providers, DAO governance, investors, and ecosystem growth.</w:t>
      </w:r>
    </w:p>
    <w:p w14:paraId="3321CC5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2. Token Model</w:t>
      </w:r>
    </w:p>
    <w:p w14:paraId="1431BA0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b/>
          <w:sz w:val="21"/>
          <w:szCs w:val="21"/>
        </w:rPr>
        <w:t>Core Tokens</w:t>
      </w:r>
    </w:p>
    <w:p w14:paraId="0635470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GVT (Green Value Token)</w:t>
      </w:r>
    </w:p>
    <w:p w14:paraId="02CE8B1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Deterministic supply: </w:t>
      </w:r>
      <w:r>
        <w:rPr>
          <w:rStyle w:val="11"/>
          <w:rFonts w:hint="default" w:ascii="Calibri" w:hAnsi="Calibri" w:cs="Calibri"/>
          <w:sz w:val="21"/>
          <w:szCs w:val="21"/>
        </w:rPr>
        <w:t>1,000,000,000 GVT</w:t>
      </w:r>
    </w:p>
    <w:p w14:paraId="4AB2993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Minted via </w:t>
      </w:r>
      <w:r>
        <w:rPr>
          <w:rStyle w:val="12"/>
          <w:rFonts w:hint="default" w:ascii="Calibri" w:hAnsi="Calibri" w:cs="Calibri"/>
          <w:sz w:val="21"/>
          <w:szCs w:val="21"/>
        </w:rPr>
        <w:t>Power-to-Mint</w:t>
      </w:r>
      <w:r>
        <w:rPr>
          <w:rFonts w:hint="default" w:ascii="Calibri" w:hAnsi="Calibri" w:cs="Calibri"/>
          <w:sz w:val="21"/>
          <w:szCs w:val="21"/>
        </w:rPr>
        <w:t xml:space="preserve"> after IoT/oracle-confirmed productivity (kWh, kg harvest, compute cycles).</w:t>
      </w:r>
    </w:p>
    <w:p w14:paraId="0CBE366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Utility: DAO governance, staking, asset adoption, DeFi integration, yield redemption.</w:t>
      </w:r>
    </w:p>
    <w:p w14:paraId="710415A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rGGP (Rewarded Green Garden Points)</w:t>
      </w:r>
    </w:p>
    <w:p w14:paraId="7FA8D8A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Variable supply (DAO budgeted annual emissions).</w:t>
      </w:r>
    </w:p>
    <w:p w14:paraId="5A7CB6E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Earned via NFT adoption, staking, participation in DAO missions.</w:t>
      </w:r>
    </w:p>
    <w:p w14:paraId="32E904C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Convertible into GVT or used for ecosystem benefits (discounts, early access).</w:t>
      </w:r>
    </w:p>
    <w:p w14:paraId="3FB298B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3. Supply &amp; Allocation (GVT)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945"/>
        <w:gridCol w:w="4988"/>
      </w:tblGrid>
      <w:tr w14:paraId="49B604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59325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6248E8E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Allocation</w:t>
            </w:r>
          </w:p>
        </w:tc>
        <w:tc>
          <w:tcPr>
            <w:tcW w:w="0" w:type="auto"/>
            <w:shd w:val="clear"/>
            <w:vAlign w:val="center"/>
          </w:tcPr>
          <w:p w14:paraId="20AC545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Vesting / Lock-up</w:t>
            </w:r>
          </w:p>
        </w:tc>
      </w:tr>
      <w:tr w14:paraId="28F2C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CB170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Public Sale (NFT &amp; Builder LP)</w:t>
            </w:r>
          </w:p>
        </w:tc>
        <w:tc>
          <w:tcPr>
            <w:tcW w:w="0" w:type="auto"/>
            <w:shd w:val="clear"/>
            <w:vAlign w:val="center"/>
          </w:tcPr>
          <w:p w14:paraId="501B339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20%</w:t>
            </w:r>
          </w:p>
        </w:tc>
        <w:tc>
          <w:tcPr>
            <w:tcW w:w="0" w:type="auto"/>
            <w:shd w:val="clear"/>
            <w:vAlign w:val="center"/>
          </w:tcPr>
          <w:p w14:paraId="7F1B802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Unlock upon listing, subject to DEX/CEX liquidity schedule</w:t>
            </w:r>
          </w:p>
        </w:tc>
      </w:tr>
      <w:tr w14:paraId="1C13CF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1C42D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DAO Treasury</w:t>
            </w:r>
          </w:p>
        </w:tc>
        <w:tc>
          <w:tcPr>
            <w:tcW w:w="0" w:type="auto"/>
            <w:shd w:val="clear"/>
            <w:vAlign w:val="center"/>
          </w:tcPr>
          <w:p w14:paraId="0D506E6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25%</w:t>
            </w:r>
          </w:p>
        </w:tc>
        <w:tc>
          <w:tcPr>
            <w:tcW w:w="0" w:type="auto"/>
            <w:shd w:val="clear"/>
            <w:vAlign w:val="center"/>
          </w:tcPr>
          <w:p w14:paraId="1F78A39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Locked, DAO-governed disbursement</w:t>
            </w:r>
          </w:p>
        </w:tc>
      </w:tr>
      <w:tr w14:paraId="4FC9ED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95C16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Asset Provider Rewards</w:t>
            </w:r>
          </w:p>
        </w:tc>
        <w:tc>
          <w:tcPr>
            <w:tcW w:w="0" w:type="auto"/>
            <w:shd w:val="clear"/>
            <w:vAlign w:val="center"/>
          </w:tcPr>
          <w:p w14:paraId="55FC0BA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20%</w:t>
            </w:r>
          </w:p>
        </w:tc>
        <w:tc>
          <w:tcPr>
            <w:tcW w:w="0" w:type="auto"/>
            <w:shd w:val="clear"/>
            <w:vAlign w:val="center"/>
          </w:tcPr>
          <w:p w14:paraId="2799F77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Vested over verified yield period</w:t>
            </w:r>
          </w:p>
        </w:tc>
      </w:tr>
      <w:tr w14:paraId="28064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994BC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Team &amp; Advisors</w:t>
            </w:r>
          </w:p>
        </w:tc>
        <w:tc>
          <w:tcPr>
            <w:tcW w:w="0" w:type="auto"/>
            <w:shd w:val="clear"/>
            <w:vAlign w:val="center"/>
          </w:tcPr>
          <w:p w14:paraId="2CC595E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15%</w:t>
            </w:r>
          </w:p>
        </w:tc>
        <w:tc>
          <w:tcPr>
            <w:tcW w:w="0" w:type="auto"/>
            <w:shd w:val="clear"/>
            <w:vAlign w:val="center"/>
          </w:tcPr>
          <w:p w14:paraId="0DD72BE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4-year vesting, 1-year cliff</w:t>
            </w:r>
          </w:p>
        </w:tc>
      </w:tr>
      <w:tr w14:paraId="7112F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A645B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Strategic Partnerships</w:t>
            </w:r>
          </w:p>
        </w:tc>
        <w:tc>
          <w:tcPr>
            <w:tcW w:w="0" w:type="auto"/>
            <w:shd w:val="clear"/>
            <w:vAlign w:val="center"/>
          </w:tcPr>
          <w:p w14:paraId="4E1B10F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10%</w:t>
            </w:r>
          </w:p>
        </w:tc>
        <w:tc>
          <w:tcPr>
            <w:tcW w:w="0" w:type="auto"/>
            <w:shd w:val="clear"/>
            <w:vAlign w:val="center"/>
          </w:tcPr>
          <w:p w14:paraId="0149BD7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6–18 month vesting</w:t>
            </w:r>
          </w:p>
        </w:tc>
      </w:tr>
      <w:tr w14:paraId="27933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881F9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Liquidity Provision &amp; Market Making</w:t>
            </w:r>
          </w:p>
        </w:tc>
        <w:tc>
          <w:tcPr>
            <w:tcW w:w="0" w:type="auto"/>
            <w:shd w:val="clear"/>
            <w:vAlign w:val="center"/>
          </w:tcPr>
          <w:p w14:paraId="350ACBC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10%</w:t>
            </w:r>
          </w:p>
        </w:tc>
        <w:tc>
          <w:tcPr>
            <w:tcW w:w="0" w:type="auto"/>
            <w:shd w:val="clear"/>
            <w:vAlign w:val="center"/>
          </w:tcPr>
          <w:p w14:paraId="568974F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Locked until MM contracts executed</w:t>
            </w:r>
          </w:p>
        </w:tc>
      </w:tr>
    </w:tbl>
    <w:p w14:paraId="3A78DBD1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</w:p>
    <w:p w14:paraId="0EF878A0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sz w:val="22"/>
          <w:szCs w:val="22"/>
        </w:rPr>
      </w:pPr>
    </w:p>
    <w:p w14:paraId="5E054DE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4. Supply &amp; Emission (rGGP)</w:t>
      </w:r>
    </w:p>
    <w:p w14:paraId="45EDD59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Soft Annual Cap:</w:t>
      </w:r>
      <w:r>
        <w:rPr>
          <w:rFonts w:hint="default" w:ascii="Calibri" w:hAnsi="Calibri" w:cs="Calibri"/>
          <w:sz w:val="21"/>
          <w:szCs w:val="21"/>
        </w:rPr>
        <w:t xml:space="preserve"> Determined by DAO budget vote</w:t>
      </w:r>
    </w:p>
    <w:p w14:paraId="25C45DA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Emission Curve:</w:t>
      </w:r>
      <w:r>
        <w:rPr>
          <w:rFonts w:hint="default" w:ascii="Calibri" w:hAnsi="Calibri" w:cs="Calibri"/>
          <w:sz w:val="21"/>
          <w:szCs w:val="21"/>
        </w:rPr>
        <w:t xml:space="preserve"> Decreases over 5 years to control inflation</w:t>
      </w:r>
    </w:p>
    <w:p w14:paraId="29F8C63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Distribution Pathways:</w:t>
      </w:r>
      <w:r>
        <w:rPr>
          <w:rFonts w:hint="default" w:ascii="Calibri" w:hAnsi="Calibri" w:cs="Calibri"/>
          <w:sz w:val="21"/>
          <w:szCs w:val="21"/>
        </w:rPr>
        <w:t xml:space="preserve"> Airdrops, staking rewards, ecosystem bounties</w:t>
      </w:r>
    </w:p>
    <w:p w14:paraId="7320DD8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11"/>
          <w:rFonts w:hint="default" w:ascii="Calibri" w:hAnsi="Calibri" w:cs="Calibri"/>
          <w:sz w:val="21"/>
          <w:szCs w:val="21"/>
        </w:rPr>
        <w:t>Source Pool:</w:t>
      </w:r>
      <w:r>
        <w:rPr>
          <w:rFonts w:hint="default" w:ascii="Calibri" w:hAnsi="Calibri" w:cs="Calibri"/>
          <w:sz w:val="21"/>
          <w:szCs w:val="21"/>
        </w:rPr>
        <w:t xml:space="preserve"> DAO Treasury (media/marketing allocations come from here)</w:t>
      </w:r>
    </w:p>
    <w:p w14:paraId="07C94FB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5. Utility &amp; Value Accrual</w:t>
      </w:r>
    </w:p>
    <w:p w14:paraId="72D4CFA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Stake GVT → Earn verified rewards</w:t>
      </w:r>
    </w:p>
    <w:p w14:paraId="0BB33B9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Adopt NFTs → Unlock yield rights</w:t>
      </w:r>
    </w:p>
    <w:p w14:paraId="38D284A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DeFi Integration:</w:t>
      </w:r>
      <w:r>
        <w:rPr>
          <w:rFonts w:hint="default" w:ascii="Calibri" w:hAnsi="Calibri" w:cs="Calibri"/>
          <w:sz w:val="21"/>
          <w:szCs w:val="21"/>
        </w:rPr>
        <w:t xml:space="preserve"> LP farming, lending collateral, cross-chain swaps</w:t>
      </w:r>
    </w:p>
    <w:p w14:paraId="5D82DD9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Governance:</w:t>
      </w:r>
      <w:r>
        <w:rPr>
          <w:rFonts w:hint="default" w:ascii="Calibri" w:hAnsi="Calibri" w:cs="Calibri"/>
          <w:sz w:val="21"/>
          <w:szCs w:val="21"/>
        </w:rPr>
        <w:t xml:space="preserve"> DAO voting, proposal rights, treasury control</w:t>
      </w:r>
    </w:p>
    <w:p w14:paraId="1E28CB6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11"/>
          <w:rFonts w:hint="default" w:ascii="Calibri" w:hAnsi="Calibri" w:cs="Calibri"/>
          <w:sz w:val="21"/>
          <w:szCs w:val="21"/>
        </w:rPr>
        <w:t>Revenue-Backed Buybacks:</w:t>
      </w:r>
      <w:r>
        <w:rPr>
          <w:rFonts w:hint="default" w:ascii="Calibri" w:hAnsi="Calibri" w:cs="Calibri"/>
          <w:sz w:val="21"/>
          <w:szCs w:val="21"/>
        </w:rPr>
        <w:t xml:space="preserve"> Treasury uses yield revenue to buy GVT in open market</w:t>
      </w:r>
    </w:p>
    <w:p w14:paraId="072FC34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6. Liquidity &amp; Stability Strategy</w:t>
      </w:r>
    </w:p>
    <w:p w14:paraId="7052A1B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Initial Liquidity:</w:t>
      </w:r>
      <w:r>
        <w:rPr>
          <w:rFonts w:hint="default" w:ascii="Calibri" w:hAnsi="Calibri" w:cs="Calibri"/>
          <w:sz w:val="21"/>
          <w:szCs w:val="21"/>
        </w:rPr>
        <w:t xml:space="preserve"> Allocated from Liquidity Provision &amp; MM pool</w:t>
      </w:r>
    </w:p>
    <w:p w14:paraId="599E31C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Market Maker Agreements:</w:t>
      </w:r>
      <w:r>
        <w:rPr>
          <w:rFonts w:hint="default" w:ascii="Calibri" w:hAnsi="Calibri" w:cs="Calibri"/>
          <w:sz w:val="21"/>
          <w:szCs w:val="21"/>
        </w:rPr>
        <w:t xml:space="preserve"> 12–24 month contracts with Tier-1 MM firms</w:t>
      </w:r>
    </w:p>
    <w:p w14:paraId="135B406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11"/>
          <w:rFonts w:hint="default" w:ascii="Calibri" w:hAnsi="Calibri" w:cs="Calibri"/>
          <w:sz w:val="21"/>
          <w:szCs w:val="21"/>
        </w:rPr>
        <w:t>Price Stability Mechanisms:</w:t>
      </w:r>
      <w:r>
        <w:rPr>
          <w:rFonts w:hint="default" w:ascii="Calibri" w:hAnsi="Calibri" w:cs="Calibri"/>
          <w:sz w:val="21"/>
          <w:szCs w:val="21"/>
        </w:rPr>
        <w:t xml:space="preserve"> DAO-controlled buyback &amp; burn, liquidity wall maintenance, emission throttling</w:t>
      </w:r>
    </w:p>
    <w:p w14:paraId="5C75792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7. Governance &amp; Safeguards</w:t>
      </w:r>
    </w:p>
    <w:p w14:paraId="495281E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Multi-sig Treasury:</w:t>
      </w:r>
      <w:r>
        <w:rPr>
          <w:rFonts w:hint="default" w:ascii="Calibri" w:hAnsi="Calibri" w:cs="Calibri"/>
          <w:sz w:val="21"/>
          <w:szCs w:val="21"/>
        </w:rPr>
        <w:t xml:space="preserve"> DAO Elected signers (min. 3 of 5)</w:t>
      </w:r>
    </w:p>
    <w:p w14:paraId="7A9EE7F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Smart Contract Audit:</w:t>
      </w:r>
      <w:r>
        <w:rPr>
          <w:rFonts w:hint="default" w:ascii="Calibri" w:hAnsi="Calibri" w:cs="Calibri"/>
          <w:sz w:val="21"/>
          <w:szCs w:val="21"/>
        </w:rPr>
        <w:t xml:space="preserve"> Pre-listing audits by Tier-1 firm (CertiK, PeckShield)</w:t>
      </w:r>
    </w:p>
    <w:p w14:paraId="659206E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Anti-Rug Protocol:</w:t>
      </w:r>
      <w:r>
        <w:rPr>
          <w:rFonts w:hint="default" w:ascii="Calibri" w:hAnsi="Calibri" w:cs="Calibri"/>
          <w:sz w:val="21"/>
          <w:szCs w:val="21"/>
        </w:rPr>
        <w:t xml:space="preserve"> All GVT allocations subject to DAO release approvals</w:t>
      </w:r>
    </w:p>
    <w:p w14:paraId="774D05E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11"/>
          <w:rFonts w:hint="default" w:ascii="Calibri" w:hAnsi="Calibri" w:cs="Calibri"/>
          <w:sz w:val="21"/>
          <w:szCs w:val="21"/>
        </w:rPr>
        <w:t>Transparent On-chain Reporting:</w:t>
      </w:r>
      <w:r>
        <w:rPr>
          <w:rFonts w:hint="default" w:ascii="Calibri" w:hAnsi="Calibri" w:cs="Calibri"/>
          <w:sz w:val="21"/>
          <w:szCs w:val="21"/>
        </w:rPr>
        <w:t xml:space="preserve"> Real-time yield, token flows, DAO spending</w:t>
      </w:r>
    </w:p>
    <w:p w14:paraId="58BDD3B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8. Market Benchmarking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4"/>
        <w:gridCol w:w="1077"/>
        <w:gridCol w:w="1973"/>
        <w:gridCol w:w="2752"/>
        <w:gridCol w:w="902"/>
      </w:tblGrid>
      <w:tr w14:paraId="0FF0F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7EBC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Project</w:t>
            </w:r>
          </w:p>
        </w:tc>
        <w:tc>
          <w:tcPr>
            <w:tcW w:w="0" w:type="auto"/>
            <w:shd w:val="clear"/>
            <w:vAlign w:val="center"/>
          </w:tcPr>
          <w:p w14:paraId="65FC94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Market Cap</w:t>
            </w:r>
          </w:p>
        </w:tc>
        <w:tc>
          <w:tcPr>
            <w:tcW w:w="0" w:type="auto"/>
            <w:shd w:val="clear"/>
            <w:vAlign w:val="center"/>
          </w:tcPr>
          <w:p w14:paraId="236030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FDV</w:t>
            </w:r>
          </w:p>
        </w:tc>
        <w:tc>
          <w:tcPr>
            <w:tcW w:w="0" w:type="auto"/>
            <w:shd w:val="clear"/>
            <w:vAlign w:val="center"/>
          </w:tcPr>
          <w:p w14:paraId="360C03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Utility</w:t>
            </w:r>
          </w:p>
        </w:tc>
        <w:tc>
          <w:tcPr>
            <w:tcW w:w="0" w:type="auto"/>
            <w:shd w:val="clear"/>
            <w:vAlign w:val="center"/>
          </w:tcPr>
          <w:p w14:paraId="612182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b/>
                <w:bCs/>
                <w:kern w:val="0"/>
                <w:sz w:val="21"/>
                <w:szCs w:val="21"/>
                <w:lang w:val="en-US" w:eastAsia="zh-CN" w:bidi="ar"/>
              </w:rPr>
              <w:t>Similarity</w:t>
            </w:r>
          </w:p>
        </w:tc>
      </w:tr>
      <w:tr w14:paraId="7A35D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1F86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Ondo Finance</w:t>
            </w:r>
          </w:p>
        </w:tc>
        <w:tc>
          <w:tcPr>
            <w:tcW w:w="0" w:type="auto"/>
            <w:shd w:val="clear"/>
            <w:vAlign w:val="center"/>
          </w:tcPr>
          <w:p w14:paraId="02AE5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$1.2B</w:t>
            </w:r>
          </w:p>
        </w:tc>
        <w:tc>
          <w:tcPr>
            <w:tcW w:w="0" w:type="auto"/>
            <w:shd w:val="clear"/>
            <w:vAlign w:val="center"/>
          </w:tcPr>
          <w:p w14:paraId="1D029B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$1.6B</w:t>
            </w:r>
          </w:p>
        </w:tc>
        <w:tc>
          <w:tcPr>
            <w:tcW w:w="0" w:type="auto"/>
            <w:shd w:val="clear"/>
            <w:vAlign w:val="center"/>
          </w:tcPr>
          <w:p w14:paraId="5769E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RWA fixed income</w:t>
            </w:r>
          </w:p>
        </w:tc>
        <w:tc>
          <w:tcPr>
            <w:tcW w:w="0" w:type="auto"/>
            <w:shd w:val="clear"/>
            <w:vAlign w:val="center"/>
          </w:tcPr>
          <w:p w14:paraId="549D5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Partial</w:t>
            </w:r>
          </w:p>
        </w:tc>
      </w:tr>
      <w:tr w14:paraId="0CDB1B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4D6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Power Ledger</w:t>
            </w:r>
          </w:p>
        </w:tc>
        <w:tc>
          <w:tcPr>
            <w:tcW w:w="0" w:type="auto"/>
            <w:shd w:val="clear"/>
            <w:vAlign w:val="center"/>
          </w:tcPr>
          <w:p w14:paraId="2A71B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$350M</w:t>
            </w:r>
          </w:p>
        </w:tc>
        <w:tc>
          <w:tcPr>
            <w:tcW w:w="0" w:type="auto"/>
            <w:shd w:val="clear"/>
            <w:vAlign w:val="center"/>
          </w:tcPr>
          <w:p w14:paraId="60AB8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$500M</w:t>
            </w:r>
          </w:p>
        </w:tc>
        <w:tc>
          <w:tcPr>
            <w:tcW w:w="0" w:type="auto"/>
            <w:shd w:val="clear"/>
            <w:vAlign w:val="center"/>
          </w:tcPr>
          <w:p w14:paraId="6DE43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Renewable energy tokenization</w:t>
            </w:r>
          </w:p>
        </w:tc>
        <w:tc>
          <w:tcPr>
            <w:tcW w:w="0" w:type="auto"/>
            <w:shd w:val="clear"/>
            <w:vAlign w:val="center"/>
          </w:tcPr>
          <w:p w14:paraId="710FE0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High</w:t>
            </w:r>
          </w:p>
        </w:tc>
      </w:tr>
      <w:tr w14:paraId="08F3B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075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Style w:val="11"/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AGV Protocol</w:t>
            </w:r>
          </w:p>
        </w:tc>
        <w:tc>
          <w:tcPr>
            <w:tcW w:w="0" w:type="auto"/>
            <w:shd w:val="clear"/>
            <w:vAlign w:val="center"/>
          </w:tcPr>
          <w:p w14:paraId="1DFDB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TBD</w:t>
            </w:r>
          </w:p>
        </w:tc>
        <w:tc>
          <w:tcPr>
            <w:tcW w:w="0" w:type="auto"/>
            <w:shd w:val="clear"/>
            <w:vAlign w:val="center"/>
          </w:tcPr>
          <w:p w14:paraId="05381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Target $80–150M FDV</w:t>
            </w:r>
          </w:p>
        </w:tc>
        <w:tc>
          <w:tcPr>
            <w:tcW w:w="0" w:type="auto"/>
            <w:shd w:val="clear"/>
            <w:vAlign w:val="center"/>
          </w:tcPr>
          <w:p w14:paraId="330E6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Multi-asset RWA + DePIN</w:t>
            </w:r>
          </w:p>
        </w:tc>
        <w:tc>
          <w:tcPr>
            <w:tcW w:w="0" w:type="auto"/>
            <w:shd w:val="clear"/>
            <w:vAlign w:val="center"/>
          </w:tcPr>
          <w:p w14:paraId="275C6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8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"/>
              </w:rPr>
              <w:t>Unique</w:t>
            </w:r>
          </w:p>
        </w:tc>
      </w:tr>
    </w:tbl>
    <w:p w14:paraId="1DED55C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9. Investment Highlights</w:t>
      </w:r>
    </w:p>
    <w:p w14:paraId="2695C7F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Real-Asset Backing:</w:t>
      </w:r>
      <w:r>
        <w:rPr>
          <w:rFonts w:hint="default" w:ascii="Calibri" w:hAnsi="Calibri" w:cs="Calibri"/>
          <w:sz w:val="21"/>
          <w:szCs w:val="21"/>
        </w:rPr>
        <w:t xml:space="preserve"> Every GVT minted corresponds to verified physical output.</w:t>
      </w:r>
    </w:p>
    <w:p w14:paraId="6602741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Balanced Tokenomics:</w:t>
      </w:r>
      <w:r>
        <w:rPr>
          <w:rFonts w:hint="default" w:ascii="Calibri" w:hAnsi="Calibri" w:cs="Calibri"/>
          <w:sz w:val="21"/>
          <w:szCs w:val="21"/>
        </w:rPr>
        <w:t xml:space="preserve"> Fixed allocations for core stakeholders (Asset Provider 20%, Team 15%).</w:t>
      </w:r>
    </w:p>
    <w:p w14:paraId="168FB83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DAO Governance:</w:t>
      </w:r>
      <w:r>
        <w:rPr>
          <w:rFonts w:hint="default" w:ascii="Calibri" w:hAnsi="Calibri" w:cs="Calibri"/>
          <w:sz w:val="21"/>
          <w:szCs w:val="21"/>
        </w:rPr>
        <w:t xml:space="preserve"> Ensures transparency and community oversight of treasury.</w:t>
      </w:r>
    </w:p>
    <w:p w14:paraId="0EE1545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Price Stability Strategy:</w:t>
      </w:r>
      <w:r>
        <w:rPr>
          <w:rFonts w:hint="default" w:ascii="Calibri" w:hAnsi="Calibri" w:cs="Calibri"/>
          <w:sz w:val="21"/>
          <w:szCs w:val="21"/>
        </w:rPr>
        <w:t xml:space="preserve"> Dedicated liquidity &amp; MM pool with buyback mechanisms.</w:t>
      </w:r>
    </w:p>
    <w:p w14:paraId="63F5D98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11"/>
          <w:rFonts w:hint="default" w:ascii="Calibri" w:hAnsi="Calibri" w:cs="Calibri"/>
          <w:sz w:val="21"/>
          <w:szCs w:val="21"/>
        </w:rPr>
        <w:t>Multi-Asset Yield:</w:t>
      </w:r>
      <w:r>
        <w:rPr>
          <w:rFonts w:hint="default" w:ascii="Calibri" w:hAnsi="Calibri" w:cs="Calibri"/>
          <w:sz w:val="21"/>
          <w:szCs w:val="21"/>
        </w:rPr>
        <w:t xml:space="preserve"> Exposure to agriculture, renewable energy, and compute sectors in one token.</w:t>
      </w:r>
    </w:p>
    <w:p w14:paraId="76CC6C1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10. Token Allocation Diagram</w:t>
      </w:r>
    </w:p>
    <w:p w14:paraId="193EAE87">
      <w:pPr>
        <w:keepNext w:val="0"/>
        <w:keepLines w:val="0"/>
        <w:widowControl/>
        <w:suppressLineNumbers w:val="0"/>
        <w:rPr>
          <w:rFonts w:hint="eastAsia" w:ascii="Calibri" w:hAnsi="Calibri" w:eastAsia="宋体" w:cs="Calibri"/>
          <w:sz w:val="16"/>
          <w:szCs w:val="16"/>
          <w:lang w:eastAsia="zh-CN"/>
        </w:rPr>
      </w:pPr>
      <w:r>
        <w:rPr>
          <w:rFonts w:hint="eastAsia" w:ascii="Calibri" w:hAnsi="Calibri" w:eastAsia="宋体" w:cs="Calibri"/>
          <w:sz w:val="16"/>
          <w:szCs w:val="16"/>
          <w:lang w:eastAsia="zh-CN"/>
        </w:rPr>
        <w:drawing>
          <wp:inline distT="0" distB="0" distL="114300" distR="114300">
            <wp:extent cx="2971165" cy="1995170"/>
            <wp:effectExtent l="0" t="0" r="635" b="5080"/>
            <wp:docPr id="1" name="图片 1" descr="agv_token_allocation_blue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gv_token_allocation_bluewhi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4C5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11. Vesting Schedule Chart</w:t>
      </w:r>
    </w:p>
    <w:p w14:paraId="211EB45D">
      <w:pPr>
        <w:keepNext w:val="0"/>
        <w:keepLines w:val="0"/>
        <w:widowControl/>
        <w:suppressLineNumbers w:val="0"/>
        <w:rPr>
          <w:rFonts w:hint="eastAsia" w:ascii="Calibri" w:hAnsi="Calibri" w:eastAsia="宋体" w:cs="Calibri"/>
          <w:sz w:val="16"/>
          <w:szCs w:val="16"/>
          <w:lang w:eastAsia="zh-CN"/>
        </w:rPr>
      </w:pPr>
      <w:r>
        <w:rPr>
          <w:rFonts w:hint="eastAsia" w:ascii="Calibri" w:hAnsi="Calibri" w:eastAsia="宋体" w:cs="Calibri"/>
          <w:sz w:val="16"/>
          <w:szCs w:val="16"/>
          <w:lang w:eastAsia="zh-CN"/>
        </w:rPr>
        <w:drawing>
          <wp:inline distT="0" distB="0" distL="114300" distR="114300">
            <wp:extent cx="3456940" cy="2074545"/>
            <wp:effectExtent l="0" t="0" r="10160" b="1905"/>
            <wp:docPr id="2" name="图片 2" descr="agv_token_vesting_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gv_token_vesting_schedu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744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12. Legal &amp; Compliance</w:t>
      </w:r>
    </w:p>
    <w:p w14:paraId="12E83D0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Jurisdictions:</w:t>
      </w:r>
      <w:r>
        <w:rPr>
          <w:rFonts w:hint="default" w:ascii="Calibri" w:hAnsi="Calibri" w:cs="Calibri"/>
          <w:sz w:val="21"/>
          <w:szCs w:val="21"/>
        </w:rPr>
        <w:t xml:space="preserve"> Compliant with key markets (SG, JP, EU, NZ, HK)</w:t>
      </w:r>
    </w:p>
    <w:p w14:paraId="0F39330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SAFT Agreement:</w:t>
      </w:r>
      <w:r>
        <w:rPr>
          <w:rFonts w:hint="default" w:ascii="Calibri" w:hAnsi="Calibri" w:cs="Calibri"/>
          <w:sz w:val="21"/>
          <w:szCs w:val="21"/>
        </w:rPr>
        <w:t xml:space="preserve"> For pre-listing investors</w:t>
      </w:r>
    </w:p>
    <w:p w14:paraId="52AB7A4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KYC/AML:</w:t>
      </w:r>
      <w:r>
        <w:rPr>
          <w:rFonts w:hint="default" w:ascii="Calibri" w:hAnsi="Calibri" w:cs="Calibri"/>
          <w:sz w:val="21"/>
          <w:szCs w:val="21"/>
        </w:rPr>
        <w:t xml:space="preserve"> Mandatory for public sale participants</w:t>
      </w:r>
    </w:p>
    <w:p w14:paraId="22CEC22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11"/>
          <w:rFonts w:hint="default" w:ascii="Calibri" w:hAnsi="Calibri" w:cs="Calibri"/>
          <w:sz w:val="21"/>
          <w:szCs w:val="21"/>
        </w:rPr>
        <w:t>Regulatory Filings:</w:t>
      </w:r>
      <w:r>
        <w:rPr>
          <w:rFonts w:hint="default" w:ascii="Calibri" w:hAnsi="Calibri" w:cs="Calibri"/>
          <w:sz w:val="21"/>
          <w:szCs w:val="21"/>
        </w:rPr>
        <w:t xml:space="preserve"> Asset mapping contracts notarized and filed with relevant jurisdictions</w:t>
      </w:r>
    </w:p>
    <w:p w14:paraId="26F3031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</w:p>
    <w:p w14:paraId="34EAF13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1"/>
          <w:rFonts w:hint="default" w:ascii="Calibri" w:hAnsi="Calibri" w:cs="Calibri"/>
          <w:b/>
          <w:sz w:val="22"/>
          <w:szCs w:val="22"/>
        </w:rPr>
        <w:t>Tokenomics Philosophy</w:t>
      </w:r>
    </w:p>
    <w:p w14:paraId="618E39AB">
      <w:pPr>
        <w:pStyle w:val="8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sz w:val="21"/>
          <w:szCs w:val="21"/>
        </w:rPr>
      </w:pPr>
      <w:r>
        <w:rPr>
          <w:rStyle w:val="12"/>
          <w:rFonts w:hint="default" w:ascii="Calibri" w:hAnsi="Calibri" w:cs="Calibri"/>
          <w:sz w:val="21"/>
          <w:szCs w:val="21"/>
        </w:rPr>
        <w:t>"AGV Protocol’s token design is built to balance long-term asset yield with immediate investor incentives, ensuring sustainable growth without speculative inflation. Fixed core allocations protect asset providers and execution teams, while DAO-controlled treasury enables adaptive market strategies."</w:t>
      </w:r>
    </w:p>
    <w:p w14:paraId="267C3F3E">
      <w:pPr>
        <w:pStyle w:val="8"/>
        <w:keepNext w:val="0"/>
        <w:keepLines w:val="0"/>
        <w:widowControl/>
        <w:suppressLineNumbers w:val="0"/>
        <w:rPr>
          <w:rStyle w:val="12"/>
          <w:rFonts w:hint="eastAsia" w:ascii="Calibri" w:hAnsi="Calibri" w:cs="Calibri" w:eastAsiaTheme="minorEastAsia"/>
          <w:sz w:val="21"/>
          <w:szCs w:val="21"/>
          <w:lang w:eastAsia="zh-CN"/>
        </w:rPr>
      </w:pPr>
      <w:r>
        <w:rPr>
          <w:rStyle w:val="12"/>
          <w:rFonts w:hint="eastAsia" w:ascii="Calibri" w:hAnsi="Calibri" w:cs="Calibri" w:eastAsiaTheme="minorEastAsia"/>
          <w:sz w:val="21"/>
          <w:szCs w:val="21"/>
          <w:lang w:eastAsia="zh-CN"/>
        </w:rPr>
        <w:drawing>
          <wp:inline distT="0" distB="0" distL="114300" distR="114300">
            <wp:extent cx="6182360" cy="3400425"/>
            <wp:effectExtent l="0" t="0" r="0" b="0"/>
            <wp:docPr id="3" name="图片 3" descr="agv_dao_fund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gv_dao_fund_flow"/>
                    <pic:cNvPicPr>
                      <a:picLocks noChangeAspect="1"/>
                    </pic:cNvPicPr>
                  </pic:nvPicPr>
                  <pic:blipFill>
                    <a:blip r:embed="rId7"/>
                    <a:srcRect t="5786" b="2474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90D">
      <w:pPr>
        <w:rPr>
          <w:rFonts w:hint="default" w:ascii="Calibri" w:hAnsi="Calibri" w:cs="Calibri"/>
          <w:sz w:val="18"/>
          <w:szCs w:val="21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8B741"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-31750</wp:posOffset>
          </wp:positionH>
          <wp:positionV relativeFrom="paragraph">
            <wp:posOffset>-254000</wp:posOffset>
          </wp:positionV>
          <wp:extent cx="765175" cy="254000"/>
          <wp:effectExtent l="0" t="0" r="15875" b="12700"/>
          <wp:wrapNone/>
          <wp:docPr id="4" name="图片 4" descr="AGV 主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AGV 主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175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7757F"/>
    <w:rsid w:val="0959521E"/>
    <w:rsid w:val="5237757F"/>
    <w:rsid w:val="696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Georgia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2025-08-12T03:33:00Z</dcterms:created>
  <dc:creator>华势易捷</dc:creator>
  <cp:lastModifiedBy>华势易捷</cp:lastModifiedBy>
  <dcterms:modified xsi:type="dcterms:W3CDTF">2025-08-12T03:41:59Z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BFAD5B6C9A094AA78AE5EA0B1C1B79A4_11</vt:lpwstr>
  </property>
  <property fmtid="{D5CDD505-2E9C-101B-9397-08002B2CF9AE}" pid="4" name="KSOTemplateDocerSaveRecord">
    <vt:lpwstr>eyJoZGlkIjoiMDljYzUzMWQ4OWI0YzBkYjYzMDRhZTY5ZjZkYmFmYTgiLCJ1c2VySWQiOiIzMDQ3OTU4MDEifQ==</vt:lpwstr>
  </property>
</Properties>
</file>