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13 - Conclusão: O Futuro da Gastronomia</w:t>
      </w:r>
    </w:p>
    <w:p>
      <w:r>
        <w:t>A gestão de restaurantes é uma jornada desafiadora, mas incrivelmente recompensadora. Ao longo deste livro, exploramos estratégias, estudos de caso e tendências que podem ajudar gestores e empreendedores a alcançarem o sucesso no setor gastronômico.</w:t>
        <w:br/>
        <w:br/>
        <w:t>O futuro da gastronomia está cheio de possibilidades. Com a evolução tecnológica, a valorização de práticas sustentáveis e a busca por experiências personalizadas, os restaurantes têm a oportunidade de se reinventar e prosperar. O segredo está em manter o foco na qualidade, na inovação e, acima de tudo, nas pessoas: clientes e equipes.</w:t>
        <w:br/>
        <w:br/>
        <w:t>**Mensagem final:**</w:t>
        <w:br/>
        <w:br/>
        <w:t>Independentemente dos desafios que possam surgir, lembre-se de que cada obstáculo é uma oportunidade de crescimento. A paixão pela gastronomia e o compromisso com a excelência são os ingredientes mais importantes para construir um restaurante de sucesso. O mercado está em constante mudança, mas a essência da boa hospitalidade permanece a mesma: criar momentos inesquecíveis para cada cliente que atravessa as portas do seu restaurante.</w:t>
        <w:br/>
        <w:br/>
        <w:t>Obrigado por embarcar nesta jornada comigo. Desejo a você todo o sucesso em sua carreira e espero que as lições deste livro inspirem e fortaleçam sua trajetória.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