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黑体" w:hAnsi="黑体" w:eastAsia="黑体"/>
          <w:b/>
          <w:color w:val="1F4E79"/>
          <w:sz w:val="38"/>
        </w:rPr>
        <w:t>智仓卫士：冷链仓储物联网监控系统的需求分析、系统设计与创新论述</w:t>
      </w:r>
    </w:p>
    <w:p>
      <w:pPr>
        <w:spacing w:after="360"/>
        <w:jc w:val="center"/>
      </w:pPr>
      <w:r>
        <w:rPr>
          <w:rFonts w:ascii="楷体" w:hAnsi="楷体" w:eastAsia="楷体"/>
          <w:b w:val="0"/>
          <w:color w:val="646464"/>
          <w:sz w:val="22"/>
        </w:rPr>
        <w:t>——基于当前项目架构与接口设计</w:t>
      </w:r>
    </w:p>
    <w:p>
      <w:pPr>
        <w:pStyle w:val="Heading1"/>
      </w:pPr>
      <w:r>
        <w:t>一、引言</w:t>
      </w:r>
    </w:p>
    <w:p>
      <w:r>
        <w:t>冷链仓储对温度环境有持续、可追溯的管理要求。立项答辩材料指出，传统有线方案存在布线与维护成本较高、仓库点位覆盖不均、超限后才报警等问题；项目因此提出以低功耗无线节点进行多点采集，并提供实时查看、异常识别和历史追溯能力。本文依据该背景讨论需求与设计，同时以当前项目资料为准界定实际架构：传感器接入 ZigBee 节点，节点数据汇聚至 ESP32 网关，网关通过 Wi-Fi 和 HTTP POST 上传到电脑后端，后端负责校验、存储、日志、告警及查询，Web 页面经 API 获取信息。樱花 FRP 只提供远程访问入口；Linux 设备用于日志辅助、断网模拟、数据回放和故障复现，不属于正常运行的主数据链路。</w:t>
      </w:r>
    </w:p>
    <w:p>
      <w:pPr>
        <w:pStyle w:val="Heading1"/>
      </w:pPr>
      <w:r>
        <w:t>二、需求分析理论与项目应用</w:t>
      </w:r>
    </w:p>
    <w:p>
      <w:pPr>
        <w:pStyle w:val="Heading2"/>
      </w:pPr>
      <w:r>
        <w:t>（一）基本概念</w:t>
      </w:r>
    </w:p>
    <w:p>
      <w:r>
        <w:t>需求分析是把用户的问题和目标转化为边界清楚、可验证、可追踪的系统要求的过程。它回答系统服务谁、解决什么问题、在何种环境下运行、必须提供哪些行为以及受哪些条件约束。需求分析不是简单罗列功能，而是识别利益相关者、厘清场景和优先级、处理冲突，并将自然语言转为设计、测试均能使用的规格。对智仓卫士而言，关键目标是让管理者及时掌握不同仓储区域的环境状态，在异常发生时能定位设备和时间，并能依据历史记录复核处置过程。</w:t>
      </w:r>
    </w:p>
    <w:p>
      <w:pPr>
        <w:pStyle w:val="Heading2"/>
      </w:pPr>
      <w:r>
        <w:t>（二）需求获取方法</w:t>
      </w:r>
    </w:p>
    <w:p>
      <w:r>
        <w:t>本项目可组合使用以下方法。第一，访谈仓库管理人员及项目使用者，了解温区划分、巡检方式、告警响应流程、记录保存和远程查看需求；以具体情境追问“温度持续上升但尚未越限时如何处理”，避免只得到抽象愿望。第二，现场观察仓库布局、货架遮挡、出入口及电源条件，记录节点安装、无线覆盖和维护限制。第三，分析立项答辩材料、成员分工说明和 API 文档，区分业务目标、现有资源与接口约束。第四，通过原型和样例报文评审，让用户检查监控页面字段、异常提示和历史查询方式。第五，开展技术验证，例如连续采集、掉线重连、HTTP 上传及远程访问测试，用实测结果修订可行性假设。多种方法互相补充，避免仅依赖会议意见或早期方案图。</w:t>
      </w:r>
    </w:p>
    <w:p>
      <w:pPr>
        <w:pStyle w:val="Heading2"/>
      </w:pPr>
      <w:r>
        <w:t>（三）需求分类</w:t>
      </w:r>
    </w:p>
    <w:p>
      <w:r>
        <w:t>按需求性质，项目需求可分为功能需求与非功能需求。功能需求包括设备和区域标识、采样数据接收、最新数据查询、历史数据查询、告警生成与确认、网关心跳及健康检查。非功能需求包括数据正确性、可用性、可追溯性、接口兼容性、安全性和可维护性。当前 API 设计给出了 UTF-8 JSON、ISO 8601 UTC 时间、message_id 幂等去重、查询分页和时间跨度限制、网关 API Key、错误码以及最多 100 条的批量补传约束，这些都属于可检验的质量或接口约束。按优先级还可区分核心需求和扩展需求：先保证可靠采集、入库和展示，再考虑趋势预警、可视化增强和多渠道通知。</w:t>
      </w:r>
    </w:p>
    <w:p>
      <w:pPr>
        <w:pStyle w:val="Heading2"/>
      </w:pPr>
      <w:r>
        <w:t>（四）需求验证</w:t>
      </w:r>
    </w:p>
    <w:p>
      <w:r>
        <w:t>需求验证用于确认需求是否正确表达用户目标、彼此一致、能够实现并可以验收。项目可通过需求评审逐条检查完整性与冲突；使用原型让使用者确认设备、区域、时间和异常状态是否易于理解；以需求追踪矩阵把每项需求关联到设计模块、接口和测试用例；再用场景测试验证结果。例如，向 /api/v1/telemetry 提交合法报文后应返回成功并在数据库形成记录；重复提交同一 message_id 应返回 duplicate=true 而不重复入库；查询最新数据应与已存记录一致；连续三次未收到心跳后可按设计规则将网关标为离线；FRP 不可用时，本地网络地址仍可用于核心演示。验收阈值应在项目测试阶段根据设备实测确认，不把立项 PPT 中的预估性能直接当作已达成指标。</w:t>
      </w:r>
    </w:p>
    <w:p>
      <w:pPr>
        <w:pStyle w:val="Heading2"/>
      </w:pPr>
      <w:r>
        <w:t>（五）需求分析步骤与方法</w:t>
      </w:r>
    </w:p>
    <w:p>
      <w:r>
        <w:t>第一步是界定问题和范围。将主要使用者确定为仓储管理人员、系统维护者和项目测试人员，明确系统覆盖的监测点、运行环境及交付边界。当前可用资源约为若干 ZigBee 节点、ESP32 模块和 Linux 开发板，项目定位是实验室小规模闭环验证，而非已经部署的商业仓储平台。</w:t>
      </w:r>
    </w:p>
    <w:p>
      <w:r>
        <w:t>第二步是建模业务场景与数据流。以“采样—节点通信—网关汇聚—后端校验存储—前端查询—人员处置”为主场景，另行描述设备掉线、后端暂不可用、重复报文、异常值和远程访问失败等替代场景。针对每个场景记录触发条件、参与者、输入、期望结果和失败处理，使需求能够映射到模块。</w:t>
      </w:r>
    </w:p>
    <w:p>
      <w:r>
        <w:t>第三步是分析并形成需求规格。把抽象要求转为明确字段和规则，例如每条采样数据包含 message_id、gateway_id、device_id、zone_id、collected_at、temperature 和 quality；湿度传感器缺失时 humidity 可为 null；服务端验证身份、编号、数值范围和时间戳，再记录原始日志、执行去重并依据阈值生成或更新告警。对于数据延迟、温度阈值、保留周期和用户权限等尚需用户确认的参数，标记为待决项，不擅自固化。</w:t>
      </w:r>
    </w:p>
    <w:p>
      <w:r>
        <w:t>第四步是确定优先级并评估可行性。可采用 MoSCoW 方法区分必须具备、应该具备、可以后续实现和暂不纳入的内容。课程项目的最小可用闭环应优先实现采集、上传、持久化和查询，再逐步增加告警确认和趋势分析。对无线覆盖、供电、电脑后端稳定性和 FRP 外网访问分别做风险检查，并保留本地访问路径作为故障降级方案。</w:t>
      </w:r>
    </w:p>
    <w:p>
      <w:r>
        <w:t>第五步是评审、基线化与变更控制。由架构与接口负责人统一设备编号、JSON 格式、错误码和接口版本；上下游成员用固定测试报文联调。任何字段、路径或告警规则的变更都同步更新 API 文档、前后端实现和测试用例，由项目负责人记录版本。最后建立需求追踪矩阵，以测试证据说明每项需求实现到何种程度，从而形成“来源—需求—设计—实现—验收”的闭环。</w:t>
      </w:r>
    </w:p>
    <w:p>
      <w:pPr>
        <w:pStyle w:val="Heading1"/>
      </w:pPr>
      <w:r>
        <w:t>三、系统设计理论与项目应用</w:t>
      </w:r>
    </w:p>
    <w:p>
      <w:pPr>
        <w:pStyle w:val="Heading2"/>
      </w:pPr>
      <w:r>
        <w:t>（一）系统设计基本原则</w:t>
      </w:r>
    </w:p>
    <w:p>
      <w:r>
        <w:t>本系统设计遵循目标一致、职责单一、模块低耦合、接口明确、逐步交付和可验证等原则。无线感知、网关转发、后端业务和页面展示分别承担不同职责；模块间通过稳定的数据契约协作，避免前端直接访问设备或数据库。设计同时兼顾可靠性和成本：现场优先使用局域网，远程访问由 FRP 映射；服务异常时记录错误并保留可诊断信息。安全设计遵循最小暴露原则，网关密钥仅由后端校验，不嵌入 Web 前端。</w:t>
      </w:r>
    </w:p>
    <w:p>
      <w:pPr>
        <w:pStyle w:val="Heading2"/>
      </w:pPr>
      <w:r>
        <w:t>（二）系统架构设计</w:t>
      </w:r>
    </w:p>
    <w:p>
      <w:r>
        <w:t>依据当前资料，系统采用设备接入层、通信网关层、后端服务层和 Web 应用层的逻辑分层。设备接入层由传感器及 ZigBee 节点构成，负责采样和节点通信。通信网关层由 ESP32 承担，汇聚节点数据、解析或封装字段、补充接收时间，并通过 Wi-Fi 访问后端。后端服务运行在电脑上，提供 HTTP API、数据校验、SQLite 或文件日志、历史查询和告警数据。Web 前端通过 API 读取实时、历史及告警信息。樱花 FRP 将电脑上的 Web/API 服务映射到远程域名，仅改变访问入口而不改变业务协议。Linux 开发板属于辅助测试环境，可用于日志、断网模拟和数据回放，不应与正常主链路混淆。</w:t>
      </w:r>
    </w:p>
    <w:p>
      <w:r>
        <w:t>该结构体现边缘与中心职责分离，也使每段链路可以独立测试。需要注意的是，早期 PPT 提及 Linux 运行趋势分析脚本、MQTT 和数字孪生大屏；当前项目接口已明确网关用 HTTP/JSON 上报，成员分工则将 Linux 定义为辅助调试用途。因此，本文按当前设计描述实际架构，把 MQTT、Linux 常态边缘计算和高级数字孪生视作早期设想或后续扩展，而非既成事实。</w:t>
      </w:r>
    </w:p>
    <w:p>
      <w:pPr>
        <w:pStyle w:val="Heading2"/>
      </w:pPr>
      <w:r>
        <w:t>（三）模块划分</w:t>
      </w:r>
    </w:p>
    <w:tbl>
      <w:tblPr>
        <w:tblStyle w:val="TableGrid"/>
        <w:tblW w:type="auto" w:w="0"/>
        <w:tblLayout w:type="autofit"/>
        <w:tblLook w:firstColumn="1" w:firstRow="1" w:lastColumn="0" w:lastRow="0" w:noHBand="0" w:noVBand="1" w:val="04A0"/>
      </w:tblPr>
      <w:tblGrid>
        <w:gridCol w:w="3097"/>
        <w:gridCol w:w="3097"/>
        <w:gridCol w:w="3097"/>
      </w:tblGrid>
      <w:tr>
        <w:trPr>
          <w:tblHeader w:val="true"/>
        </w:trPr>
        <w:tc>
          <w:tcPr>
            <w:tcW w:type="dxa" w:w="3097"/>
            <w:shd w:fill="D9EAF7"/>
          </w:tcPr>
          <w:p>
            <w:r>
              <w:rPr>
                <w:rFonts w:ascii="黑体" w:hAnsi="黑体" w:eastAsia="黑体"/>
                <w:b/>
                <w:sz w:val="20"/>
              </w:rPr>
              <w:t>模块</w:t>
            </w:r>
          </w:p>
        </w:tc>
        <w:tc>
          <w:tcPr>
            <w:tcW w:type="dxa" w:w="3097"/>
            <w:shd w:fill="D9EAF7"/>
          </w:tcPr>
          <w:p>
            <w:r>
              <w:rPr>
                <w:rFonts w:ascii="黑体" w:hAnsi="黑体" w:eastAsia="黑体"/>
                <w:b/>
                <w:sz w:val="20"/>
              </w:rPr>
              <w:t>主要职责</w:t>
            </w:r>
          </w:p>
        </w:tc>
        <w:tc>
          <w:tcPr>
            <w:tcW w:type="dxa" w:w="3097"/>
            <w:shd w:fill="D9EAF7"/>
          </w:tcPr>
          <w:p>
            <w:r>
              <w:rPr>
                <w:rFonts w:ascii="黑体" w:hAnsi="黑体" w:eastAsia="黑体"/>
                <w:b/>
                <w:sz w:val="20"/>
              </w:rPr>
              <w:t>关键输入与输出</w:t>
            </w:r>
          </w:p>
        </w:tc>
      </w:tr>
      <w:tr>
        <w:tc>
          <w:tcPr>
            <w:tcW w:type="dxa" w:w="3097"/>
          </w:tcPr>
          <w:p>
            <w:pPr>
              <w:spacing w:after="40"/>
            </w:pPr>
            <w:r>
              <w:rPr>
                <w:rFonts w:ascii="宋体" w:hAnsi="宋体" w:eastAsia="宋体"/>
                <w:b w:val="0"/>
                <w:sz w:val="20"/>
              </w:rPr>
              <w:t>传感器与 ZigBee 节点</w:t>
            </w:r>
          </w:p>
        </w:tc>
        <w:tc>
          <w:tcPr>
            <w:tcW w:type="dxa" w:w="3097"/>
          </w:tcPr>
          <w:p>
            <w:pPr>
              <w:spacing w:after="40"/>
            </w:pPr>
            <w:r>
              <w:rPr>
                <w:rFonts w:ascii="宋体" w:hAnsi="宋体" w:eastAsia="宋体"/>
                <w:b w:val="0"/>
                <w:sz w:val="20"/>
              </w:rPr>
              <w:t>按配置采集温湿度等数据并进行节点通信</w:t>
            </w:r>
          </w:p>
        </w:tc>
        <w:tc>
          <w:tcPr>
            <w:tcW w:type="dxa" w:w="3097"/>
          </w:tcPr>
          <w:p>
            <w:pPr>
              <w:spacing w:after="40"/>
            </w:pPr>
            <w:r>
              <w:rPr>
                <w:rFonts w:ascii="宋体" w:hAnsi="宋体" w:eastAsia="宋体"/>
                <w:b w:val="0"/>
                <w:sz w:val="20"/>
              </w:rPr>
              <w:t>输出带设备编号和采样值的数据</w:t>
            </w:r>
          </w:p>
        </w:tc>
      </w:tr>
      <w:tr>
        <w:tc>
          <w:tcPr>
            <w:tcW w:type="dxa" w:w="3097"/>
          </w:tcPr>
          <w:p>
            <w:pPr>
              <w:spacing w:after="40"/>
            </w:pPr>
            <w:r>
              <w:rPr>
                <w:rFonts w:ascii="宋体" w:hAnsi="宋体" w:eastAsia="宋体"/>
                <w:b w:val="0"/>
                <w:sz w:val="20"/>
              </w:rPr>
              <w:t>ESP32 网关</w:t>
            </w:r>
          </w:p>
        </w:tc>
        <w:tc>
          <w:tcPr>
            <w:tcW w:type="dxa" w:w="3097"/>
          </w:tcPr>
          <w:p>
            <w:pPr>
              <w:spacing w:after="40"/>
            </w:pPr>
            <w:r>
              <w:rPr>
                <w:rFonts w:ascii="宋体" w:hAnsi="宋体" w:eastAsia="宋体"/>
                <w:b w:val="0"/>
                <w:sz w:val="20"/>
              </w:rPr>
              <w:t>汇聚、标识和转发数据，发送心跳，必要时重试或缓存</w:t>
            </w:r>
          </w:p>
        </w:tc>
        <w:tc>
          <w:tcPr>
            <w:tcW w:type="dxa" w:w="3097"/>
          </w:tcPr>
          <w:p>
            <w:pPr>
              <w:spacing w:after="40"/>
            </w:pPr>
            <w:r>
              <w:rPr>
                <w:rFonts w:ascii="宋体" w:hAnsi="宋体" w:eastAsia="宋体"/>
                <w:b w:val="0"/>
                <w:sz w:val="20"/>
              </w:rPr>
              <w:t>HTTP JSON 上报与网关状态</w:t>
            </w:r>
          </w:p>
        </w:tc>
      </w:tr>
      <w:tr>
        <w:tc>
          <w:tcPr>
            <w:tcW w:type="dxa" w:w="3097"/>
          </w:tcPr>
          <w:p>
            <w:pPr>
              <w:spacing w:after="40"/>
            </w:pPr>
            <w:r>
              <w:rPr>
                <w:rFonts w:ascii="宋体" w:hAnsi="宋体" w:eastAsia="宋体"/>
                <w:b w:val="0"/>
                <w:sz w:val="20"/>
              </w:rPr>
              <w:t>电脑后端</w:t>
            </w:r>
          </w:p>
        </w:tc>
        <w:tc>
          <w:tcPr>
            <w:tcW w:type="dxa" w:w="3097"/>
          </w:tcPr>
          <w:p>
            <w:pPr>
              <w:spacing w:after="40"/>
            </w:pPr>
            <w:r>
              <w:rPr>
                <w:rFonts w:ascii="宋体" w:hAnsi="宋体" w:eastAsia="宋体"/>
                <w:b w:val="0"/>
                <w:sz w:val="20"/>
              </w:rPr>
              <w:t>鉴权、校验、去重、持久化、日志、告警与查询</w:t>
            </w:r>
          </w:p>
        </w:tc>
        <w:tc>
          <w:tcPr>
            <w:tcW w:type="dxa" w:w="3097"/>
          </w:tcPr>
          <w:p>
            <w:pPr>
              <w:spacing w:after="40"/>
            </w:pPr>
            <w:r>
              <w:rPr>
                <w:rFonts w:ascii="宋体" w:hAnsi="宋体" w:eastAsia="宋体"/>
                <w:b w:val="0"/>
                <w:sz w:val="20"/>
              </w:rPr>
              <w:t>统一 JSON 响应、历史记录和告警</w:t>
            </w:r>
          </w:p>
        </w:tc>
      </w:tr>
      <w:tr>
        <w:tc>
          <w:tcPr>
            <w:tcW w:type="dxa" w:w="3097"/>
          </w:tcPr>
          <w:p>
            <w:pPr>
              <w:spacing w:after="40"/>
            </w:pPr>
            <w:r>
              <w:rPr>
                <w:rFonts w:ascii="宋体" w:hAnsi="宋体" w:eastAsia="宋体"/>
                <w:b w:val="0"/>
                <w:sz w:val="20"/>
              </w:rPr>
              <w:t>Web 监控页面</w:t>
            </w:r>
          </w:p>
        </w:tc>
        <w:tc>
          <w:tcPr>
            <w:tcW w:type="dxa" w:w="3097"/>
          </w:tcPr>
          <w:p>
            <w:pPr>
              <w:spacing w:after="40"/>
            </w:pPr>
            <w:r>
              <w:rPr>
                <w:rFonts w:ascii="宋体" w:hAnsi="宋体" w:eastAsia="宋体"/>
                <w:b w:val="0"/>
                <w:sz w:val="20"/>
              </w:rPr>
              <w:t>展示设备状态、最新数据、历史曲线及告警</w:t>
            </w:r>
          </w:p>
        </w:tc>
        <w:tc>
          <w:tcPr>
            <w:tcW w:type="dxa" w:w="3097"/>
          </w:tcPr>
          <w:p>
            <w:pPr>
              <w:spacing w:after="40"/>
            </w:pPr>
            <w:r>
              <w:rPr>
                <w:rFonts w:ascii="宋体" w:hAnsi="宋体" w:eastAsia="宋体"/>
                <w:b w:val="0"/>
                <w:sz w:val="20"/>
              </w:rPr>
              <w:t>通过 GET 查询、POST 确认告警</w:t>
            </w:r>
          </w:p>
        </w:tc>
      </w:tr>
      <w:tr>
        <w:tc>
          <w:tcPr>
            <w:tcW w:type="dxa" w:w="3097"/>
          </w:tcPr>
          <w:p>
            <w:pPr>
              <w:spacing w:after="40"/>
            </w:pPr>
            <w:r>
              <w:rPr>
                <w:rFonts w:ascii="宋体" w:hAnsi="宋体" w:eastAsia="宋体"/>
                <w:b w:val="0"/>
                <w:sz w:val="20"/>
              </w:rPr>
              <w:t>Linux 辅助测试与 FRP</w:t>
            </w:r>
          </w:p>
        </w:tc>
        <w:tc>
          <w:tcPr>
            <w:tcW w:type="dxa" w:w="3097"/>
          </w:tcPr>
          <w:p>
            <w:pPr>
              <w:spacing w:after="40"/>
            </w:pPr>
            <w:r>
              <w:rPr>
                <w:rFonts w:ascii="宋体" w:hAnsi="宋体" w:eastAsia="宋体"/>
                <w:b w:val="0"/>
                <w:sz w:val="20"/>
              </w:rPr>
              <w:t>Linux 负责回放和故障复现；FRP提供远程入口</w:t>
            </w:r>
          </w:p>
        </w:tc>
        <w:tc>
          <w:tcPr>
            <w:tcW w:type="dxa" w:w="3097"/>
          </w:tcPr>
          <w:p>
            <w:pPr>
              <w:spacing w:after="40"/>
            </w:pPr>
            <w:r>
              <w:rPr>
                <w:rFonts w:ascii="宋体" w:hAnsi="宋体" w:eastAsia="宋体"/>
                <w:b w:val="0"/>
                <w:sz w:val="20"/>
              </w:rPr>
              <w:t>测试证据或远程访问，不承载正常采集主链路</w:t>
            </w:r>
          </w:p>
        </w:tc>
      </w:tr>
    </w:tbl>
    <w:p>
      <w:pPr>
        <w:pStyle w:val="Heading2"/>
      </w:pPr>
      <w:r>
        <w:t>（四）接口设计</w:t>
      </w:r>
    </w:p>
    <w:p>
      <w:r>
        <w:t>接口采用 HTTP/1.1、UTF-8 和 JSON，统一以 /api/v1 作为前缀。网关通过 POST /api/v1/telemetry 提交单条采样，携带 X-Gateway-Id 和 X-Api-Key；服务端校验身份、字段和数据范围，以 message_id 实现幂等去重，再写入数据库与原始日志。后端支持 POST /api/v1/telemetry/batch 处理最多 100 条补传数据，并提供 POST /api/v1/gateways/heartbeat 更新网关在线状态。前端通过 GET /api/v1/devices、GET /api/v1/telemetry/latest、GET /api/v1/telemetry/history 和 GET /api/v1/alerts 获取业务数据，通过 POST /api/v1/alerts/{alert_id}/ack 确认告警。GET /api/v1/health 用于检查后端与数据库状态。</w:t>
      </w:r>
    </w:p>
    <w:p>
      <w:r>
        <w:t>接口还规定统一的时间格式和温度单位，查询支持分页及时间范围校验，错误响应包含 code、message、data 和 request_id。HTTP 状态码表达通用成败，业务错误码便于定位责任模块。网关重试应有次数和间隔上限，密钥不得写入页面或日志；后端不得因重试重复创建采样记录。上述约定使设备、服务端与页面可以分别开发，再以契约测试完成集成。</w:t>
      </w:r>
    </w:p>
    <w:p>
      <w:pPr>
        <w:pStyle w:val="Heading2"/>
      </w:pPr>
      <w:r>
        <w:t>（五）系统设计的详细过程</w:t>
      </w:r>
    </w:p>
    <w:p>
      <w:r>
        <w:t>设计首先把已确认需求映射为模块和质量属性，再定义设备编号、区域编号、采样模型、告警模型及数据时间语义。其次确定模块间协议和故障处理：传感器端只负责采样和 ZigBee 接入；ESP32 负责网关侧汇聚和 Wi-Fi 上报；电脑后端负责信任边界内的数据验证和持久化；前端只依赖后端 API。这样可以避免业务规则散落在网关与页面中。</w:t>
      </w:r>
    </w:p>
    <w:p>
      <w:r>
        <w:t>在数据存储上，采样记录应保留设备、区域、采样时间、接收时间、质量标志和唯一消息编号，以区分采集延迟、通信延迟和无效数据。历史查询对设备或区域及时间范围进行过滤，并限制分页大小，避免一次读取过多数据。告警记录应关联来源采样和阈值，记录级别、状态、创建时间及确认信息，便于审计和复盘。</w:t>
      </w:r>
    </w:p>
    <w:p>
      <w:r>
        <w:t>在可靠性方面，网关侧短暂缓存和批量补传属于当前接口设计支持的可靠性机制，最终容量、掉电保持能力及实际丢包率仍需实测；后端通过幂等键吸收重复上报。网关心跳用于区分设备数据暂时未更新与网关离线。局域网地址作为主调试入口，FRP 作为远程演示入口，远程映射失效不应阻断本地采集与查询。最后按节点接入、网关报文、后端入库、前端展示、远程访问的顺序逐段联调，并为断网、非法数据、重复报文、后端重启和设备离线建立测试用例。</w:t>
      </w:r>
    </w:p>
    <w:p>
      <w:pPr>
        <w:pStyle w:val="Heading1"/>
      </w:pPr>
      <w:r>
        <w:t>四、创新设计理论与项目应用</w:t>
      </w:r>
    </w:p>
    <w:p>
      <w:pPr>
        <w:pStyle w:val="Heading2"/>
      </w:pPr>
      <w:r>
        <w:t>（一）新技术引入与理论基础</w:t>
      </w:r>
    </w:p>
    <w:p>
      <w:r>
        <w:t>项目的主要技术创新不依赖单一昂贵平台，而体现在适配场景的异构通信和端到端可靠性设计。ZigBee 适用于低功耗、短报文、多节点的感知接入；Wi-Fi 由 ESP32 网关承担较高带宽的上行传输；HTTP/JSON 便于电脑端服务和 Web 前端联调。该分层利用不同链路的长处，避免让每个电池节点直接承担高功耗联网任务。理论上，网关模式降低节点通信负担，模块化协议边界也便于替换上行网络或后端部署方式。</w:t>
      </w:r>
    </w:p>
    <w:p>
      <w:r>
        <w:t>另一项工程性创新是“至少一次发送、接收端幂等处理”的可靠性思路。无线或网络故障后，发送方可能重试，单纯依赖网络保证恰好一次传输并不现实；因此用稳定的 message_id 让服务端识别重复消息，并结合缓存、批量补传和日志提高可恢复性。对告警分析，后续可在已验证的阈值规则上增加温度变化率 dT/dt 和持续时间判断，提前识别逼近阈值的风险；算法需用实验数据标定，避免把噪声误判为趋势。</w:t>
      </w:r>
    </w:p>
    <w:p>
      <w:pPr>
        <w:pStyle w:val="Heading2"/>
      </w:pPr>
      <w:r>
        <w:t>（二）应用场景与系统协调</w:t>
      </w:r>
    </w:p>
    <w:p>
      <w:r>
        <w:t>异构网络适用于冷库分区多、布线不便且节点数量多的实验室模拟与小规模仓储场景。网关缓存及幂等补传适用于电脑后端重启、无线链路短时波动等情况。趋势预警适用于温度尚未超限、但持续向危险方向变化的场景，可作为阈值报警的补充。Linux 回放和断网模拟为可靠性机制提供可重复的验证环境，但不改变其辅助设备定位。</w:t>
      </w:r>
    </w:p>
    <w:p>
      <w:r>
        <w:t>创新设计必须与整体架构协调：ZigBee 侧保证数据具有稳定设备身份和采样值；ESP32 保留消息编号、时间戳并控制重试；后端负责校验、幂等、存储及告警；Web 端只展示服务端确认后的状态。趋势算法应在项目确认的计算节点运行，并在接口中明确算法版本、告警依据和时间窗口；若 Linux 仍仅用于测试，就不应把它描述成生产运行时的边缘计算中心。远程访问使用 FRP 时应限制暴露面，核心功能仍保留局域网访问。</w:t>
      </w:r>
    </w:p>
    <w:p>
      <w:pPr>
        <w:pStyle w:val="Heading2"/>
      </w:pPr>
      <w:r>
        <w:t>（三）创新设计的实施与验证</w:t>
      </w:r>
    </w:p>
    <w:p>
      <w:r>
        <w:t>创新能力按可验证的小步迭代落地。首先用固定报文确认 ZigBee 至网关的数据映射准确；其次模拟断网，检查网关是否保留待发数据、恢复后是否成功补传，服务端是否按 message_id 去重；再次用正常、临界和超限温度序列测试告警规则，比较阈值法与趋势法的误报、漏报和提前量；最后通过本地和 FRP 两种入口检查 API 健康状态和页面数据一致性。验收报告应记录设备数量、样本数、测试时长、异常注入方式和失败项，只有测试证据支持的指标才能作为成果陈述。</w:t>
      </w:r>
    </w:p>
    <w:p>
      <w:pPr>
        <w:pStyle w:val="Heading1"/>
      </w:pPr>
      <w:r>
        <w:t>五、总体评价与结论</w:t>
      </w:r>
    </w:p>
    <w:p>
      <w:r>
        <w:t>智仓卫士的设计逻辑从冷链监测的实际痛点出发，经由需求获取和可验证规格，落实到 ZigBee 节点、ESP32 网关、电脑后端与 Web 页面之间的清晰分工。分层架构降低模块耦合，统一 API 契约支持并行开发，幂等去重、日志、缓存补传和分段验收提升系统可诊断性与可靠性。项目创新的价值在于围绕成本、功耗、覆盖和断网风险组合成熟技术，并通过可复现的测试验证效果，而不是用概念替代实现。后续工作应优先补齐现场需求确认、无线覆盖实测、缓存与掉电行为验证、告警规则标定和权限安全测试，再逐步扩展趋势预警、仓库热力图或多渠道通知。由此，系统可从实验室闭环原型稳步演进为具备可维护性和可追溯性的冷链监控方案。</w:t>
      </w:r>
    </w:p>
    <w:sectPr w:rsidR="00FC693F" w:rsidRPr="0006063C" w:rsidSect="00034616">
      <w:footerReference w:type="default" r:id="rId9"/>
      <w:pgSz w:w="12240" w:h="15840"/>
      <w:pgMar w:top="1361" w:right="1417" w:bottom="1304"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color w:val="787878"/>
        <w:sz w:val="18"/>
      </w:rPr>
      <w:t>智仓卫士项目论述题</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6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2E54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