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3.png" ContentType="image/png"/>
  <Override PartName="/word/media/rId30.png" ContentType="image/png"/>
  <Override PartName="/word/media/rId55.png" ContentType="image/png"/>
  <Override PartName="/word/media/rId49.png" ContentType="image/png"/>
  <Override PartName="/word/media/rId60.png" ContentType="image/png"/>
  <Override PartName="/word/media/rId66.png" ContentType="image/png"/>
  <Override PartName="/word/media/rId63.png" ContentType="image/png"/>
  <Override PartName="/word/media/rId52.png" ContentType="image/png"/>
  <Override PartName="/word/media/rId46.png" ContentType="image/png"/>
  <Override PartName="/word/media/rId36.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Plastic</w:t>
      </w:r>
      <w:r>
        <w:t xml:space="preserve"> </w:t>
      </w:r>
      <w:r>
        <w:t xml:space="preserve">in</w:t>
      </w:r>
      <w:r>
        <w:t xml:space="preserve"> </w:t>
      </w:r>
      <w:r>
        <w:t xml:space="preserve">the</w:t>
      </w:r>
      <w:r>
        <w:t xml:space="preserve"> </w:t>
      </w:r>
      <w:r>
        <w:t xml:space="preserve">Urban</w:t>
      </w:r>
      <w:r>
        <w:t xml:space="preserve"> </w:t>
      </w:r>
      <w:r>
        <w:t xml:space="preserve">Freshwater</w:t>
      </w:r>
      <w:r>
        <w:t xml:space="preserve"> </w:t>
      </w:r>
      <w:r>
        <w:t xml:space="preserve">Environment</w:t>
      </w:r>
    </w:p>
    <w:p>
      <w:pPr>
        <w:pStyle w:val="Subtitle"/>
      </w:pPr>
      <w:r>
        <w:t xml:space="preserve">An</w:t>
      </w:r>
      <w:r>
        <w:t xml:space="preserve"> </w:t>
      </w:r>
      <w:r>
        <w:t xml:space="preserve">Exploratory</w:t>
      </w:r>
      <w:r>
        <w:t xml:space="preserve"> </w:t>
      </w:r>
      <w:r>
        <w:t xml:space="preserve">Study</w:t>
      </w:r>
      <w:r>
        <w:t xml:space="preserve"> </w:t>
      </w:r>
      <w:r>
        <w:t xml:space="preserve">of</w:t>
      </w:r>
      <w:r>
        <w:t xml:space="preserve"> </w:t>
      </w:r>
      <w:r>
        <w:t xml:space="preserve">Microplastics</w:t>
      </w:r>
      <w:r>
        <w:t xml:space="preserve"> </w:t>
      </w:r>
      <w:r>
        <w:t xml:space="preserve">in</w:t>
      </w:r>
      <w:r>
        <w:t xml:space="preserve"> </w:t>
      </w:r>
      <w:r>
        <w:t xml:space="preserve">the</w:t>
      </w:r>
      <w:r>
        <w:t xml:space="preserve"> </w:t>
      </w:r>
      <w:r>
        <w:t xml:space="preserve">Upper</w:t>
      </w:r>
      <w:r>
        <w:t xml:space="preserve"> </w:t>
      </w:r>
      <w:r>
        <w:t xml:space="preserve">Oconee</w:t>
      </w:r>
      <w:r>
        <w:t xml:space="preserve"> </w:t>
      </w:r>
      <w:r>
        <w:t xml:space="preserve">Watershed</w:t>
      </w:r>
      <w:r>
        <w:t xml:space="preserve"> </w:t>
      </w:r>
      <w:r>
        <w:t xml:space="preserve">via</w:t>
      </w:r>
      <w:r>
        <w:t xml:space="preserve"> </w:t>
      </w:r>
      <w:r>
        <w:t xml:space="preserve">Community-Based</w:t>
      </w:r>
      <w:r>
        <w:t xml:space="preserve"> </w:t>
      </w:r>
      <w:r>
        <w:t xml:space="preserve">Efforts</w:t>
      </w:r>
    </w:p>
    <w:p>
      <w:pPr>
        <w:pStyle w:val="Author"/>
      </w:pPr>
      <w:r>
        <w:t xml:space="preserve">Amelia</w:t>
      </w:r>
      <w:r>
        <w:t xml:space="preserve"> </w:t>
      </w:r>
      <w:r>
        <w:t xml:space="preserve">M.</w:t>
      </w:r>
      <w:r>
        <w:t xml:space="preserve"> </w:t>
      </w:r>
      <w:r>
        <w:t xml:space="preserve">Foley</w:t>
      </w:r>
    </w:p>
    <w:p>
      <w:pPr>
        <w:pStyle w:val="Date"/>
      </w:pPr>
      <w:r>
        <w:t xml:space="preserve">2021-11-10</w:t>
      </w:r>
    </w:p>
    <w:bookmarkStart w:id="20" w:name="abstract"/>
    <w:p>
      <w:pPr>
        <w:pStyle w:val="Heading1"/>
      </w:pPr>
      <w:r>
        <w:rPr>
          <w:rStyle w:val="SectionNumber"/>
        </w:rPr>
        <w:t xml:space="preserve">1</w:t>
      </w:r>
      <w:r>
        <w:tab/>
      </w:r>
      <w:r>
        <w:t xml:space="preserve">Abstract</w:t>
      </w:r>
    </w:p>
    <w:p>
      <w:pPr>
        <w:pStyle w:val="FirstParagraph"/>
      </w:pPr>
      <w:r>
        <w:t xml:space="preserve">With growing awareness of plastic pollution and its detrimental environmental impacts, there has been increased attention on the study of microplastics. These small debris result from the weathering and breakdown of plastic waste from urban runoff, agricultural runoff, ocean dumping, stormwater, waste management, and other sources. Microplastics pose a threat to both aquatic life and human health due to their chemical makeup, their build-up in the environment, and their suspected long-term biological effects. As their ubiquity becomes more apparent, so does the need for accessible, affordable, and effective methods for the widespread study and quantification of microplastic pollution.</w:t>
      </w:r>
    </w:p>
    <w:p>
      <w:pPr>
        <w:pStyle w:val="BodyText"/>
      </w:pPr>
      <w:r>
        <w:t xml:space="preserve">This study takes place in Athens, GA, an urban area which houses a population of about 127,000. The project relies on local volunteer citizen science efforts for water sampling, processing, and analysis. Given the local and regional ecological significance of the Oconee River—including its transport of freshwater to the Atlantic Ocean—this study aims to collect relevant data regarding microplastics in the Upper Oconee Watershed, which includes 2 rivers and 15 creeks in Athens-Clarke County.</w:t>
      </w:r>
    </w:p>
    <w:p>
      <w:pPr>
        <w:pStyle w:val="BodyText"/>
      </w:pPr>
      <w:r>
        <w:t xml:space="preserve">Through community-based sample collection and analysis, volunteers quantified microplastics through membrane filtration and visual identification. Preliminary data consistently show that local freshwater microplastic levels are greater than the U.S. average in the Upper Oconee Watershed, a portion of the Oconee River basin with both a high population size and high population density relative to other regions of Georgia. Average and median concentrations of 95 particles/L and 46 particles/L, respectively, were recorded throughout one year of seasonal sampling. Further visual and statistical analysis will confirm the project’s results, and discussion of these results in context will reveal the efficacy of this community-based approach to the quantification of microplastics.</w:t>
      </w:r>
    </w:p>
    <w:bookmarkEnd w:id="20"/>
    <w:bookmarkStart w:id="23" w:name="introduction"/>
    <w:p>
      <w:pPr>
        <w:pStyle w:val="Heading1"/>
      </w:pPr>
      <w:r>
        <w:rPr>
          <w:rStyle w:val="SectionNumber"/>
        </w:rPr>
        <w:t xml:space="preserve">2</w:t>
      </w:r>
      <w:r>
        <w:tab/>
      </w:r>
      <w:r>
        <w:t xml:space="preserve">Introduction</w:t>
      </w:r>
    </w:p>
    <w:p>
      <w:pPr>
        <w:pStyle w:val="FirstParagraph"/>
      </w:pPr>
      <w:r>
        <w:t xml:space="preserve">In the past two decades, the study of microplastics has expanded exponentially. Since the earliest paper mentioning small plastic particles in the ocean was published in the 1970s, before the term</w:t>
      </w:r>
      <w:r>
        <w:t xml:space="preserve"> </w:t>
      </w:r>
      <w:r>
        <w:t xml:space="preserve">“</w:t>
      </w:r>
      <w:r>
        <w:t xml:space="preserve">microplastics</w:t>
      </w:r>
      <w:r>
        <w:t xml:space="preserve">”</w:t>
      </w:r>
      <w:r>
        <w:t xml:space="preserve"> </w:t>
      </w:r>
      <w:r>
        <w:t xml:space="preserve">even existed, researchers across the globe have quantified microplastic particle levels in both marine and freshwater environments, assessed potential drivers and predictors of microplastic pollution, examined the presence of microplastics in the food chain, and explored the potential human health impacts of ingested microplastics</w:t>
      </w:r>
      <w:r>
        <w:t xml:space="preserve"> </w:t>
      </w:r>
      <w:r>
        <w:t xml:space="preserve">[1]</w:t>
      </w:r>
      <w:r>
        <w:t xml:space="preserve">. Though the body of research on microplastics has grown in recent years, many knowledge gaps remain regarding this pollutant. The term microplastics was first coined in 2004, and today microplastics are defined as plastic particles smaller in size than 5 mm, though some studies examine particles as large as 20 mm</w:t>
      </w:r>
      <w:r>
        <w:t xml:space="preserve"> </w:t>
      </w:r>
      <w:r>
        <w:t xml:space="preserve">[2]</w:t>
      </w:r>
      <w:r>
        <w:t xml:space="preserve">. Years of sampling, experimentation, and progress in research methods tell researchers that microplastics are a persistent class of pollutant and are found worldwide in a diverse assemblage of forms</w:t>
      </w:r>
      <w:r>
        <w:t xml:space="preserve"> </w:t>
      </w:r>
      <w:r>
        <w:t xml:space="preserve">[3]</w:t>
      </w:r>
      <w:r>
        <w:t xml:space="preserve">.</w:t>
      </w:r>
    </w:p>
    <w:p>
      <w:pPr>
        <w:pStyle w:val="BodyText"/>
      </w:pPr>
      <w:r>
        <w:t xml:space="preserve">Through decades of research, the scientific community proves that microplastics are ubiquitous, having identified microplastics in oceans, rivers, lakes, and other water bodies across the globe, including remote mountain lakes, the bottom of the ocean, and in ocean sediments offshore of Antarctica</w:t>
      </w:r>
      <w:r>
        <w:t xml:space="preserve"> </w:t>
      </w:r>
      <w:r>
        <w:t xml:space="preserve">[4–6]</w:t>
      </w:r>
      <w:r>
        <w:t xml:space="preserve">. Modeling of current and future plastic production and pollution indicates that plastics are so pervasive that they have been considered as a geological indicator of the proposed Anthropocene era</w:t>
      </w:r>
      <w:r>
        <w:t xml:space="preserve"> </w:t>
      </w:r>
      <w:r>
        <w:t xml:space="preserve">[7]</w:t>
      </w:r>
      <w:r>
        <w:t xml:space="preserve">. These models also suggest that microplastic concentrations will only increase in the future</w:t>
      </w:r>
      <w:r>
        <w:t xml:space="preserve"> </w:t>
      </w:r>
      <w:r>
        <w:t xml:space="preserve">[3,8–10]</w:t>
      </w:r>
      <w:r>
        <w:t xml:space="preserve">. In a 2018 paper, Barboza and collaborators state that the increase in environmental microplastics is particularly concerning due to the contaminants’ small size, the limited technology for quantifying their presence, and their potential for adversely affecting both marine biota and humans</w:t>
      </w:r>
      <w:r>
        <w:t xml:space="preserve"> </w:t>
      </w:r>
      <w:r>
        <w:t xml:space="preserve">[3]</w:t>
      </w:r>
      <w:r>
        <w:t xml:space="preserve">. Further, research shows that microplastic pollution is largely due to land-based sources; ocean-based sources such as commercial fishing, vessels, and other activities, contribute only 20% of the total plastic debris, while terrestrial activity contributes the other 80% of pollution in the marine environment</w:t>
      </w:r>
      <w:r>
        <w:t xml:space="preserve"> </w:t>
      </w:r>
      <w:r>
        <w:t xml:space="preserve">[11,12]</w:t>
      </w:r>
      <w:r>
        <w:t xml:space="preserve">. Microplastics with various terrestrial origins mainly enter the marine environment via rivers, releasing most microplastics to the ocean and retaining some in freshwater systems</w:t>
      </w:r>
      <w:r>
        <w:t xml:space="preserve"> </w:t>
      </w:r>
      <w:r>
        <w:t xml:space="preserve">[4,12–14]</w:t>
      </w:r>
      <w:r>
        <w:t xml:space="preserve">. However, a majority of microplastics research to date has focused on marine settings rather than freshwater, indicating that more studies are required in this area</w:t>
      </w:r>
      <w:r>
        <w:t xml:space="preserve"> </w:t>
      </w:r>
      <w:r>
        <w:t xml:space="preserve">[15,16]</w:t>
      </w:r>
      <w:r>
        <w:t xml:space="preserve">. Examining freshwater systems as the dominant source of microplastics will lead to a better overall understanding of microplastics pollution input and therefore insight into the scale of the issue and mitigation strategies</w:t>
      </w:r>
      <w:r>
        <w:t xml:space="preserve"> </w:t>
      </w:r>
      <w:r>
        <w:t xml:space="preserve">[14]</w:t>
      </w:r>
      <w:r>
        <w:t xml:space="preserve">.</w:t>
      </w:r>
    </w:p>
    <w:bookmarkStart w:id="21" w:name="description-of-data-and-data-source"/>
    <w:p>
      <w:pPr>
        <w:pStyle w:val="Heading2"/>
      </w:pPr>
      <w:r>
        <w:rPr>
          <w:rStyle w:val="SectionNumber"/>
        </w:rPr>
        <w:t xml:space="preserve">2.1</w:t>
      </w:r>
      <w:r>
        <w:tab/>
      </w:r>
      <w:r>
        <w:t xml:space="preserve">Description of data and data source</w:t>
      </w:r>
    </w:p>
    <w:p>
      <w:pPr>
        <w:pStyle w:val="FirstParagraph"/>
      </w:pPr>
      <w:r>
        <w:t xml:space="preserve">The data that I am using for this project is from my personal undergraduate research project on freshwater microplastics in Athens, GA. The study is ongoing and was conducted in collaboration with the Upper Oconee Watershed Network (UOWN) via their quarterly sampling events. There is one year’s worth of quarterly data, with the following sample dates: November 2020, February 2021, April 2021, and July 2021. The data include variables such as sample site, latitude and longitude, watershed location, and duplicate A and B counts of microplastics observed per filter. For the most recent sampling date, July 2021, there is additional data where a second counting session was performed, in order to assess the comparability of parallel counts. There are about 136 observations of ~10 variables in total in the dataset. The independent variables – site location, coordinates, watershed location, etc – were retrieved from UOWN. Values for microplastic counts were recorded based on visual identification via a dissecting microscope, performed by myself and by a small team of &lt;10 volunteers.</w:t>
      </w:r>
    </w:p>
    <w:bookmarkEnd w:id="21"/>
    <w:bookmarkStart w:id="22" w:name="questionshypotheses-to-be-addressed"/>
    <w:p>
      <w:pPr>
        <w:pStyle w:val="Heading2"/>
      </w:pPr>
      <w:r>
        <w:rPr>
          <w:rStyle w:val="SectionNumber"/>
        </w:rPr>
        <w:t xml:space="preserve">2.2</w:t>
      </w:r>
      <w:r>
        <w:tab/>
      </w:r>
      <w:r>
        <w:t xml:space="preserve">Questions/Hypotheses to be addressed</w:t>
      </w:r>
    </w:p>
    <w:p>
      <w:pPr>
        <w:pStyle w:val="FirstParagraph"/>
      </w:pPr>
      <w:r>
        <w:t xml:space="preserve">The questions that I want to answer with this data include the following:</w:t>
      </w:r>
      <w:r>
        <w:t xml:space="preserve"> </w:t>
      </w:r>
      <w:r>
        <w:t xml:space="preserve">- Can we characterize microplastics in Athens, GA using a citizen science approach?</w:t>
      </w:r>
      <w:r>
        <w:t xml:space="preserve"> </w:t>
      </w:r>
      <w:r>
        <w:t xml:space="preserve">- What are the levels of microplastics like in Athens, GA overall?</w:t>
      </w:r>
      <w:r>
        <w:t xml:space="preserve"> </w:t>
      </w:r>
      <w:r>
        <w:t xml:space="preserve">- How do microplastic levels differ based on location within the region?</w:t>
      </w:r>
    </w:p>
    <w:p>
      <w:pPr>
        <w:pStyle w:val="BodyText"/>
      </w:pPr>
      <w:r>
        <w:t xml:space="preserve">Questions that I want to answer that will require gathering more data using coordinates/watershed info include:</w:t>
      </w:r>
      <w:r>
        <w:t xml:space="preserve"> </w:t>
      </w:r>
      <w:r>
        <w:t xml:space="preserve">- Is microplastic concentration impacted by local land use?</w:t>
      </w:r>
      <w:r>
        <w:t xml:space="preserve"> </w:t>
      </w:r>
      <w:r>
        <w:t xml:space="preserve">- Is microplastic concentration impacted by localized population levels in specific neighborhoods?</w:t>
      </w:r>
      <w:r>
        <w:t xml:space="preserve"> </w:t>
      </w:r>
      <w:r>
        <w:t xml:space="preserve">- Does wastewater treatment plant effluent from nearby facilities increase microplastic concentration at affected sites?</w:t>
      </w:r>
      <w:r>
        <w:t xml:space="preserve"> </w:t>
      </w:r>
      <w:r>
        <w:t xml:space="preserve">- Are microplastic levels correlated to bacteria levels measured at the same sites?</w:t>
      </w:r>
      <w:r>
        <w:t xml:space="preserve"> </w:t>
      </w:r>
      <w:r>
        <w:t xml:space="preserve">These questions also relate to hypothesized predictors of microplastic pollution: population level, land use, wastewater treatment plant effluent, and microbial water quality.</w:t>
      </w:r>
    </w:p>
    <w:bookmarkEnd w:id="22"/>
    <w:bookmarkEnd w:id="23"/>
    <w:bookmarkStart w:id="70" w:name="methods"/>
    <w:p>
      <w:pPr>
        <w:pStyle w:val="Heading1"/>
      </w:pPr>
      <w:r>
        <w:rPr>
          <w:rStyle w:val="SectionNumber"/>
        </w:rPr>
        <w:t xml:space="preserve">3</w:t>
      </w:r>
      <w:r>
        <w:tab/>
      </w:r>
      <w:r>
        <w:t xml:space="preserve">Methods</w:t>
      </w:r>
    </w:p>
    <w:bookmarkStart w:id="27" w:name="data-aquisition"/>
    <w:p>
      <w:pPr>
        <w:pStyle w:val="Heading2"/>
      </w:pPr>
      <w:r>
        <w:rPr>
          <w:rStyle w:val="SectionNumber"/>
        </w:rPr>
        <w:t xml:space="preserve">3.1</w:t>
      </w:r>
      <w:r>
        <w:tab/>
      </w:r>
      <w:r>
        <w:t xml:space="preserve">Data aquisition</w:t>
      </w:r>
    </w:p>
    <w:p>
      <w:pPr>
        <w:pStyle w:val="FirstParagraph"/>
      </w:pPr>
      <w:r>
        <w:rPr>
          <w:iCs/>
          <w:i/>
        </w:rPr>
        <w:t xml:space="preserve">As applicable, explain where and how you got the data. If you directly import the data from an online source, you can combine this section with the next.</w:t>
      </w:r>
    </w:p>
    <w:bookmarkStart w:id="24" w:name="description-of-study-area"/>
    <w:p>
      <w:pPr>
        <w:pStyle w:val="Heading3"/>
      </w:pPr>
      <w:r>
        <w:rPr>
          <w:rStyle w:val="SectionNumber"/>
        </w:rPr>
        <w:t xml:space="preserve">3.1.1</w:t>
      </w:r>
      <w:r>
        <w:tab/>
      </w:r>
      <w:r>
        <w:t xml:space="preserve">Description of study area</w:t>
      </w:r>
    </w:p>
    <w:p>
      <w:pPr>
        <w:pStyle w:val="FirstParagraph"/>
      </w:pPr>
      <w:r>
        <w:t xml:space="preserve">The Upper Oconee Watershed is located in Northeast Georgia, spanning from Gainesville on the northern end to Lake Sinclair in Milledgeville, Georgia, on the southern end. The Upper Oconee Watershed encompasses 7590 km2, and includes more than 4000 km of streams</w:t>
      </w:r>
      <w:r>
        <w:t xml:space="preserve"> </w:t>
      </w:r>
      <w:r>
        <w:t xml:space="preserve">[17]</w:t>
      </w:r>
      <w:r>
        <w:t xml:space="preserve">. Land within the Upper Oconee Watershed is historically agricultural, but has been subject to increasing urbanization in the past two decades; the study area contains developed and densely populated urban residential areas</w:t>
      </w:r>
      <w:r>
        <w:t xml:space="preserve"> </w:t>
      </w:r>
      <w:r>
        <w:t xml:space="preserve">[17,18]</w:t>
      </w:r>
      <w:r>
        <w:t xml:space="preserve">. The Oconee Watershed is one of 14 river basins in the state of Georgia; the Oconee River feeds into the Altamaha River, which eventually deposits into the Atlantic Ocean off the Georgia coast (source: UOWN website). The Oconee River begins where the North and Middle Oconee Rivers meet, south of Athens, Georgia. The North and Middle Oconee Rivers begin in Lula, GA, and Brassleton, GA, respectively.</w:t>
      </w:r>
    </w:p>
    <w:p>
      <w:pPr>
        <w:pStyle w:val="BodyText"/>
      </w:pPr>
      <w:r>
        <w:t xml:space="preserve">The Upper Oconee Watershed is regularly monitored by the Upper Oconee Watershed Network (UOWN), an Athens-based monitoring, education, advocacy, and recreation organization. Quarterly sampling events occur throughout the year, and the present research project was made possible via collaboration and eventual partnership with UOWN and the quarterly sampling events. The UOWN study area consists of 600 km2.</w:t>
      </w:r>
    </w:p>
    <w:bookmarkEnd w:id="24"/>
    <w:bookmarkStart w:id="25" w:name="X8983fe370b9bec47a4c595820e1ab3138399ecc"/>
    <w:p>
      <w:pPr>
        <w:pStyle w:val="Heading3"/>
      </w:pPr>
      <w:r>
        <w:rPr>
          <w:rStyle w:val="SectionNumber"/>
        </w:rPr>
        <w:t xml:space="preserve">3.1.2</w:t>
      </w:r>
      <w:r>
        <w:tab/>
      </w:r>
      <w:r>
        <w:t xml:space="preserve">Experimental design: sample collection and processing</w:t>
      </w:r>
    </w:p>
    <w:p>
      <w:pPr>
        <w:pStyle w:val="FirstParagraph"/>
      </w:pPr>
      <w:r>
        <w:t xml:space="preserve">1-liter grab samples of water were collected quarterly from Fall 2020 through Summer 2021, in November, February, April, and July by UOWN community members. Samples were collected from 25 to 30 sites on each sampling date. The number of sites was decreased from previous sampling events due to COVID-19 public health restrictions with volunteers.</w:t>
      </w:r>
    </w:p>
    <w:p>
      <w:pPr>
        <w:pStyle w:val="BodyText"/>
      </w:pPr>
      <w:r>
        <w:t xml:space="preserve">Samples were processed via vacuum filtration, which was performed in 150 mL volumes in duplicate for each site. Samples were pumped through gridded 0.45 micron membranes (Whatman) and immediately covered and stored covered in plastic petri dishes at room temperature for up to 8 weeks.</w:t>
      </w:r>
      <w:r>
        <w:t xml:space="preserve"> </w:t>
      </w:r>
      <w:r>
        <w:t xml:space="preserve">Filters were visually inspected using a dissecting microscope with magnification ranging from [INSERT]. Microplastic particles were identified based on the following characteristic features: unnatural homogenous color, unnatural shape, homogenous texture, homogenous width (no tapered end) (CITE). Microplastic concentration (No/L) was calculated by dividing the total microplastic particle count by the sample volume. Duplicates (samples A and B for each site) were averaged to obtain a singular concentration value for each sample site.</w:t>
      </w:r>
    </w:p>
    <w:bookmarkEnd w:id="25"/>
    <w:bookmarkStart w:id="26" w:name="controls"/>
    <w:p>
      <w:pPr>
        <w:pStyle w:val="Heading3"/>
      </w:pPr>
      <w:r>
        <w:rPr>
          <w:rStyle w:val="SectionNumber"/>
        </w:rPr>
        <w:t xml:space="preserve">3.1.3</w:t>
      </w:r>
      <w:r>
        <w:tab/>
      </w:r>
      <w:r>
        <w:t xml:space="preserve">Controls</w:t>
      </w:r>
    </w:p>
    <w:p>
      <w:pPr>
        <w:pStyle w:val="FirstParagraph"/>
      </w:pPr>
      <w:r>
        <w:t xml:space="preserve">To evaluate contamination in the lab, blank filters were used to gauge airborne contamination and contamination within processing methods. Blank filters were placed in uncovered petri dishes on each work bench during sample filtration and processing. DI and MilliQ water were filtered in 150 mL volumes, in duplicate, to produce controls to represent potential contamination from filtration processes. The average contamination per sample was = INSERT.</w:t>
      </w:r>
    </w:p>
    <w:bookmarkEnd w:id="26"/>
    <w:bookmarkEnd w:id="27"/>
    <w:bookmarkStart w:id="29" w:name="data-import-and-cleaning"/>
    <w:p>
      <w:pPr>
        <w:pStyle w:val="Heading2"/>
      </w:pPr>
      <w:r>
        <w:rPr>
          <w:rStyle w:val="SectionNumber"/>
        </w:rPr>
        <w:t xml:space="preserve">3.2</w:t>
      </w:r>
      <w:r>
        <w:tab/>
      </w:r>
      <w:r>
        <w:t xml:space="preserve">Data import and cleaning</w:t>
      </w:r>
    </w:p>
    <w:p>
      <w:pPr>
        <w:pStyle w:val="FirstParagraph"/>
      </w:pPr>
      <w:r>
        <w:t xml:space="preserve">Since I am performing importing and cleaning in a separate document, in this section I will provide an overview of my steps/methods for wrangling the data, without actual code in this section.</w:t>
      </w:r>
    </w:p>
    <w:p>
      <w:pPr>
        <w:pStyle w:val="BodyText"/>
      </w:pPr>
      <w:r>
        <w:t xml:space="preserve">To supplement my analysis, additional data was imported as detailed below.</w:t>
      </w:r>
    </w:p>
    <w:bookmarkStart w:id="28" w:name="uown-quarterly-data"/>
    <w:p>
      <w:pPr>
        <w:pStyle w:val="Heading3"/>
      </w:pPr>
      <w:r>
        <w:rPr>
          <w:rStyle w:val="SectionNumber"/>
        </w:rPr>
        <w:t xml:space="preserve">3.2.1</w:t>
      </w:r>
      <w:r>
        <w:tab/>
      </w:r>
      <w:r>
        <w:t xml:space="preserve">UOWN Quarterly Data</w:t>
      </w:r>
    </w:p>
    <w:p>
      <w:pPr>
        <w:pStyle w:val="FirstParagraph"/>
      </w:pPr>
      <w:r>
        <w:t xml:space="preserve">Public data from Upper Oconee Watershed Network, Athens, Georgia; retrieved from www.uown.org</w:t>
      </w:r>
      <w:r>
        <w:t xml:space="preserve"> </w:t>
      </w:r>
      <w:r>
        <w:t xml:space="preserve">### Population</w:t>
      </w:r>
      <w:r>
        <w:t xml:space="preserve"> </w:t>
      </w:r>
      <w:r>
        <w:t xml:space="preserve">NHGIS</w:t>
      </w:r>
      <w:r>
        <w:t xml:space="preserve"> </w:t>
      </w:r>
      <w:r>
        <w:t xml:space="preserve">[</w:t>
      </w:r>
      <w:r>
        <w:rPr>
          <w:bCs/>
          <w:b/>
        </w:rPr>
        <w:t xml:space="preserve">Mansen?</w:t>
      </w:r>
      <w:r>
        <w:t xml:space="preserve">]</w:t>
      </w:r>
      <w:r>
        <w:t xml:space="preserve"> </w:t>
      </w:r>
      <w:r>
        <w:t xml:space="preserve">### Land Cover</w:t>
      </w:r>
      <w:r>
        <w:t xml:space="preserve"> </w:t>
      </w:r>
      <w:r>
        <w:t xml:space="preserve">NHGIS</w:t>
      </w:r>
      <w:r>
        <w:t xml:space="preserve"> </w:t>
      </w:r>
      <w:r>
        <w:t xml:space="preserve">[</w:t>
      </w:r>
      <w:r>
        <w:rPr>
          <w:bCs/>
          <w:b/>
        </w:rPr>
        <w:t xml:space="preserve">Mansen?</w:t>
      </w:r>
      <w:r>
        <w:t xml:space="preserve">]</w:t>
      </w:r>
      <w:r>
        <w:t xml:space="preserve"> </w:t>
      </w:r>
      <w:r>
        <w:t xml:space="preserve">### Water Reclamation Facilities</w:t>
      </w:r>
      <w:r>
        <w:t xml:space="preserve"> </w:t>
      </w:r>
      <w:r>
        <w:t xml:space="preserve">Coordinates for Athens-Clarke county’s three water reclamation facilities: North Oconee, Middle Oconee, and Cedar Creek were manually located via Google Maps.</w:t>
      </w:r>
    </w:p>
    <w:bookmarkEnd w:id="28"/>
    <w:bookmarkEnd w:id="29"/>
    <w:bookmarkStart w:id="59" w:name="exploratory-analysis"/>
    <w:p>
      <w:pPr>
        <w:pStyle w:val="Heading2"/>
      </w:pPr>
      <w:r>
        <w:rPr>
          <w:rStyle w:val="SectionNumber"/>
        </w:rPr>
        <w:t xml:space="preserve">3.3</w:t>
      </w:r>
      <w:r>
        <w:tab/>
      </w:r>
      <w:r>
        <w:t xml:space="preserve">Exploratory analysis</w:t>
      </w:r>
    </w:p>
    <w:p>
      <w:pPr>
        <w:pStyle w:val="FirstParagraph"/>
      </w:pPr>
      <w:r>
        <w:t xml:space="preserve">This section will contain the key products of my exploratory analysis (located in exploration.Rmd) when complete. Since I am keeping this document in manuscript style, I will keep processing/exploration/analysis code separate.</w:t>
      </w:r>
    </w:p>
    <w:p>
      <w:pPr>
        <w:pStyle w:val="BodyText"/>
      </w:pPr>
      <w:r>
        <w:t xml:space="preserve">Table</w:t>
      </w:r>
      <w:r>
        <w:t xml:space="preserve"> </w:t>
      </w:r>
      <w:r>
        <w:t xml:space="preserve">??</w:t>
      </w:r>
      <w:r>
        <w:t xml:space="preserve"> </w:t>
      </w:r>
      <w:r>
        <w:t xml:space="preserve">shows a table summarizing the data.</w:t>
      </w:r>
    </w:p>
    <w:bookmarkStart w:id="45" w:name="X0769500b787b60c1abe19c789575a0519d627f9"/>
    <w:p>
      <w:pPr>
        <w:pStyle w:val="Heading3"/>
      </w:pPr>
      <w:r>
        <w:rPr>
          <w:rStyle w:val="SectionNumber"/>
        </w:rPr>
        <w:t xml:space="preserve">3.3.1</w:t>
      </w:r>
      <w:r>
        <w:tab/>
      </w:r>
      <w:r>
        <w:t xml:space="preserve">Distribution of Microplastic Concentration</w:t>
      </w:r>
    </w:p>
    <w:p>
      <w:pPr>
        <w:pStyle w:val="FirstParagraph"/>
      </w:pPr>
      <w:r>
        <w:t xml:space="preserve">Figure</w:t>
      </w:r>
      <w:r>
        <w:t xml:space="preserve"> </w:t>
      </w:r>
      <w:r>
        <w:t xml:space="preserve">1</w:t>
      </w:r>
      <w:r>
        <w:t xml:space="preserve"> </w:t>
      </w:r>
      <w:r>
        <w:t xml:space="preserve">shows a histogram of microplastic concentration observations. The minimum concentration is 16.67 particles/L and the maximum is 1193.33 particles/L. The mean concentration is 104.39 particles/L, and the median is 66.67 particles/L.</w:t>
      </w:r>
    </w:p>
    <w:p>
      <w:pPr>
        <w:pStyle w:val="CaptionedFigure"/>
      </w:pPr>
      <w:r>
        <w:drawing>
          <wp:inline>
            <wp:extent cx="5334000" cy="3809273"/>
            <wp:effectExtent b="0" l="0" r="0" t="0"/>
            <wp:docPr descr="Distribution of Microplastic Concentration" title="" id="31" name="Picture"/>
            <a:graphic>
              <a:graphicData uri="http://schemas.openxmlformats.org/drawingml/2006/picture">
                <pic:pic>
                  <pic:nvPicPr>
                    <pic:cNvPr descr="../../results/distribution.png" id="32" name="Picture"/>
                    <pic:cNvPicPr>
                      <a:picLocks noChangeArrowheads="1" noChangeAspect="1"/>
                    </pic:cNvPicPr>
                  </pic:nvPicPr>
                  <pic:blipFill>
                    <a:blip r:embed="rId30"/>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Distribution of Microplastic Concentration</w:t>
      </w:r>
    </w:p>
    <w:p>
      <w:pPr>
        <w:pStyle w:val="BodyText"/>
      </w:pPr>
      <w:r>
        <w:t xml:space="preserve">Microplastic concentrations remained in similar ranges throughout the study period. Figure</w:t>
      </w:r>
      <w:r>
        <w:t xml:space="preserve"> </w:t>
      </w:r>
      <w:r>
        <w:t xml:space="preserve">2</w:t>
      </w:r>
      <w:r>
        <w:t xml:space="preserve"> </w:t>
      </w:r>
      <w:r>
        <w:t xml:space="preserve">shows a boxplot of concentrations by sample date.</w:t>
      </w:r>
    </w:p>
    <w:p>
      <w:pPr>
        <w:pStyle w:val="CaptionedFigure"/>
      </w:pPr>
      <w:r>
        <w:drawing>
          <wp:inline>
            <wp:extent cx="5334000" cy="3809273"/>
            <wp:effectExtent b="0" l="0" r="0" t="0"/>
            <wp:docPr descr="Particles/L by Sample Date" title="" id="34" name="Picture"/>
            <a:graphic>
              <a:graphicData uri="http://schemas.openxmlformats.org/drawingml/2006/picture">
                <pic:pic>
                  <pic:nvPicPr>
                    <pic:cNvPr descr="../../results/concentrationbydate.png" id="35" name="Picture"/>
                    <pic:cNvPicPr>
                      <a:picLocks noChangeArrowheads="1" noChangeAspect="1"/>
                    </pic:cNvPicPr>
                  </pic:nvPicPr>
                  <pic:blipFill>
                    <a:blip r:embed="rId33"/>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Particles/L by Sample Date</w:t>
      </w:r>
    </w:p>
    <w:p>
      <w:pPr>
        <w:pStyle w:val="BodyText"/>
      </w:pPr>
      <w:r>
        <w:t xml:space="preserve">There is some seasonal variation in concentration at each individual site. Figure</w:t>
      </w:r>
      <w:r>
        <w:t xml:space="preserve"> </w:t>
      </w:r>
      <w:r>
        <w:t xml:space="preserve">3</w:t>
      </w:r>
      <w:r>
        <w:t xml:space="preserve"> </w:t>
      </w:r>
      <w:r>
        <w:t xml:space="preserve">shows a plot of concentrations at each site.</w:t>
      </w:r>
    </w:p>
    <w:p>
      <w:pPr>
        <w:pStyle w:val="CaptionedFigure"/>
      </w:pPr>
      <w:r>
        <w:drawing>
          <wp:inline>
            <wp:extent cx="5334000" cy="3809273"/>
            <wp:effectExtent b="0" l="0" r="0" t="0"/>
            <wp:docPr descr="Seasonal Variation in Particles/L" title="" id="37" name="Picture"/>
            <a:graphic>
              <a:graphicData uri="http://schemas.openxmlformats.org/drawingml/2006/picture">
                <pic:pic>
                  <pic:nvPicPr>
                    <pic:cNvPr descr="../../results/seasonalconc_bysite.png" id="38" name="Picture"/>
                    <pic:cNvPicPr>
                      <a:picLocks noChangeArrowheads="1" noChangeAspect="1"/>
                    </pic:cNvPicPr>
                  </pic:nvPicPr>
                  <pic:blipFill>
                    <a:blip r:embed="rId36"/>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Seasonal Variation in Particles/L</w:t>
      </w:r>
    </w:p>
    <w:p>
      <w:pPr>
        <w:pStyle w:val="BodyText"/>
      </w:pPr>
      <w:r>
        <w:t xml:space="preserve">There are similar microplastic levels throughout the watersheds within the Upper Oconee. Some watersheds experienced greater variation in microplastic levels than other watersheds. Figure</w:t>
      </w:r>
      <w:r>
        <w:t xml:space="preserve"> </w:t>
      </w:r>
      <w:r>
        <w:t xml:space="preserve">4</w:t>
      </w:r>
      <w:r>
        <w:t xml:space="preserve"> </w:t>
      </w:r>
      <w:r>
        <w:t xml:space="preserve">shows the microplastic concentrations by watershed.</w:t>
      </w:r>
    </w:p>
    <w:p>
      <w:pPr>
        <w:pStyle w:val="CaptionedFigure"/>
      </w:pPr>
      <w:r>
        <w:drawing>
          <wp:inline>
            <wp:extent cx="5334000" cy="3809273"/>
            <wp:effectExtent b="0" l="0" r="0" t="0"/>
            <wp:docPr descr="Watershed Microplastic Concentrations" title="" id="40" name="Picture"/>
            <a:graphic>
              <a:graphicData uri="http://schemas.openxmlformats.org/drawingml/2006/picture">
                <pic:pic>
                  <pic:nvPicPr>
                    <pic:cNvPr descr="../../results/conc_bywatershed.png" id="41" name="Picture"/>
                    <pic:cNvPicPr>
                      <a:picLocks noChangeArrowheads="1" noChangeAspect="1"/>
                    </pic:cNvPicPr>
                  </pic:nvPicPr>
                  <pic:blipFill>
                    <a:blip r:embed="rId39"/>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Watershed Microplastic Concentrations</w:t>
      </w:r>
    </w:p>
    <w:p>
      <w:pPr>
        <w:pStyle w:val="BodyText"/>
      </w:pPr>
      <w:r>
        <w:t xml:space="preserve">Figure</w:t>
      </w:r>
      <w:r>
        <w:t xml:space="preserve"> </w:t>
      </w:r>
      <w:r>
        <w:t xml:space="preserve">5</w:t>
      </w:r>
      <w:r>
        <w:t xml:space="preserve"> </w:t>
      </w:r>
      <w:r>
        <w:t xml:space="preserve">shows a line graph of the mean watershed microplastic concentrations at each seasonal sampling date.</w:t>
      </w:r>
    </w:p>
    <w:p>
      <w:pPr>
        <w:pStyle w:val="CaptionedFigure"/>
      </w:pPr>
      <w:r>
        <w:drawing>
          <wp:inline>
            <wp:extent cx="5334000" cy="3809273"/>
            <wp:effectExtent b="0" l="0" r="0" t="0"/>
            <wp:docPr descr="Microplastic Concentration Over Time" title="" id="43" name="Picture"/>
            <a:graphic>
              <a:graphicData uri="http://schemas.openxmlformats.org/drawingml/2006/picture">
                <pic:pic>
                  <pic:nvPicPr>
                    <pic:cNvPr descr="../../results/watershed_overtime.png" id="44" name="Picture"/>
                    <pic:cNvPicPr>
                      <a:picLocks noChangeArrowheads="1" noChangeAspect="1"/>
                    </pic:cNvPicPr>
                  </pic:nvPicPr>
                  <pic:blipFill>
                    <a:blip r:embed="rId42"/>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Microplastic Concentration Over Time</w:t>
      </w:r>
    </w:p>
    <w:bookmarkEnd w:id="45"/>
    <w:bookmarkStart w:id="58" w:name="predictors"/>
    <w:p>
      <w:pPr>
        <w:pStyle w:val="Heading3"/>
      </w:pPr>
      <w:r>
        <w:rPr>
          <w:rStyle w:val="SectionNumber"/>
        </w:rPr>
        <w:t xml:space="preserve">3.3.2</w:t>
      </w:r>
      <w:r>
        <w:tab/>
      </w:r>
      <w:r>
        <w:t xml:space="preserve">Predictors</w:t>
      </w:r>
    </w:p>
    <w:p>
      <w:pPr>
        <w:pStyle w:val="FirstParagraph"/>
      </w:pPr>
      <w:r>
        <w:t xml:space="preserve">Population, land cover/use, and bacteria levels are hypothesized predictors of microplastic concentration. Figure</w:t>
      </w:r>
      <w:r>
        <w:t xml:space="preserve"> </w:t>
      </w:r>
      <w:r>
        <w:t xml:space="preserve">6</w:t>
      </w:r>
      <w:r>
        <w:t xml:space="preserve"> </w:t>
      </w:r>
      <w:r>
        <w:t xml:space="preserve">and Figure</w:t>
      </w:r>
      <w:r>
        <w:t xml:space="preserve"> </w:t>
      </w:r>
      <w:r>
        <w:t xml:space="preserve">7</w:t>
      </w:r>
      <w:r>
        <w:t xml:space="preserve"> </w:t>
      </w:r>
      <w:r>
        <w:t xml:space="preserve">demonstrate the relationship between microplastic concentration and population and microplastic concentration and bacteria levels (CFU/L), respectively.</w:t>
      </w:r>
    </w:p>
    <w:p>
      <w:pPr>
        <w:pStyle w:val="CaptionedFigure"/>
      </w:pPr>
      <w:r>
        <w:drawing>
          <wp:inline>
            <wp:extent cx="5334000" cy="3809273"/>
            <wp:effectExtent b="0" l="0" r="0" t="0"/>
            <wp:docPr descr="Particles/L vs Population" title="" id="47" name="Picture"/>
            <a:graphic>
              <a:graphicData uri="http://schemas.openxmlformats.org/drawingml/2006/picture">
                <pic:pic>
                  <pic:nvPicPr>
                    <pic:cNvPr descr="../../results/particlesvpop.png" id="48" name="Picture"/>
                    <pic:cNvPicPr>
                      <a:picLocks noChangeArrowheads="1" noChangeAspect="1"/>
                    </pic:cNvPicPr>
                  </pic:nvPicPr>
                  <pic:blipFill>
                    <a:blip r:embed="rId46"/>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Particles/L vs Population</w:t>
      </w:r>
    </w:p>
    <w:p>
      <w:pPr>
        <w:pStyle w:val="CaptionedFigure"/>
      </w:pPr>
      <w:r>
        <w:drawing>
          <wp:inline>
            <wp:extent cx="5334000" cy="3809273"/>
            <wp:effectExtent b="0" l="0" r="0" t="0"/>
            <wp:docPr descr="Log particles/L vs CFU" title="" id="50" name="Picture"/>
            <a:graphic>
              <a:graphicData uri="http://schemas.openxmlformats.org/drawingml/2006/picture">
                <pic:pic>
                  <pic:nvPicPr>
                    <pic:cNvPr descr="../../results/logmpvcfu.png" id="51" name="Picture"/>
                    <pic:cNvPicPr>
                      <a:picLocks noChangeArrowheads="1" noChangeAspect="1"/>
                    </pic:cNvPicPr>
                  </pic:nvPicPr>
                  <pic:blipFill>
                    <a:blip r:embed="rId49"/>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Log particles/L vs CFU</w:t>
      </w:r>
    </w:p>
    <w:p>
      <w:pPr>
        <w:pStyle w:val="BodyText"/>
      </w:pPr>
      <w:r>
        <w:t xml:space="preserve">Figure</w:t>
      </w:r>
      <w:r>
        <w:t xml:space="preserve"> </w:t>
      </w:r>
      <w:r>
        <w:t xml:space="preserve">8</w:t>
      </w:r>
      <w:r>
        <w:t xml:space="preserve"> </w:t>
      </w:r>
      <w:r>
        <w:t xml:space="preserve">and Figure</w:t>
      </w:r>
      <w:r>
        <w:t xml:space="preserve"> </w:t>
      </w:r>
      <w:r>
        <w:t xml:space="preserve">9</w:t>
      </w:r>
      <w:r>
        <w:t xml:space="preserve"> </w:t>
      </w:r>
      <w:r>
        <w:t xml:space="preserve">show correlation matrices for the hypothesized predictor and for the different categories of land use.</w:t>
      </w:r>
    </w:p>
    <w:p>
      <w:pPr>
        <w:pStyle w:val="CaptionedFigure"/>
      </w:pPr>
      <w:r>
        <w:drawing>
          <wp:inline>
            <wp:extent cx="5334000" cy="3809273"/>
            <wp:effectExtent b="0" l="0" r="0" t="0"/>
            <wp:docPr descr="Predictor matrix" title="" id="53" name="Picture"/>
            <a:graphic>
              <a:graphicData uri="http://schemas.openxmlformats.org/drawingml/2006/picture">
                <pic:pic>
                  <pic:nvPicPr>
                    <pic:cNvPr descr="../../results/matrix.png" id="54" name="Picture"/>
                    <pic:cNvPicPr>
                      <a:picLocks noChangeArrowheads="1" noChangeAspect="1"/>
                    </pic:cNvPicPr>
                  </pic:nvPicPr>
                  <pic:blipFill>
                    <a:blip r:embed="rId52"/>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Predictor matrix</w:t>
      </w:r>
    </w:p>
    <w:p>
      <w:pPr>
        <w:pStyle w:val="CaptionedFigure"/>
      </w:pPr>
      <w:r>
        <w:drawing>
          <wp:inline>
            <wp:extent cx="5334000" cy="3809273"/>
            <wp:effectExtent b="0" l="0" r="0" t="0"/>
            <wp:docPr descr="Land cover matrix" title="" id="56" name="Picture"/>
            <a:graphic>
              <a:graphicData uri="http://schemas.openxmlformats.org/drawingml/2006/picture">
                <pic:pic>
                  <pic:nvPicPr>
                    <pic:cNvPr descr="../../results/landmatrix.png" id="57" name="Picture"/>
                    <pic:cNvPicPr>
                      <a:picLocks noChangeArrowheads="1" noChangeAspect="1"/>
                    </pic:cNvPicPr>
                  </pic:nvPicPr>
                  <pic:blipFill>
                    <a:blip r:embed="rId55"/>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Land cover matrix</w:t>
      </w:r>
    </w:p>
    <w:bookmarkEnd w:id="58"/>
    <w:bookmarkEnd w:id="59"/>
    <w:bookmarkStart w:id="69" w:name="full-analysis"/>
    <w:p>
      <w:pPr>
        <w:pStyle w:val="Heading2"/>
      </w:pPr>
      <w:r>
        <w:rPr>
          <w:rStyle w:val="SectionNumber"/>
        </w:rPr>
        <w:t xml:space="preserve">3.4</w:t>
      </w:r>
      <w:r>
        <w:tab/>
      </w:r>
      <w:r>
        <w:t xml:space="preserve">Full analysis</w:t>
      </w:r>
    </w:p>
    <w:p>
      <w:pPr>
        <w:pStyle w:val="FirstParagraph"/>
      </w:pPr>
      <w:r>
        <w:t xml:space="preserve">Preliminary modeling reveals that there is not a strong relationship between microplastic concentration and population level. Figure</w:t>
      </w:r>
      <w:r>
        <w:t xml:space="preserve"> </w:t>
      </w:r>
      <w:r>
        <w:t xml:space="preserve">10</w:t>
      </w:r>
      <w:r>
        <w:t xml:space="preserve"> </w:t>
      </w:r>
      <w:r>
        <w:t xml:space="preserve">demonstrates a linear model fit.</w:t>
      </w:r>
    </w:p>
    <w:p>
      <w:pPr>
        <w:pStyle w:val="CaptionedFigure"/>
      </w:pPr>
      <w:r>
        <w:drawing>
          <wp:inline>
            <wp:extent cx="5334000" cy="3809273"/>
            <wp:effectExtent b="0" l="0" r="0" t="0"/>
            <wp:docPr descr="Concentration vs Population Linear Model" title="" id="61" name="Picture"/>
            <a:graphic>
              <a:graphicData uri="http://schemas.openxmlformats.org/drawingml/2006/picture">
                <pic:pic>
                  <pic:nvPicPr>
                    <pic:cNvPr descr="../../results/m_concvpop_no_outlier.png" id="62" name="Picture"/>
                    <pic:cNvPicPr>
                      <a:picLocks noChangeArrowheads="1" noChangeAspect="1"/>
                    </pic:cNvPicPr>
                  </pic:nvPicPr>
                  <pic:blipFill>
                    <a:blip r:embed="rId60"/>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Concentration vs Population Linear Model</w:t>
      </w:r>
    </w:p>
    <w:p>
      <w:pPr>
        <w:pStyle w:val="BodyText"/>
      </w:pPr>
      <w:r>
        <w:t xml:space="preserve">Figure</w:t>
      </w:r>
      <w:r>
        <w:t xml:space="preserve"> </w:t>
      </w:r>
      <w:r>
        <w:t xml:space="preserve">11</w:t>
      </w:r>
      <w:r>
        <w:t xml:space="preserve"> </w:t>
      </w:r>
      <w:r>
        <w:t xml:space="preserve">shows a linear model of microplastic concentration vs CFU (both variables log-transformed).</w:t>
      </w:r>
    </w:p>
    <w:p>
      <w:pPr>
        <w:pStyle w:val="CaptionedFigure"/>
      </w:pPr>
      <w:r>
        <w:drawing>
          <wp:inline>
            <wp:extent cx="5334000" cy="3809273"/>
            <wp:effectExtent b="0" l="0" r="0" t="0"/>
            <wp:docPr descr="Concentration vs CFU Linear Model" title="" id="64" name="Picture"/>
            <a:graphic>
              <a:graphicData uri="http://schemas.openxmlformats.org/drawingml/2006/picture">
                <pic:pic>
                  <pic:nvPicPr>
                    <pic:cNvPr descr="../../results/m_logconcvcfu.png" id="65" name="Picture"/>
                    <pic:cNvPicPr>
                      <a:picLocks noChangeArrowheads="1" noChangeAspect="1"/>
                    </pic:cNvPicPr>
                  </pic:nvPicPr>
                  <pic:blipFill>
                    <a:blip r:embed="rId63"/>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Concentration vs CFU Linear Model</w:t>
      </w:r>
    </w:p>
    <w:p>
      <w:pPr>
        <w:pStyle w:val="BodyText"/>
      </w:pPr>
      <w:r>
        <w:t xml:space="preserve">Figure</w:t>
      </w:r>
      <w:r>
        <w:t xml:space="preserve"> </w:t>
      </w:r>
      <w:r>
        <w:t xml:space="preserve">??</w:t>
      </w:r>
      <w:r>
        <w:t xml:space="preserve"> </w:t>
      </w:r>
      <w:r>
        <w:t xml:space="preserve">demonstrates a linear model of particles/L vs turbidity.</w:t>
      </w:r>
    </w:p>
    <w:p>
      <w:pPr>
        <w:pStyle w:val="CaptionedFigure"/>
      </w:pPr>
      <w:r>
        <w:drawing>
          <wp:inline>
            <wp:extent cx="5334000" cy="3809273"/>
            <wp:effectExtent b="0" l="0" r="0" t="0"/>
            <wp:docPr descr="(#fig:m_concvturbidity)Concentration vs Turbidity Linear Model" title="" id="67" name="Picture"/>
            <a:graphic>
              <a:graphicData uri="http://schemas.openxmlformats.org/drawingml/2006/picture">
                <pic:pic>
                  <pic:nvPicPr>
                    <pic:cNvPr descr="../../results/m_concvturbidity.png" id="68" name="Picture"/>
                    <pic:cNvPicPr>
                      <a:picLocks noChangeArrowheads="1" noChangeAspect="1"/>
                    </pic:cNvPicPr>
                  </pic:nvPicPr>
                  <pic:blipFill>
                    <a:blip r:embed="rId66"/>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(#fig:m_concvturbidity)Concentration vs Turbidity Linear Model</w:t>
      </w:r>
    </w:p>
    <w:p>
      <w:pPr>
        <w:pStyle w:val="BodyText"/>
      </w:pPr>
      <w:r>
        <w:t xml:space="preserve">Table</w:t>
      </w:r>
      <w:r>
        <w:t xml:space="preserve"> </w:t>
      </w:r>
      <w:r>
        <w:t xml:space="preserve">1</w:t>
      </w:r>
      <w:r>
        <w:t xml:space="preserve"> </w:t>
      </w:r>
      <w:r>
        <w:t xml:space="preserve">shows a table summarizing a linear model fit predicting particles/L with 6 predictors.</w:t>
      </w:r>
    </w:p>
    <w:p>
      <w:pPr>
        <w:pStyle w:val="TableCaption"/>
      </w:pPr>
      <w:r>
        <w:t xml:space="preserve">Linear model fit table.</w:t>
      </w:r>
    </w:p>
    <w:tbl>
      <w:tblPr>
        <w:tblStyle w:val="Table"/>
        <w:tblW w:type="auto" w:w="0"/>
        <w:tblLook w:firstRow="1" w:lastRow="0" w:firstColumn="0" w:lastColumn="0" w:noHBand="0" w:noVBand="0" w:val="0020"/>
        <w:tblCaption w:val="Linear model fit table."/>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-85.4155522</w:t>
            </w:r>
          </w:p>
        </w:tc>
        <w:tc>
          <w:tcPr/>
          <w:p>
            <w:pPr>
              <w:pStyle w:val="Compact"/>
              <w:jc w:val="right"/>
            </w:pPr>
            <w:r>
              <w:t xml:space="preserve">200.1731751</w:t>
            </w:r>
          </w:p>
        </w:tc>
        <w:tc>
          <w:tcPr/>
          <w:p>
            <w:pPr>
              <w:pStyle w:val="Compact"/>
              <w:jc w:val="right"/>
            </w:pPr>
            <w:r>
              <w:t xml:space="preserve">-0.4267083</w:t>
            </w:r>
          </w:p>
        </w:tc>
        <w:tc>
          <w:tcPr/>
          <w:p>
            <w:pPr>
              <w:pStyle w:val="Compact"/>
              <w:jc w:val="right"/>
            </w:pPr>
            <w:r>
              <w:t xml:space="preserve">0.6708307</w:t>
            </w:r>
          </w:p>
        </w:tc>
      </w:tr>
      <w:tr>
        <w:tc>
          <w:tcPr/>
          <w:p>
            <w:pPr>
              <w:pStyle w:val="Compact"/>
              <w:jc w:val="left"/>
            </w:pPr>
            <w:r>
              <w:t xml:space="preserve">visual_score</w:t>
            </w:r>
          </w:p>
        </w:tc>
        <w:tc>
          <w:tcPr/>
          <w:p>
            <w:pPr>
              <w:pStyle w:val="Compact"/>
              <w:jc w:val="right"/>
            </w:pPr>
            <w:r>
              <w:t xml:space="preserve">3.1501966</w:t>
            </w:r>
          </w:p>
        </w:tc>
        <w:tc>
          <w:tcPr/>
          <w:p>
            <w:pPr>
              <w:pStyle w:val="Compact"/>
              <w:jc w:val="right"/>
            </w:pPr>
            <w:r>
              <w:t xml:space="preserve">3.5503662</w:t>
            </w:r>
          </w:p>
        </w:tc>
        <w:tc>
          <w:tcPr/>
          <w:p>
            <w:pPr>
              <w:pStyle w:val="Compact"/>
              <w:jc w:val="right"/>
            </w:pPr>
            <w:r>
              <w:t xml:space="preserve">0.8872878</w:t>
            </w:r>
          </w:p>
        </w:tc>
        <w:tc>
          <w:tcPr/>
          <w:p>
            <w:pPr>
              <w:pStyle w:val="Compact"/>
              <w:jc w:val="right"/>
            </w:pPr>
            <w:r>
              <w:t xml:space="preserve">0.3777987</w:t>
            </w:r>
          </w:p>
        </w:tc>
      </w:tr>
      <w:tr>
        <w:tc>
          <w:tcPr/>
          <w:p>
            <w:pPr>
              <w:pStyle w:val="Compact"/>
              <w:jc w:val="left"/>
            </w:pPr>
            <w:r>
              <w:t xml:space="preserve">turbidity.ntu</w:t>
            </w:r>
          </w:p>
        </w:tc>
        <w:tc>
          <w:tcPr/>
          <w:p>
            <w:pPr>
              <w:pStyle w:val="Compact"/>
              <w:jc w:val="right"/>
            </w:pPr>
            <w:r>
              <w:t xml:space="preserve">8.1849262</w:t>
            </w:r>
          </w:p>
        </w:tc>
        <w:tc>
          <w:tcPr/>
          <w:p>
            <w:pPr>
              <w:pStyle w:val="Compact"/>
              <w:jc w:val="right"/>
            </w:pPr>
            <w:r>
              <w:t xml:space="preserve">5.1982368</w:t>
            </w:r>
          </w:p>
        </w:tc>
        <w:tc>
          <w:tcPr/>
          <w:p>
            <w:pPr>
              <w:pStyle w:val="Compact"/>
              <w:jc w:val="right"/>
            </w:pPr>
            <w:r>
              <w:t xml:space="preserve">1.5745582</w:t>
            </w:r>
          </w:p>
        </w:tc>
        <w:tc>
          <w:tcPr/>
          <w:p>
            <w:pPr>
              <w:pStyle w:val="Compact"/>
              <w:jc w:val="right"/>
            </w:pPr>
            <w:r>
              <w:t xml:space="preserve">0.1196244</w:t>
            </w:r>
          </w:p>
        </w:tc>
      </w:tr>
      <w:tr>
        <w:tc>
          <w:tcPr/>
          <w:p>
            <w:pPr>
              <w:pStyle w:val="Compact"/>
              <w:jc w:val="left"/>
            </w:pPr>
            <w:r>
              <w:t xml:space="preserve">temperature.c</w:t>
            </w:r>
          </w:p>
        </w:tc>
        <w:tc>
          <w:tcPr/>
          <w:p>
            <w:pPr>
              <w:pStyle w:val="Compact"/>
              <w:jc w:val="right"/>
            </w:pPr>
            <w:r>
              <w:t xml:space="preserve">-0.9153529</w:t>
            </w:r>
          </w:p>
        </w:tc>
        <w:tc>
          <w:tcPr/>
          <w:p>
            <w:pPr>
              <w:pStyle w:val="Compact"/>
              <w:jc w:val="right"/>
            </w:pPr>
            <w:r>
              <w:t xml:space="preserve">3.7770358</w:t>
            </w:r>
          </w:p>
        </w:tc>
        <w:tc>
          <w:tcPr/>
          <w:p>
            <w:pPr>
              <w:pStyle w:val="Compact"/>
              <w:jc w:val="right"/>
            </w:pPr>
            <w:r>
              <w:t xml:space="preserve">-0.2423469</w:t>
            </w:r>
          </w:p>
        </w:tc>
        <w:tc>
          <w:tcPr/>
          <w:p>
            <w:pPr>
              <w:pStyle w:val="Compact"/>
              <w:jc w:val="right"/>
            </w:pPr>
            <w:r>
              <w:t xml:space="preserve">0.8091818</w:t>
            </w:r>
          </w:p>
        </w:tc>
      </w:tr>
      <w:tr>
        <w:tc>
          <w:tcPr/>
          <w:p>
            <w:pPr>
              <w:pStyle w:val="Compact"/>
              <w:jc w:val="left"/>
            </w:pPr>
            <w:r>
              <w:t xml:space="preserve">e.coli.cfu</w:t>
            </w:r>
          </w:p>
        </w:tc>
        <w:tc>
          <w:tcPr/>
          <w:p>
            <w:pPr>
              <w:pStyle w:val="Compact"/>
              <w:jc w:val="right"/>
            </w:pPr>
            <w:r>
              <w:t xml:space="preserve">-0.0269844</w:t>
            </w:r>
          </w:p>
        </w:tc>
        <w:tc>
          <w:tcPr/>
          <w:p>
            <w:pPr>
              <w:pStyle w:val="Compact"/>
              <w:jc w:val="right"/>
            </w:pPr>
            <w:r>
              <w:t xml:space="preserve">0.0352879</w:t>
            </w:r>
          </w:p>
        </w:tc>
        <w:tc>
          <w:tcPr/>
          <w:p>
            <w:pPr>
              <w:pStyle w:val="Compact"/>
              <w:jc w:val="right"/>
            </w:pPr>
            <w:r>
              <w:t xml:space="preserve">-0.7646913</w:t>
            </w:r>
          </w:p>
        </w:tc>
        <w:tc>
          <w:tcPr/>
          <w:p>
            <w:pPr>
              <w:pStyle w:val="Compact"/>
              <w:jc w:val="right"/>
            </w:pPr>
            <w:r>
              <w:t xml:space="preserve">0.4468871</w:t>
            </w:r>
          </w:p>
        </w:tc>
      </w:tr>
      <w:tr>
        <w:tc>
          <w:tcPr/>
          <w:p>
            <w:pPr>
              <w:pStyle w:val="Compact"/>
              <w:jc w:val="left"/>
            </w:pPr>
            <w:r>
              <w:t xml:space="preserve">population</w:t>
            </w:r>
          </w:p>
        </w:tc>
        <w:tc>
          <w:tcPr/>
          <w:p>
            <w:pPr>
              <w:pStyle w:val="Compact"/>
              <w:jc w:val="right"/>
            </w:pPr>
            <w:r>
              <w:t xml:space="preserve">-0.0019187</w:t>
            </w:r>
          </w:p>
        </w:tc>
        <w:tc>
          <w:tcPr/>
          <w:p>
            <w:pPr>
              <w:pStyle w:val="Compact"/>
              <w:jc w:val="right"/>
            </w:pPr>
            <w:r>
              <w:t xml:space="preserve">0.0108574</w:t>
            </w:r>
          </w:p>
        </w:tc>
        <w:tc>
          <w:tcPr/>
          <w:p>
            <w:pPr>
              <w:pStyle w:val="Compact"/>
              <w:jc w:val="right"/>
            </w:pPr>
            <w:r>
              <w:t xml:space="preserve">-0.1767177</w:t>
            </w:r>
          </w:p>
        </w:tc>
        <w:tc>
          <w:tcPr/>
          <w:p>
            <w:pPr>
              <w:pStyle w:val="Compact"/>
              <w:jc w:val="right"/>
            </w:pPr>
            <w:r>
              <w:t xml:space="preserve">0.8602129</w:t>
            </w:r>
          </w:p>
        </w:tc>
      </w:tr>
      <w:tr>
        <w:tc>
          <w:tcPr/>
          <w:p>
            <w:pPr>
              <w:pStyle w:val="Compact"/>
              <w:jc w:val="left"/>
            </w:pPr>
            <w:r>
              <w:t xml:space="preserve">dist</w:t>
            </w:r>
          </w:p>
        </w:tc>
        <w:tc>
          <w:tcPr/>
          <w:p>
            <w:pPr>
              <w:pStyle w:val="Compact"/>
              <w:jc w:val="right"/>
            </w:pPr>
            <w:r>
              <w:t xml:space="preserve">0.0033504</w:t>
            </w:r>
          </w:p>
        </w:tc>
        <w:tc>
          <w:tcPr/>
          <w:p>
            <w:pPr>
              <w:pStyle w:val="Compact"/>
              <w:jc w:val="right"/>
            </w:pPr>
            <w:r>
              <w:t xml:space="preserve">0.0079782</w:t>
            </w:r>
          </w:p>
        </w:tc>
        <w:tc>
          <w:tcPr/>
          <w:p>
            <w:pPr>
              <w:pStyle w:val="Compact"/>
              <w:jc w:val="right"/>
            </w:pPr>
            <w:r>
              <w:t xml:space="preserve">0.4199472</w:t>
            </w:r>
          </w:p>
        </w:tc>
        <w:tc>
          <w:tcPr/>
          <w:p>
            <w:pPr>
              <w:pStyle w:val="Compact"/>
              <w:jc w:val="right"/>
            </w:pPr>
            <w:r>
              <w:t xml:space="preserve">0.6757408</w:t>
            </w:r>
          </w:p>
        </w:tc>
      </w:tr>
      <w:tr>
        <w:tc>
          <w:tcPr/>
          <w:p>
            <w:pPr>
              <w:pStyle w:val="Compact"/>
              <w:jc w:val="left"/>
            </w:pPr>
            <w:r>
              <w:t xml:space="preserve">watershedBear Creek</w:t>
            </w:r>
          </w:p>
        </w:tc>
        <w:tc>
          <w:tcPr/>
          <w:p>
            <w:pPr>
              <w:pStyle w:val="Compact"/>
              <w:jc w:val="right"/>
            </w:pPr>
            <w:r>
              <w:t xml:space="preserve">-96.7602059</w:t>
            </w:r>
          </w:p>
        </w:tc>
        <w:tc>
          <w:tcPr/>
          <w:p>
            <w:pPr>
              <w:pStyle w:val="Compact"/>
              <w:jc w:val="right"/>
            </w:pPr>
            <w:r>
              <w:t xml:space="preserve">210.3266462</w:t>
            </w:r>
          </w:p>
        </w:tc>
        <w:tc>
          <w:tcPr/>
          <w:p>
            <w:pPr>
              <w:pStyle w:val="Compact"/>
              <w:jc w:val="right"/>
            </w:pPr>
            <w:r>
              <w:t xml:space="preserve">-0.4600473</w:t>
            </w:r>
          </w:p>
        </w:tc>
        <w:tc>
          <w:tcPr/>
          <w:p>
            <w:pPr>
              <w:pStyle w:val="Compact"/>
              <w:jc w:val="right"/>
            </w:pPr>
            <w:r>
              <w:t xml:space="preserve">0.6468312</w:t>
            </w:r>
          </w:p>
        </w:tc>
      </w:tr>
      <w:tr>
        <w:tc>
          <w:tcPr/>
          <w:p>
            <w:pPr>
              <w:pStyle w:val="Compact"/>
              <w:jc w:val="left"/>
            </w:pPr>
            <w:r>
              <w:t xml:space="preserve">watershedBrooklyn Creek</w:t>
            </w:r>
          </w:p>
        </w:tc>
        <w:tc>
          <w:tcPr/>
          <w:p>
            <w:pPr>
              <w:pStyle w:val="Compact"/>
              <w:jc w:val="right"/>
            </w:pPr>
            <w:r>
              <w:t xml:space="preserve">-4.7845357</w:t>
            </w:r>
          </w:p>
        </w:tc>
        <w:tc>
          <w:tcPr/>
          <w:p>
            <w:pPr>
              <w:pStyle w:val="Compact"/>
              <w:jc w:val="right"/>
            </w:pPr>
            <w:r>
              <w:t xml:space="preserve">140.7570975</w:t>
            </w:r>
          </w:p>
        </w:tc>
        <w:tc>
          <w:tcPr/>
          <w:p>
            <w:pPr>
              <w:pStyle w:val="Compact"/>
              <w:jc w:val="right"/>
            </w:pPr>
            <w:r>
              <w:t xml:space="preserve">-0.0339914</w:t>
            </w:r>
          </w:p>
        </w:tc>
        <w:tc>
          <w:tcPr/>
          <w:p>
            <w:pPr>
              <w:pStyle w:val="Compact"/>
              <w:jc w:val="right"/>
            </w:pPr>
            <w:r>
              <w:t xml:space="preserve">0.9729755</w:t>
            </w:r>
          </w:p>
        </w:tc>
      </w:tr>
      <w:tr>
        <w:tc>
          <w:tcPr/>
          <w:p>
            <w:pPr>
              <w:pStyle w:val="Compact"/>
              <w:jc w:val="left"/>
            </w:pPr>
            <w:r>
              <w:t xml:space="preserve">watershedCalls Creek</w:t>
            </w:r>
          </w:p>
        </w:tc>
        <w:tc>
          <w:tcPr/>
          <w:p>
            <w:pPr>
              <w:pStyle w:val="Compact"/>
              <w:jc w:val="right"/>
            </w:pPr>
            <w:r>
              <w:t xml:space="preserve">-17.2263069</w:t>
            </w:r>
          </w:p>
        </w:tc>
        <w:tc>
          <w:tcPr/>
          <w:p>
            <w:pPr>
              <w:pStyle w:val="Compact"/>
              <w:jc w:val="right"/>
            </w:pPr>
            <w:r>
              <w:t xml:space="preserve">97.7382122</w:t>
            </w:r>
          </w:p>
        </w:tc>
        <w:tc>
          <w:tcPr/>
          <w:p>
            <w:pPr>
              <w:pStyle w:val="Compact"/>
              <w:jc w:val="right"/>
            </w:pPr>
            <w:r>
              <w:t xml:space="preserve">-0.1762495</w:t>
            </w:r>
          </w:p>
        </w:tc>
        <w:tc>
          <w:tcPr/>
          <w:p>
            <w:pPr>
              <w:pStyle w:val="Compact"/>
              <w:jc w:val="right"/>
            </w:pPr>
            <w:r>
              <w:t xml:space="preserve">0.8605794</w:t>
            </w:r>
          </w:p>
        </w:tc>
      </w:tr>
      <w:tr>
        <w:tc>
          <w:tcPr/>
          <w:p>
            <w:pPr>
              <w:pStyle w:val="Compact"/>
              <w:jc w:val="left"/>
            </w:pPr>
            <w:r>
              <w:t xml:space="preserve">watershedHunnicutt Creek</w:t>
            </w:r>
          </w:p>
        </w:tc>
        <w:tc>
          <w:tcPr/>
          <w:p>
            <w:pPr>
              <w:pStyle w:val="Compact"/>
              <w:jc w:val="right"/>
            </w:pPr>
            <w:r>
              <w:t xml:space="preserve">67.1138455</w:t>
            </w:r>
          </w:p>
        </w:tc>
        <w:tc>
          <w:tcPr/>
          <w:p>
            <w:pPr>
              <w:pStyle w:val="Compact"/>
              <w:jc w:val="right"/>
            </w:pPr>
            <w:r>
              <w:t xml:space="preserve">115.7405074</w:t>
            </w:r>
          </w:p>
        </w:tc>
        <w:tc>
          <w:tcPr/>
          <w:p>
            <w:pPr>
              <w:pStyle w:val="Compact"/>
              <w:jc w:val="right"/>
            </w:pPr>
            <w:r>
              <w:t xml:space="preserve">0.5798648</w:t>
            </w:r>
          </w:p>
        </w:tc>
        <w:tc>
          <w:tcPr/>
          <w:p>
            <w:pPr>
              <w:pStyle w:val="Compact"/>
              <w:jc w:val="right"/>
            </w:pPr>
            <w:r>
              <w:t xml:space="preserve">0.5637672</w:t>
            </w:r>
          </w:p>
        </w:tc>
      </w:tr>
      <w:tr>
        <w:tc>
          <w:tcPr/>
          <w:p>
            <w:pPr>
              <w:pStyle w:val="Compact"/>
              <w:jc w:val="left"/>
            </w:pPr>
            <w:r>
              <w:t xml:space="preserve">watershedMcNutt Creek</w:t>
            </w:r>
          </w:p>
        </w:tc>
        <w:tc>
          <w:tcPr/>
          <w:p>
            <w:pPr>
              <w:pStyle w:val="Compact"/>
              <w:jc w:val="right"/>
            </w:pPr>
            <w:r>
              <w:t xml:space="preserve">-5.3292443</w:t>
            </w:r>
          </w:p>
        </w:tc>
        <w:tc>
          <w:tcPr/>
          <w:p>
            <w:pPr>
              <w:pStyle w:val="Compact"/>
              <w:jc w:val="right"/>
            </w:pPr>
            <w:r>
              <w:t xml:space="preserve">87.4009356</w:t>
            </w:r>
          </w:p>
        </w:tc>
        <w:tc>
          <w:tcPr/>
          <w:p>
            <w:pPr>
              <w:pStyle w:val="Compact"/>
              <w:jc w:val="right"/>
            </w:pPr>
            <w:r>
              <w:t xml:space="preserve">-0.0609747</w:t>
            </w:r>
          </w:p>
        </w:tc>
        <w:tc>
          <w:tcPr/>
          <w:p>
            <w:pPr>
              <w:pStyle w:val="Compact"/>
              <w:jc w:val="right"/>
            </w:pPr>
            <w:r>
              <w:t xml:space="preserve">0.9515438</w:t>
            </w:r>
          </w:p>
        </w:tc>
      </w:tr>
      <w:tr>
        <w:tc>
          <w:tcPr/>
          <w:p>
            <w:pPr>
              <w:pStyle w:val="Compact"/>
              <w:jc w:val="left"/>
            </w:pPr>
            <w:r>
              <w:t xml:space="preserve">watershedMiddle Oconee River</w:t>
            </w:r>
          </w:p>
        </w:tc>
        <w:tc>
          <w:tcPr/>
          <w:p>
            <w:pPr>
              <w:pStyle w:val="Compact"/>
              <w:jc w:val="right"/>
            </w:pPr>
            <w:r>
              <w:t xml:space="preserve">-49.3718448</w:t>
            </w:r>
          </w:p>
        </w:tc>
        <w:tc>
          <w:tcPr/>
          <w:p>
            <w:pPr>
              <w:pStyle w:val="Compact"/>
              <w:jc w:val="right"/>
            </w:pPr>
            <w:r>
              <w:t xml:space="preserve">114.0909789</w:t>
            </w:r>
          </w:p>
        </w:tc>
        <w:tc>
          <w:tcPr/>
          <w:p>
            <w:pPr>
              <w:pStyle w:val="Compact"/>
              <w:jc w:val="right"/>
            </w:pPr>
            <w:r>
              <w:t xml:space="preserve">-0.4327410</w:t>
            </w:r>
          </w:p>
        </w:tc>
        <w:tc>
          <w:tcPr/>
          <w:p>
            <w:pPr>
              <w:pStyle w:val="Compact"/>
              <w:jc w:val="right"/>
            </w:pPr>
            <w:r>
              <w:t xml:space="preserve">0.6664615</w:t>
            </w:r>
          </w:p>
        </w:tc>
      </w:tr>
      <w:tr>
        <w:tc>
          <w:tcPr/>
          <w:p>
            <w:pPr>
              <w:pStyle w:val="Compact"/>
              <w:jc w:val="left"/>
            </w:pPr>
            <w:r>
              <w:t xml:space="preserve">watershedNorth Oconee River</w:t>
            </w:r>
          </w:p>
        </w:tc>
        <w:tc>
          <w:tcPr/>
          <w:p>
            <w:pPr>
              <w:pStyle w:val="Compact"/>
              <w:jc w:val="right"/>
            </w:pPr>
            <w:r>
              <w:t xml:space="preserve">104.2539248</w:t>
            </w:r>
          </w:p>
        </w:tc>
        <w:tc>
          <w:tcPr/>
          <w:p>
            <w:pPr>
              <w:pStyle w:val="Compact"/>
              <w:jc w:val="right"/>
            </w:pPr>
            <w:r>
              <w:t xml:space="preserve">116.1557777</w:t>
            </w:r>
          </w:p>
        </w:tc>
        <w:tc>
          <w:tcPr/>
          <w:p>
            <w:pPr>
              <w:pStyle w:val="Compact"/>
              <w:jc w:val="right"/>
            </w:pPr>
            <w:r>
              <w:t xml:space="preserve">0.8975354</w:t>
            </w:r>
          </w:p>
        </w:tc>
        <w:tc>
          <w:tcPr/>
          <w:p>
            <w:pPr>
              <w:pStyle w:val="Compact"/>
              <w:jc w:val="right"/>
            </w:pPr>
            <w:r>
              <w:t xml:space="preserve">0.3723442</w:t>
            </w:r>
          </w:p>
        </w:tc>
      </w:tr>
      <w:tr>
        <w:tc>
          <w:tcPr/>
          <w:p>
            <w:pPr>
              <w:pStyle w:val="Compact"/>
              <w:jc w:val="left"/>
            </w:pPr>
            <w:r>
              <w:t xml:space="preserve">watershedOconee River</w:t>
            </w:r>
          </w:p>
        </w:tc>
        <w:tc>
          <w:tcPr/>
          <w:p>
            <w:pPr>
              <w:pStyle w:val="Compact"/>
              <w:jc w:val="right"/>
            </w:pPr>
            <w:r>
              <w:t xml:space="preserve">-0.7654564</w:t>
            </w:r>
          </w:p>
        </w:tc>
        <w:tc>
          <w:tcPr/>
          <w:p>
            <w:pPr>
              <w:pStyle w:val="Compact"/>
              <w:jc w:val="right"/>
            </w:pPr>
            <w:r>
              <w:t xml:space="preserve">137.9000000</w:t>
            </w:r>
          </w:p>
        </w:tc>
        <w:tc>
          <w:tcPr/>
          <w:p>
            <w:pPr>
              <w:pStyle w:val="Compact"/>
              <w:jc w:val="right"/>
            </w:pPr>
            <w:r>
              <w:t xml:space="preserve">-0.0055508</w:t>
            </w:r>
          </w:p>
        </w:tc>
        <w:tc>
          <w:tcPr/>
          <w:p>
            <w:pPr>
              <w:pStyle w:val="Compact"/>
              <w:jc w:val="right"/>
            </w:pPr>
            <w:r>
              <w:t xml:space="preserve">0.9955861</w:t>
            </w:r>
          </w:p>
        </w:tc>
      </w:tr>
      <w:tr>
        <w:tc>
          <w:tcPr/>
          <w:p>
            <w:pPr>
              <w:pStyle w:val="Compact"/>
              <w:jc w:val="left"/>
            </w:pPr>
            <w:r>
              <w:t xml:space="preserve">watershedSandy Creek</w:t>
            </w:r>
          </w:p>
        </w:tc>
        <w:tc>
          <w:tcPr/>
          <w:p>
            <w:pPr>
              <w:pStyle w:val="Compact"/>
              <w:jc w:val="right"/>
            </w:pPr>
            <w:r>
              <w:t xml:space="preserve">-60.1850641</w:t>
            </w:r>
          </w:p>
        </w:tc>
        <w:tc>
          <w:tcPr/>
          <w:p>
            <w:pPr>
              <w:pStyle w:val="Compact"/>
              <w:jc w:val="right"/>
            </w:pPr>
            <w:r>
              <w:t xml:space="preserve">203.0550068</w:t>
            </w:r>
          </w:p>
        </w:tc>
        <w:tc>
          <w:tcPr/>
          <w:p>
            <w:pPr>
              <w:pStyle w:val="Compact"/>
              <w:jc w:val="right"/>
            </w:pPr>
            <w:r>
              <w:t xml:space="preserve">-0.2963978</w:t>
            </w:r>
          </w:p>
        </w:tc>
        <w:tc>
          <w:tcPr/>
          <w:p>
            <w:pPr>
              <w:pStyle w:val="Compact"/>
              <w:jc w:val="right"/>
            </w:pPr>
            <w:r>
              <w:t xml:space="preserve">0.7677565</w:t>
            </w:r>
          </w:p>
        </w:tc>
      </w:tr>
      <w:tr>
        <w:tc>
          <w:tcPr/>
          <w:p>
            <w:pPr>
              <w:pStyle w:val="Compact"/>
              <w:jc w:val="left"/>
            </w:pPr>
            <w:r>
              <w:t xml:space="preserve">watershedTanyard Creek</w:t>
            </w:r>
          </w:p>
        </w:tc>
        <w:tc>
          <w:tcPr/>
          <w:p>
            <w:pPr>
              <w:pStyle w:val="Compact"/>
              <w:jc w:val="right"/>
            </w:pPr>
            <w:r>
              <w:t xml:space="preserve">77.6196199</w:t>
            </w:r>
          </w:p>
        </w:tc>
        <w:tc>
          <w:tcPr/>
          <w:p>
            <w:pPr>
              <w:pStyle w:val="Compact"/>
              <w:jc w:val="right"/>
            </w:pPr>
            <w:r>
              <w:t xml:space="preserve">158.0304559</w:t>
            </w:r>
          </w:p>
        </w:tc>
        <w:tc>
          <w:tcPr/>
          <w:p>
            <w:pPr>
              <w:pStyle w:val="Compact"/>
              <w:jc w:val="right"/>
            </w:pPr>
            <w:r>
              <w:t xml:space="preserve">0.4911687</w:t>
            </w:r>
          </w:p>
        </w:tc>
        <w:tc>
          <w:tcPr/>
          <w:p>
            <w:pPr>
              <w:pStyle w:val="Compact"/>
              <w:jc w:val="right"/>
            </w:pPr>
            <w:r>
              <w:t xml:space="preserve">0.6247607</w:t>
            </w:r>
          </w:p>
        </w:tc>
      </w:tr>
      <w:tr>
        <w:tc>
          <w:tcPr/>
          <w:p>
            <w:pPr>
              <w:pStyle w:val="Compact"/>
              <w:jc w:val="left"/>
            </w:pPr>
            <w:r>
              <w:t xml:space="preserve">watershedTrail Creek</w:t>
            </w:r>
          </w:p>
        </w:tc>
        <w:tc>
          <w:tcPr/>
          <w:p>
            <w:pPr>
              <w:pStyle w:val="Compact"/>
              <w:jc w:val="right"/>
            </w:pPr>
            <w:r>
              <w:t xml:space="preserve">13.0256205</w:t>
            </w:r>
          </w:p>
        </w:tc>
        <w:tc>
          <w:tcPr/>
          <w:p>
            <w:pPr>
              <w:pStyle w:val="Compact"/>
              <w:jc w:val="right"/>
            </w:pPr>
            <w:r>
              <w:t xml:space="preserve">132.2887015</w:t>
            </w:r>
          </w:p>
        </w:tc>
        <w:tc>
          <w:tcPr/>
          <w:p>
            <w:pPr>
              <w:pStyle w:val="Compact"/>
              <w:jc w:val="right"/>
            </w:pPr>
            <w:r>
              <w:t xml:space="preserve">0.0984636</w:t>
            </w:r>
          </w:p>
        </w:tc>
        <w:tc>
          <w:tcPr/>
          <w:p>
            <w:pPr>
              <w:pStyle w:val="Compact"/>
              <w:jc w:val="right"/>
            </w:pPr>
            <w:r>
              <w:t xml:space="preserve">0.9218304</w:t>
            </w:r>
          </w:p>
        </w:tc>
      </w:tr>
    </w:tbl>
    <w:bookmarkEnd w:id="69"/>
    <w:bookmarkEnd w:id="70"/>
    <w:bookmarkStart w:id="71" w:name="results"/>
    <w:p>
      <w:pPr>
        <w:pStyle w:val="Heading1"/>
      </w:pPr>
      <w:r>
        <w:rPr>
          <w:rStyle w:val="SectionNumber"/>
        </w:rPr>
        <w:t xml:space="preserve">4</w:t>
      </w:r>
      <w:r>
        <w:tab/>
      </w:r>
      <w:r>
        <w:t xml:space="preserve">Results</w:t>
      </w:r>
    </w:p>
    <w:bookmarkEnd w:id="71"/>
    <w:bookmarkStart w:id="75" w:name="discussion"/>
    <w:p>
      <w:pPr>
        <w:pStyle w:val="Heading1"/>
      </w:pPr>
      <w:r>
        <w:rPr>
          <w:rStyle w:val="SectionNumber"/>
        </w:rPr>
        <w:t xml:space="preserve">5</w:t>
      </w:r>
      <w:r>
        <w:tab/>
      </w:r>
      <w:r>
        <w:t xml:space="preserve">Discussion</w:t>
      </w:r>
    </w:p>
    <w:bookmarkStart w:id="72" w:name="summary-and-interpretation"/>
    <w:p>
      <w:pPr>
        <w:pStyle w:val="Heading2"/>
      </w:pPr>
      <w:r>
        <w:rPr>
          <w:rStyle w:val="SectionNumber"/>
        </w:rPr>
        <w:t xml:space="preserve">5.1</w:t>
      </w:r>
      <w:r>
        <w:tab/>
      </w:r>
      <w:r>
        <w:t xml:space="preserve">Summary and Interpretation</w:t>
      </w:r>
    </w:p>
    <w:p>
      <w:pPr>
        <w:pStyle w:val="FirstParagraph"/>
      </w:pPr>
      <w:r>
        <w:rPr>
          <w:iCs/>
          <w:i/>
        </w:rPr>
        <w:t xml:space="preserve">Summarize what you did, what you found and what it means.</w:t>
      </w:r>
    </w:p>
    <w:bookmarkEnd w:id="72"/>
    <w:bookmarkStart w:id="73" w:name="strengths-and-limitations"/>
    <w:p>
      <w:pPr>
        <w:pStyle w:val="Heading2"/>
      </w:pPr>
      <w:r>
        <w:rPr>
          <w:rStyle w:val="SectionNumber"/>
        </w:rPr>
        <w:t xml:space="preserve">5.2</w:t>
      </w:r>
      <w:r>
        <w:tab/>
      </w:r>
      <w:r>
        <w:t xml:space="preserve">Strengths and Limitations</w:t>
      </w:r>
    </w:p>
    <w:p>
      <w:pPr>
        <w:pStyle w:val="FirstParagraph"/>
      </w:pPr>
      <w:r>
        <w:rPr>
          <w:iCs/>
          <w:i/>
        </w:rPr>
        <w:t xml:space="preserve">Discuss what you perceive as strengths and limitations of your analysis.</w:t>
      </w:r>
    </w:p>
    <w:bookmarkEnd w:id="73"/>
    <w:bookmarkStart w:id="74" w:name="conclusions"/>
    <w:p>
      <w:pPr>
        <w:pStyle w:val="Heading2"/>
      </w:pPr>
      <w:r>
        <w:rPr>
          <w:rStyle w:val="SectionNumber"/>
        </w:rPr>
        <w:t xml:space="preserve">5.3</w:t>
      </w:r>
      <w:r>
        <w:tab/>
      </w:r>
      <w:r>
        <w:t xml:space="preserve">Conclusions</w:t>
      </w:r>
    </w:p>
    <w:p>
      <w:pPr>
        <w:pStyle w:val="FirstParagraph"/>
      </w:pPr>
      <w:r>
        <w:rPr>
          <w:iCs/>
          <w:i/>
        </w:rPr>
        <w:t xml:space="preserve">What are the main take-home messages?</w:t>
      </w:r>
    </w:p>
    <w:bookmarkEnd w:id="74"/>
    <w:bookmarkEnd w:id="75"/>
    <w:bookmarkStart w:id="112" w:name="references"/>
    <w:p>
      <w:pPr>
        <w:pStyle w:val="Heading1"/>
      </w:pPr>
      <w:r>
        <w:t xml:space="preserve">References</w:t>
      </w:r>
    </w:p>
    <w:bookmarkStart w:id="111" w:name="refs"/>
    <w:bookmarkStart w:id="77" w:name="ref-Carpenter1972"/>
    <w:p>
      <w:pPr>
        <w:pStyle w:val="Bibliography"/>
      </w:pPr>
      <w:r>
        <w:t xml:space="preserve">[1]</w:t>
      </w:r>
      <w:r>
        <w:t xml:space="preserve"> </w:t>
      </w:r>
      <w:r>
        <w:t xml:space="preserve">	</w:t>
      </w:r>
      <w:r>
        <w:t xml:space="preserve">E.J. Carpenter, K.L. Smith,</w:t>
      </w:r>
      <w:r>
        <w:t xml:space="preserve"> </w:t>
      </w:r>
      <w:r>
        <w:t xml:space="preserve">“</w:t>
      </w:r>
      <w:r>
        <w:t xml:space="preserve">Plastics on the Sargasso sea surface</w:t>
      </w:r>
      <w:r>
        <w:t xml:space="preserve">,”</w:t>
      </w:r>
      <w:r>
        <w:t xml:space="preserve"> </w:t>
      </w:r>
      <w:r>
        <w:rPr>
          <w:iCs/>
          <w:i/>
        </w:rPr>
        <w:t xml:space="preserve">Science</w:t>
      </w:r>
      <w:r>
        <w:t xml:space="preserve">. 175 (1972) 1240–1241. https://doi.org/</w:t>
      </w:r>
      <w:hyperlink r:id="rId76">
        <w:r>
          <w:rPr>
            <w:rStyle w:val="Hyperlink"/>
          </w:rPr>
          <w:t xml:space="preserve">10.1126/science.175.4027.1240</w:t>
        </w:r>
      </w:hyperlink>
      <w:r>
        <w:t xml:space="preserve">.</w:t>
      </w:r>
    </w:p>
    <w:bookmarkEnd w:id="77"/>
    <w:bookmarkStart w:id="79" w:name="ref-Thompson2004"/>
    <w:p>
      <w:pPr>
        <w:pStyle w:val="Bibliography"/>
      </w:pPr>
      <w:r>
        <w:t xml:space="preserve">[2]</w:t>
      </w:r>
      <w:r>
        <w:t xml:space="preserve"> </w:t>
      </w:r>
      <w:r>
        <w:t xml:space="preserve">	</w:t>
      </w:r>
      <w:r>
        <w:t xml:space="preserve">R.C. Thompson, Y. Olson, R.P. Mitchell, A. Davis, S.J. Rowland, A.W.G. John, D. McGonigle, A.E. Russell,</w:t>
      </w:r>
      <w:r>
        <w:t xml:space="preserve"> </w:t>
      </w:r>
      <w:r>
        <w:t xml:space="preserve">“</w:t>
      </w:r>
      <w:r>
        <w:t xml:space="preserve">Lost at Sea: Where Is All the Plastic?</w:t>
      </w:r>
      <w:r>
        <w:t xml:space="preserve">”</w:t>
      </w:r>
      <w:r>
        <w:t xml:space="preserve"> </w:t>
      </w:r>
      <w:r>
        <w:rPr>
          <w:iCs/>
          <w:i/>
        </w:rPr>
        <w:t xml:space="preserve">Science</w:t>
      </w:r>
      <w:r>
        <w:t xml:space="preserve">. 304 (2004) 838. https://doi.org/</w:t>
      </w:r>
      <w:hyperlink r:id="rId78">
        <w:r>
          <w:rPr>
            <w:rStyle w:val="Hyperlink"/>
          </w:rPr>
          <w:t xml:space="preserve">10.1126/science.1094559</w:t>
        </w:r>
      </w:hyperlink>
      <w:r>
        <w:t xml:space="preserve">.</w:t>
      </w:r>
    </w:p>
    <w:bookmarkEnd w:id="79"/>
    <w:bookmarkStart w:id="81" w:name="ref-Barboza2018"/>
    <w:p>
      <w:pPr>
        <w:pStyle w:val="Bibliography"/>
      </w:pPr>
      <w:r>
        <w:t xml:space="preserve">[3]</w:t>
      </w:r>
      <w:r>
        <w:t xml:space="preserve"> </w:t>
      </w:r>
      <w:r>
        <w:t xml:space="preserve">	</w:t>
      </w:r>
      <w:r>
        <w:t xml:space="preserve">L.G.A. Barboza, A. Dick Vethaak, B.R.B.O. Lavorante, A.K. Lundebye, L. Guilhermino,</w:t>
      </w:r>
      <w:r>
        <w:t xml:space="preserve"> </w:t>
      </w:r>
      <w:r>
        <w:t xml:space="preserve">“</w:t>
      </w:r>
      <w:r>
        <w:t xml:space="preserve">Marine microplastic debris: An emerging issue for food security, food safety and human health</w:t>
      </w:r>
      <w:r>
        <w:t xml:space="preserve">,”</w:t>
      </w:r>
      <w:r>
        <w:t xml:space="preserve"> </w:t>
      </w:r>
      <w:r>
        <w:rPr>
          <w:iCs/>
          <w:i/>
        </w:rPr>
        <w:t xml:space="preserve">Marine Pollution Bulletin</w:t>
      </w:r>
      <w:r>
        <w:t xml:space="preserve">. 133 (2018) 336–348. https://doi.org/</w:t>
      </w:r>
      <w:hyperlink r:id="rId80">
        <w:r>
          <w:rPr>
            <w:rStyle w:val="Hyperlink"/>
          </w:rPr>
          <w:t xml:space="preserve">10.1016/j.marpolbul.2018.05.047</w:t>
        </w:r>
      </w:hyperlink>
      <w:r>
        <w:t xml:space="preserve">.</w:t>
      </w:r>
    </w:p>
    <w:bookmarkEnd w:id="81"/>
    <w:bookmarkStart w:id="83" w:name="ref-Free2014"/>
    <w:p>
      <w:pPr>
        <w:pStyle w:val="Bibliography"/>
      </w:pPr>
      <w:r>
        <w:t xml:space="preserve">[4]</w:t>
      </w:r>
      <w:r>
        <w:t xml:space="preserve"> </w:t>
      </w:r>
      <w:r>
        <w:t xml:space="preserve">	</w:t>
      </w:r>
      <w:r>
        <w:t xml:space="preserve">C.M. Free, O.P. Jensen, S.A. Mason, M. Eriksen, N.J. Williamson, B. Boldgiv,</w:t>
      </w:r>
      <w:r>
        <w:t xml:space="preserve"> </w:t>
      </w:r>
      <w:r>
        <w:t xml:space="preserve">“</w:t>
      </w:r>
      <w:r>
        <w:t xml:space="preserve">High-levels of microplastic pollution in a large, remote, mountain lake</w:t>
      </w:r>
      <w:r>
        <w:t xml:space="preserve">,”</w:t>
      </w:r>
      <w:r>
        <w:t xml:space="preserve"> </w:t>
      </w:r>
      <w:r>
        <w:rPr>
          <w:iCs/>
          <w:i/>
        </w:rPr>
        <w:t xml:space="preserve">Marine Pollution Bulletin</w:t>
      </w:r>
      <w:r>
        <w:t xml:space="preserve">. 85 (2014) 156–163. https://doi.org/</w:t>
      </w:r>
      <w:hyperlink r:id="rId82">
        <w:r>
          <w:rPr>
            <w:rStyle w:val="Hyperlink"/>
          </w:rPr>
          <w:t xml:space="preserve">10.1016/j.marpolbul.2014.06.001</w:t>
        </w:r>
      </w:hyperlink>
      <w:r>
        <w:t xml:space="preserve">.</w:t>
      </w:r>
    </w:p>
    <w:bookmarkEnd w:id="83"/>
    <w:bookmarkStart w:id="85" w:name="ref-Waller2017"/>
    <w:p>
      <w:pPr>
        <w:pStyle w:val="Bibliography"/>
      </w:pPr>
      <w:r>
        <w:t xml:space="preserve">[5]</w:t>
      </w:r>
      <w:r>
        <w:t xml:space="preserve"> </w:t>
      </w:r>
      <w:r>
        <w:t xml:space="preserve">	</w:t>
      </w:r>
      <w:r>
        <w:t xml:space="preserve">C.L. Waller, H.J. Griffiths, C.M. Waluda, S.E. Thorpe, I. Loaiza, B. Moreno, C.O. Pacherres, K.A. Hughes,</w:t>
      </w:r>
      <w:r>
        <w:t xml:space="preserve"> </w:t>
      </w:r>
      <w:r>
        <w:t xml:space="preserve">“</w:t>
      </w:r>
      <w:r>
        <w:t xml:space="preserve">Microplastics in the Antarctic marine system: An emerging area of research</w:t>
      </w:r>
      <w:r>
        <w:t xml:space="preserve">,”</w:t>
      </w:r>
      <w:r>
        <w:t xml:space="preserve"> </w:t>
      </w:r>
      <w:r>
        <w:rPr>
          <w:iCs/>
          <w:i/>
        </w:rPr>
        <w:t xml:space="preserve">Science of the Total Environment</w:t>
      </w:r>
      <w:r>
        <w:t xml:space="preserve">. 598 (2017) 220–227. https://doi.org/</w:t>
      </w:r>
      <w:hyperlink r:id="rId84">
        <w:r>
          <w:rPr>
            <w:rStyle w:val="Hyperlink"/>
          </w:rPr>
          <w:t xml:space="preserve">10.1016/j.scitotenv.2017.03.283</w:t>
        </w:r>
      </w:hyperlink>
      <w:r>
        <w:t xml:space="preserve">.</w:t>
      </w:r>
    </w:p>
    <w:bookmarkEnd w:id="85"/>
    <w:bookmarkStart w:id="87" w:name="ref-Peng2018"/>
    <w:p>
      <w:pPr>
        <w:pStyle w:val="Bibliography"/>
      </w:pPr>
      <w:r>
        <w:t xml:space="preserve">[6]</w:t>
      </w:r>
      <w:r>
        <w:t xml:space="preserve"> </w:t>
      </w:r>
      <w:r>
        <w:t xml:space="preserve">	</w:t>
      </w:r>
      <w:r>
        <w:t xml:space="preserve">X. Peng, M. Chen, S. Chen, S. Dasgupta, H. Xu, K. Ta, M. Du, J. Li, Z. Guo, S. Bai,</w:t>
      </w:r>
      <w:r>
        <w:t xml:space="preserve"> </w:t>
      </w:r>
      <w:r>
        <w:t xml:space="preserve">“</w:t>
      </w:r>
      <w:r>
        <w:t xml:space="preserve">Microplastics contaminate the deepest part of the world’s ocean</w:t>
      </w:r>
      <w:r>
        <w:t xml:space="preserve">,”</w:t>
      </w:r>
      <w:r>
        <w:t xml:space="preserve"> </w:t>
      </w:r>
      <w:r>
        <w:rPr>
          <w:iCs/>
          <w:i/>
        </w:rPr>
        <w:t xml:space="preserve">Geochemical Perspectives Letters</w:t>
      </w:r>
      <w:r>
        <w:t xml:space="preserve">. 9 (2018) 1–5. https://doi.org/</w:t>
      </w:r>
      <w:hyperlink r:id="rId86">
        <w:r>
          <w:rPr>
            <w:rStyle w:val="Hyperlink"/>
          </w:rPr>
          <w:t xml:space="preserve">10.7185/geochemlet.1829</w:t>
        </w:r>
      </w:hyperlink>
      <w:r>
        <w:t xml:space="preserve">.</w:t>
      </w:r>
    </w:p>
    <w:bookmarkEnd w:id="87"/>
    <w:bookmarkStart w:id="89" w:name="ref-Zalasiewicz2016"/>
    <w:p>
      <w:pPr>
        <w:pStyle w:val="Bibliography"/>
      </w:pPr>
      <w:r>
        <w:t xml:space="preserve">[7]</w:t>
      </w:r>
      <w:r>
        <w:t xml:space="preserve"> </w:t>
      </w:r>
      <w:r>
        <w:t xml:space="preserve">	</w:t>
      </w:r>
      <w:r>
        <w:t xml:space="preserve">J. Zalasiewicz, C.N. Waters, J.A. Ivar do Sul, P.L. Corcoran, A.D. Barnosky, A. Cearreta, M. Edgeworth, A. Gałuszka, C. Jeandel, R. Leinfelder, J.R. McNeill, W. Steffen, C. Summerhayes, M. Wagreich, M. Williams, A.P. Wolfe, Y. Yonan,</w:t>
      </w:r>
      <w:r>
        <w:t xml:space="preserve"> </w:t>
      </w:r>
      <w:r>
        <w:t xml:space="preserve">“</w:t>
      </w:r>
      <w:r>
        <w:t xml:space="preserve">The geological cycle of plastics and their use as a stratigraphic indicator of the Anthropocene</w:t>
      </w:r>
      <w:r>
        <w:t xml:space="preserve">,”</w:t>
      </w:r>
      <w:r>
        <w:t xml:space="preserve"> </w:t>
      </w:r>
      <w:r>
        <w:t xml:space="preserve">(2016). https://doi.org/</w:t>
      </w:r>
      <w:hyperlink r:id="rId88">
        <w:r>
          <w:rPr>
            <w:rStyle w:val="Hyperlink"/>
          </w:rPr>
          <w:t xml:space="preserve">10.1016/j.ancene.2016.01.002</w:t>
        </w:r>
      </w:hyperlink>
      <w:r>
        <w:t xml:space="preserve">.</w:t>
      </w:r>
    </w:p>
    <w:bookmarkEnd w:id="89"/>
    <w:bookmarkStart w:id="91" w:name="ref-Geyer2017"/>
    <w:p>
      <w:pPr>
        <w:pStyle w:val="Bibliography"/>
      </w:pPr>
      <w:r>
        <w:t xml:space="preserve">[8]</w:t>
      </w:r>
      <w:r>
        <w:t xml:space="preserve"> </w:t>
      </w:r>
      <w:r>
        <w:t xml:space="preserve">	</w:t>
      </w:r>
      <w:r>
        <w:t xml:space="preserve">R. Geyer, J.R. Jambeck, K.L. Law,</w:t>
      </w:r>
      <w:r>
        <w:t xml:space="preserve"> </w:t>
      </w:r>
      <w:r>
        <w:t xml:space="preserve">“</w:t>
      </w:r>
      <w:r>
        <w:t xml:space="preserve">Production, use, and fate of all plastics ever made</w:t>
      </w:r>
      <w:r>
        <w:t xml:space="preserve">,”</w:t>
      </w:r>
      <w:r>
        <w:t xml:space="preserve"> </w:t>
      </w:r>
      <w:r>
        <w:rPr>
          <w:iCs/>
          <w:i/>
        </w:rPr>
        <w:t xml:space="preserve">Science Advances</w:t>
      </w:r>
      <w:r>
        <w:t xml:space="preserve">. 3 (2017) 25–29. https://doi.org/</w:t>
      </w:r>
      <w:hyperlink r:id="rId90">
        <w:r>
          <w:rPr>
            <w:rStyle w:val="Hyperlink"/>
          </w:rPr>
          <w:t xml:space="preserve">10.1126/sciadv.1700782</w:t>
        </w:r>
      </w:hyperlink>
      <w:r>
        <w:t xml:space="preserve">.</w:t>
      </w:r>
    </w:p>
    <w:bookmarkEnd w:id="91"/>
    <w:bookmarkStart w:id="93" w:name="ref-Prokic2019"/>
    <w:p>
      <w:pPr>
        <w:pStyle w:val="Bibliography"/>
      </w:pPr>
      <w:r>
        <w:t xml:space="preserve">[9]</w:t>
      </w:r>
      <w:r>
        <w:t xml:space="preserve"> </w:t>
      </w:r>
      <w:r>
        <w:t xml:space="preserve">	</w:t>
      </w:r>
      <w:r>
        <w:t xml:space="preserve">M.D. Prokić, T.B. Radovanović, J.P. Gavrić, C. Faggio,</w:t>
      </w:r>
      <w:r>
        <w:t xml:space="preserve"> </w:t>
      </w:r>
      <w:r>
        <w:t xml:space="preserve">“</w:t>
      </w:r>
      <w:r>
        <w:t xml:space="preserve">Ecotoxicological effects of microplastics: Examination of biomarkers, current state and future perspectives</w:t>
      </w:r>
      <w:r>
        <w:t xml:space="preserve">,”</w:t>
      </w:r>
      <w:r>
        <w:t xml:space="preserve"> </w:t>
      </w:r>
      <w:r>
        <w:rPr>
          <w:iCs/>
          <w:i/>
        </w:rPr>
        <w:t xml:space="preserve">TrAC - Trends in Analytical Chemistry</w:t>
      </w:r>
      <w:r>
        <w:t xml:space="preserve">. 111 (2019) 37–46. https://doi.org/</w:t>
      </w:r>
      <w:hyperlink r:id="rId92">
        <w:r>
          <w:rPr>
            <w:rStyle w:val="Hyperlink"/>
          </w:rPr>
          <w:t xml:space="preserve">10.1016/j.trac.2018.12.001</w:t>
        </w:r>
      </w:hyperlink>
      <w:r>
        <w:t xml:space="preserve">.</w:t>
      </w:r>
    </w:p>
    <w:bookmarkEnd w:id="93"/>
    <w:bookmarkStart w:id="95" w:name="ref-Everaert2018"/>
    <w:p>
      <w:pPr>
        <w:pStyle w:val="Bibliography"/>
      </w:pPr>
      <w:r>
        <w:t xml:space="preserve">[10]</w:t>
      </w:r>
      <w:r>
        <w:t xml:space="preserve"> </w:t>
      </w:r>
      <w:r>
        <w:t xml:space="preserve">	</w:t>
      </w:r>
      <w:r>
        <w:t xml:space="preserve">G. Everaert, L. Van Cauwenberghe, M. De Rijcke, A.A. Koelmans, J. Mees, M. Vandegehuchte, C.R. Janssen,</w:t>
      </w:r>
      <w:r>
        <w:t xml:space="preserve"> </w:t>
      </w:r>
      <w:r>
        <w:t xml:space="preserve">“</w:t>
      </w:r>
      <w:r>
        <w:t xml:space="preserve">Risk assessment of microplastics in the ocean: Modelling approach and first conclusions</w:t>
      </w:r>
      <w:r>
        <w:t xml:space="preserve">,”</w:t>
      </w:r>
      <w:r>
        <w:t xml:space="preserve"> </w:t>
      </w:r>
      <w:r>
        <w:rPr>
          <w:iCs/>
          <w:i/>
        </w:rPr>
        <w:t xml:space="preserve">Environmental Pollution</w:t>
      </w:r>
      <w:r>
        <w:t xml:space="preserve">. 242 (2018) 1930–1938. https://doi.org/</w:t>
      </w:r>
      <w:hyperlink r:id="rId94">
        <w:r>
          <w:rPr>
            <w:rStyle w:val="Hyperlink"/>
          </w:rPr>
          <w:t xml:space="preserve">10.1016/j.envpol.2018.07.069</w:t>
        </w:r>
      </w:hyperlink>
      <w:r>
        <w:t xml:space="preserve">.</w:t>
      </w:r>
    </w:p>
    <w:bookmarkEnd w:id="95"/>
    <w:bookmarkStart w:id="97" w:name="ref-Andrady2011"/>
    <w:p>
      <w:pPr>
        <w:pStyle w:val="Bibliography"/>
      </w:pPr>
      <w:r>
        <w:t xml:space="preserve">[11]</w:t>
      </w:r>
      <w:r>
        <w:t xml:space="preserve"> </w:t>
      </w:r>
      <w:r>
        <w:t xml:space="preserve">	</w:t>
      </w:r>
      <w:r>
        <w:t xml:space="preserve">A.L. Andrady,</w:t>
      </w:r>
      <w:r>
        <w:t xml:space="preserve"> </w:t>
      </w:r>
      <w:r>
        <w:t xml:space="preserve">“</w:t>
      </w:r>
      <w:r>
        <w:t xml:space="preserve">Microplastics in the marine environment</w:t>
      </w:r>
      <w:r>
        <w:t xml:space="preserve">,”</w:t>
      </w:r>
      <w:r>
        <w:t xml:space="preserve"> </w:t>
      </w:r>
      <w:r>
        <w:t xml:space="preserve">(2011). https://doi.org/</w:t>
      </w:r>
      <w:hyperlink r:id="rId96">
        <w:r>
          <w:rPr>
            <w:rStyle w:val="Hyperlink"/>
          </w:rPr>
          <w:t xml:space="preserve">10.1016/j.marpolbul.2011.05.030</w:t>
        </w:r>
      </w:hyperlink>
      <w:r>
        <w:t xml:space="preserve">.</w:t>
      </w:r>
    </w:p>
    <w:bookmarkEnd w:id="97"/>
    <w:bookmarkStart w:id="99" w:name="ref-Li2018"/>
    <w:p>
      <w:pPr>
        <w:pStyle w:val="Bibliography"/>
      </w:pPr>
      <w:r>
        <w:t xml:space="preserve">[12]</w:t>
      </w:r>
      <w:r>
        <w:t xml:space="preserve"> </w:t>
      </w:r>
      <w:r>
        <w:t xml:space="preserve">	</w:t>
      </w:r>
      <w:r>
        <w:t xml:space="preserve">J. Li, H. Liu, J. Paul Chen,</w:t>
      </w:r>
      <w:r>
        <w:t xml:space="preserve"> </w:t>
      </w:r>
      <w:r>
        <w:t xml:space="preserve">“</w:t>
      </w:r>
      <w:r>
        <w:t xml:space="preserve">Microplastics in freshwater systems: A review on occurrence, environmental effects, and methods for microplastics detection</w:t>
      </w:r>
      <w:r>
        <w:t xml:space="preserve">,”</w:t>
      </w:r>
      <w:r>
        <w:t xml:space="preserve"> </w:t>
      </w:r>
      <w:r>
        <w:rPr>
          <w:iCs/>
          <w:i/>
        </w:rPr>
        <w:t xml:space="preserve">Water Research</w:t>
      </w:r>
      <w:r>
        <w:t xml:space="preserve">. 137 (2018) 362–374. https://doi.org/</w:t>
      </w:r>
      <w:hyperlink r:id="rId98">
        <w:r>
          <w:rPr>
            <w:rStyle w:val="Hyperlink"/>
          </w:rPr>
          <w:t xml:space="preserve">10.1016/j.watres.2017.12.056</w:t>
        </w:r>
      </w:hyperlink>
      <w:r>
        <w:t xml:space="preserve">.</w:t>
      </w:r>
    </w:p>
    <w:bookmarkEnd w:id="99"/>
    <w:bookmarkStart w:id="101" w:name="ref-Browne2010"/>
    <w:p>
      <w:pPr>
        <w:pStyle w:val="Bibliography"/>
      </w:pPr>
      <w:r>
        <w:t xml:space="preserve">[13]</w:t>
      </w:r>
      <w:r>
        <w:t xml:space="preserve"> </w:t>
      </w:r>
      <w:r>
        <w:t xml:space="preserve">	</w:t>
      </w:r>
      <w:r>
        <w:t xml:space="preserve">M.A. Browne, T.S. Galloway, R.C. Thompson,</w:t>
      </w:r>
      <w:r>
        <w:t xml:space="preserve"> </w:t>
      </w:r>
      <w:r>
        <w:t xml:space="preserve">“</w:t>
      </w:r>
      <w:r>
        <w:t xml:space="preserve">Spatial patterns of plastic debris along estuarine shorelines</w:t>
      </w:r>
      <w:r>
        <w:t xml:space="preserve">,”</w:t>
      </w:r>
      <w:r>
        <w:t xml:space="preserve"> </w:t>
      </w:r>
      <w:r>
        <w:rPr>
          <w:iCs/>
          <w:i/>
        </w:rPr>
        <w:t xml:space="preserve">Environmental Science and Technology</w:t>
      </w:r>
      <w:r>
        <w:t xml:space="preserve">. 44 (2010) 3404–3409. https://doi.org/</w:t>
      </w:r>
      <w:hyperlink r:id="rId100">
        <w:r>
          <w:rPr>
            <w:rStyle w:val="Hyperlink"/>
          </w:rPr>
          <w:t xml:space="preserve">10.1021/es903784e</w:t>
        </w:r>
      </w:hyperlink>
      <w:r>
        <w:t xml:space="preserve">.</w:t>
      </w:r>
    </w:p>
    <w:bookmarkEnd w:id="101"/>
    <w:bookmarkStart w:id="103" w:name="ref-Lebreton2017"/>
    <w:p>
      <w:pPr>
        <w:pStyle w:val="Bibliography"/>
      </w:pPr>
      <w:r>
        <w:t xml:space="preserve">[14]</w:t>
      </w:r>
      <w:r>
        <w:t xml:space="preserve"> </w:t>
      </w:r>
      <w:r>
        <w:t xml:space="preserve">	</w:t>
      </w:r>
      <w:r>
        <w:t xml:space="preserve">L.C.M. Lebreton, J. Van Der Zwet, J.W. Damsteeg, B. Slat, A. Andrady, J. Reisser,</w:t>
      </w:r>
      <w:r>
        <w:t xml:space="preserve"> </w:t>
      </w:r>
      <w:r>
        <w:t xml:space="preserve">“</w:t>
      </w:r>
      <w:r>
        <w:t xml:space="preserve">River plastic emissions to the world’s oceans</w:t>
      </w:r>
      <w:r>
        <w:t xml:space="preserve">,”</w:t>
      </w:r>
      <w:r>
        <w:t xml:space="preserve"> </w:t>
      </w:r>
      <w:r>
        <w:rPr>
          <w:iCs/>
          <w:i/>
        </w:rPr>
        <w:t xml:space="preserve">Nature Communications</w:t>
      </w:r>
      <w:r>
        <w:t xml:space="preserve">. 8 (2017) 1–10. https://doi.org/</w:t>
      </w:r>
      <w:hyperlink r:id="rId102">
        <w:r>
          <w:rPr>
            <w:rStyle w:val="Hyperlink"/>
          </w:rPr>
          <w:t xml:space="preserve">10.1038/ncomms15611</w:t>
        </w:r>
      </w:hyperlink>
      <w:r>
        <w:t xml:space="preserve">.</w:t>
      </w:r>
    </w:p>
    <w:bookmarkEnd w:id="103"/>
    <w:bookmarkStart w:id="105" w:name="ref-Besseling2017"/>
    <w:p>
      <w:pPr>
        <w:pStyle w:val="Bibliography"/>
      </w:pPr>
      <w:r>
        <w:t xml:space="preserve">[15]</w:t>
      </w:r>
      <w:r>
        <w:t xml:space="preserve"> </w:t>
      </w:r>
      <w:r>
        <w:t xml:space="preserve">	</w:t>
      </w:r>
      <w:r>
        <w:t xml:space="preserve">E. Besseling, J.T.K. Quik, M. Sun, A.A. Koelmans,</w:t>
      </w:r>
      <w:r>
        <w:t xml:space="preserve"> </w:t>
      </w:r>
      <w:r>
        <w:t xml:space="preserve">“</w:t>
      </w:r>
      <w:r>
        <w:t xml:space="preserve">Fate of nano- and microplastic in freshwater systems: A modeling study</w:t>
      </w:r>
      <w:r>
        <w:t xml:space="preserve">,”</w:t>
      </w:r>
      <w:r>
        <w:t xml:space="preserve"> </w:t>
      </w:r>
      <w:r>
        <w:rPr>
          <w:iCs/>
          <w:i/>
        </w:rPr>
        <w:t xml:space="preserve">Environmental Pollution</w:t>
      </w:r>
      <w:r>
        <w:t xml:space="preserve">. 220 (2017) 540–548. https://doi.org/</w:t>
      </w:r>
      <w:hyperlink r:id="rId104">
        <w:r>
          <w:rPr>
            <w:rStyle w:val="Hyperlink"/>
          </w:rPr>
          <w:t xml:space="preserve">10.1016/j.envpol.2016.10.001</w:t>
        </w:r>
      </w:hyperlink>
      <w:r>
        <w:t xml:space="preserve">.</w:t>
      </w:r>
    </w:p>
    <w:bookmarkEnd w:id="105"/>
    <w:bookmarkStart w:id="107" w:name="ref-Dris2015"/>
    <w:p>
      <w:pPr>
        <w:pStyle w:val="Bibliography"/>
      </w:pPr>
      <w:r>
        <w:t xml:space="preserve">[16]</w:t>
      </w:r>
      <w:r>
        <w:t xml:space="preserve"> </w:t>
      </w:r>
      <w:r>
        <w:t xml:space="preserve">	</w:t>
      </w:r>
      <w:r>
        <w:t xml:space="preserve">R. Dris, J. Gasperi, V. Rocher, M. Saad, N. Renault, B. Tassin,</w:t>
      </w:r>
      <w:r>
        <w:t xml:space="preserve"> </w:t>
      </w:r>
      <w:r>
        <w:t xml:space="preserve">“</w:t>
      </w:r>
      <w:r>
        <w:t xml:space="preserve">Microplastic contamination in an urban area: A case study in Greater Paris</w:t>
      </w:r>
      <w:r>
        <w:t xml:space="preserve">,”</w:t>
      </w:r>
      <w:r>
        <w:t xml:space="preserve"> </w:t>
      </w:r>
      <w:r>
        <w:rPr>
          <w:iCs/>
          <w:i/>
        </w:rPr>
        <w:t xml:space="preserve">Environmental Chemistry</w:t>
      </w:r>
      <w:r>
        <w:t xml:space="preserve">. 12 (2015) 592–599. https://doi.org/</w:t>
      </w:r>
      <w:hyperlink r:id="rId106">
        <w:r>
          <w:rPr>
            <w:rStyle w:val="Hyperlink"/>
          </w:rPr>
          <w:t xml:space="preserve">10.1071/EN14167</w:t>
        </w:r>
      </w:hyperlink>
      <w:r>
        <w:t xml:space="preserve">.</w:t>
      </w:r>
    </w:p>
    <w:bookmarkEnd w:id="107"/>
    <w:bookmarkStart w:id="108" w:name="ref-Fisher"/>
    <w:p>
      <w:pPr>
        <w:pStyle w:val="Bibliography"/>
      </w:pPr>
      <w:r>
        <w:t xml:space="preserve">[17]</w:t>
      </w:r>
      <w:r>
        <w:t xml:space="preserve"> </w:t>
      </w:r>
      <w:r>
        <w:t xml:space="preserve">	</w:t>
      </w:r>
      <w:r>
        <w:t xml:space="preserve">D.S. Fisher, J.L. Steiner, D.M. Endale, J.A. Stuedemann, H.H. Schomberg, A.J. Franzluebbers, S.R. Wilkinson,</w:t>
      </w:r>
      <w:r>
        <w:t xml:space="preserve"> </w:t>
      </w:r>
      <w:r>
        <w:t xml:space="preserve">“</w:t>
      </w:r>
      <w:r>
        <w:t xml:space="preserve">The relationship of land use practices to surface water quality in the Upper Oconee Watershed of Georgia</w:t>
      </w:r>
      <w:r>
        <w:t xml:space="preserve">,”</w:t>
      </w:r>
      <w:r>
        <w:t xml:space="preserve"> </w:t>
      </w:r>
      <w:r>
        <w:rPr>
          <w:iCs/>
          <w:i/>
        </w:rPr>
        <w:t xml:space="preserve">Forest Ecology and Management</w:t>
      </w:r>
      <w:r>
        <w:t xml:space="preserve">. 128 (2000).</w:t>
      </w:r>
    </w:p>
    <w:bookmarkEnd w:id="108"/>
    <w:bookmarkStart w:id="110" w:name="ref-Cho"/>
    <w:p>
      <w:pPr>
        <w:pStyle w:val="Bibliography"/>
      </w:pPr>
      <w:r>
        <w:t xml:space="preserve">[18]</w:t>
      </w:r>
      <w:r>
        <w:t xml:space="preserve"> </w:t>
      </w:r>
      <w:r>
        <w:t xml:space="preserve">	</w:t>
      </w:r>
      <w:r>
        <w:t xml:space="preserve">S. Cho, L.M. Hiott, J.B. Barrett, E.A. McMillan, S.L. House, S.B. Humayoun, E.S. Adams, C.R. Jackson, J.G. Frye,</w:t>
      </w:r>
      <w:r>
        <w:t xml:space="preserve"> </w:t>
      </w:r>
      <w:r>
        <w:t xml:space="preserve">“</w:t>
      </w:r>
      <w:r>
        <w:t xml:space="preserve">Prevalence and characterization of Escherichia coli isolated from the Upper Oconee Watershed in Northeast Georgia</w:t>
      </w:r>
      <w:r>
        <w:t xml:space="preserve">,”</w:t>
      </w:r>
      <w:r>
        <w:t xml:space="preserve"> </w:t>
      </w:r>
      <w:r>
        <w:rPr>
          <w:iCs/>
          <w:i/>
        </w:rPr>
        <w:t xml:space="preserve">PLOS ONE</w:t>
      </w:r>
      <w:r>
        <w:t xml:space="preserve">. 13 (2018) e0197005. https://doi.org/</w:t>
      </w:r>
      <w:hyperlink r:id="rId109">
        <w:r>
          <w:rPr>
            <w:rStyle w:val="Hyperlink"/>
          </w:rPr>
          <w:t xml:space="preserve">10.1371/JOURNAL.PONE.0197005</w:t>
        </w:r>
      </w:hyperlink>
      <w:r>
        <w:t xml:space="preserve">.</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30" Target="media/rId30.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hyperlink" Id="rId88" Target="https://doi.org/10.1016/j.ancene.2016.01.002" TargetMode="External" /><Relationship Type="http://schemas.openxmlformats.org/officeDocument/2006/relationships/hyperlink" Id="rId104" Target="https://doi.org/10.1016/j.envpol.2016.10.001" TargetMode="External" /><Relationship Type="http://schemas.openxmlformats.org/officeDocument/2006/relationships/hyperlink" Id="rId94" Target="https://doi.org/10.1016/j.envpol.2018.07.069" TargetMode="External" /><Relationship Type="http://schemas.openxmlformats.org/officeDocument/2006/relationships/hyperlink" Id="rId96" Target="https://doi.org/10.1016/j.marpolbul.2011.05.030" TargetMode="External" /><Relationship Type="http://schemas.openxmlformats.org/officeDocument/2006/relationships/hyperlink" Id="rId82" Target="https://doi.org/10.1016/j.marpolbul.2014.06.001" TargetMode="External" /><Relationship Type="http://schemas.openxmlformats.org/officeDocument/2006/relationships/hyperlink" Id="rId80" Target="https://doi.org/10.1016/j.marpolbul.2018.05.047" TargetMode="External" /><Relationship Type="http://schemas.openxmlformats.org/officeDocument/2006/relationships/hyperlink" Id="rId84" Target="https://doi.org/10.1016/j.scitotenv.2017.03.283" TargetMode="External" /><Relationship Type="http://schemas.openxmlformats.org/officeDocument/2006/relationships/hyperlink" Id="rId92" Target="https://doi.org/10.1016/j.trac.2018.12.001" TargetMode="External" /><Relationship Type="http://schemas.openxmlformats.org/officeDocument/2006/relationships/hyperlink" Id="rId98" Target="https://doi.org/10.1016/j.watres.2017.12.056" TargetMode="External" /><Relationship Type="http://schemas.openxmlformats.org/officeDocument/2006/relationships/hyperlink" Id="rId100" Target="https://doi.org/10.1021/es903784e" TargetMode="External" /><Relationship Type="http://schemas.openxmlformats.org/officeDocument/2006/relationships/hyperlink" Id="rId102" Target="https://doi.org/10.1038/ncomms15611" TargetMode="External" /><Relationship Type="http://schemas.openxmlformats.org/officeDocument/2006/relationships/hyperlink" Id="rId106" Target="https://doi.org/10.1071/EN14167" TargetMode="External" /><Relationship Type="http://schemas.openxmlformats.org/officeDocument/2006/relationships/hyperlink" Id="rId90" Target="https://doi.org/10.1126/sciadv.1700782" TargetMode="External" /><Relationship Type="http://schemas.openxmlformats.org/officeDocument/2006/relationships/hyperlink" Id="rId78" Target="https://doi.org/10.1126/science.1094559" TargetMode="External" /><Relationship Type="http://schemas.openxmlformats.org/officeDocument/2006/relationships/hyperlink" Id="rId76" Target="https://doi.org/10.1126/science.175.4027.1240" TargetMode="External" /><Relationship Type="http://schemas.openxmlformats.org/officeDocument/2006/relationships/hyperlink" Id="rId109" Target="https://doi.org/10.1371/JOURNAL.PONE.0197005" TargetMode="External" /><Relationship Type="http://schemas.openxmlformats.org/officeDocument/2006/relationships/hyperlink" Id="rId86" Target="https://doi.org/10.7185/geochemlet.1829" TargetMode="External" /></Relationships>
</file>

<file path=word/_rels/footnotes.xml.rels><?xml version="1.0" encoding="UTF-8"?><Relationships xmlns="http://schemas.openxmlformats.org/package/2006/relationships"><Relationship Type="http://schemas.openxmlformats.org/officeDocument/2006/relationships/hyperlink" Id="rId88" Target="https://doi.org/10.1016/j.ancene.2016.01.002" TargetMode="External" /><Relationship Type="http://schemas.openxmlformats.org/officeDocument/2006/relationships/hyperlink" Id="rId104" Target="https://doi.org/10.1016/j.envpol.2016.10.001" TargetMode="External" /><Relationship Type="http://schemas.openxmlformats.org/officeDocument/2006/relationships/hyperlink" Id="rId94" Target="https://doi.org/10.1016/j.envpol.2018.07.069" TargetMode="External" /><Relationship Type="http://schemas.openxmlformats.org/officeDocument/2006/relationships/hyperlink" Id="rId96" Target="https://doi.org/10.1016/j.marpolbul.2011.05.030" TargetMode="External" /><Relationship Type="http://schemas.openxmlformats.org/officeDocument/2006/relationships/hyperlink" Id="rId82" Target="https://doi.org/10.1016/j.marpolbul.2014.06.001" TargetMode="External" /><Relationship Type="http://schemas.openxmlformats.org/officeDocument/2006/relationships/hyperlink" Id="rId80" Target="https://doi.org/10.1016/j.marpolbul.2018.05.047" TargetMode="External" /><Relationship Type="http://schemas.openxmlformats.org/officeDocument/2006/relationships/hyperlink" Id="rId84" Target="https://doi.org/10.1016/j.scitotenv.2017.03.283" TargetMode="External" /><Relationship Type="http://schemas.openxmlformats.org/officeDocument/2006/relationships/hyperlink" Id="rId92" Target="https://doi.org/10.1016/j.trac.2018.12.001" TargetMode="External" /><Relationship Type="http://schemas.openxmlformats.org/officeDocument/2006/relationships/hyperlink" Id="rId98" Target="https://doi.org/10.1016/j.watres.2017.12.056" TargetMode="External" /><Relationship Type="http://schemas.openxmlformats.org/officeDocument/2006/relationships/hyperlink" Id="rId100" Target="https://doi.org/10.1021/es903784e" TargetMode="External" /><Relationship Type="http://schemas.openxmlformats.org/officeDocument/2006/relationships/hyperlink" Id="rId102" Target="https://doi.org/10.1038/ncomms15611" TargetMode="External" /><Relationship Type="http://schemas.openxmlformats.org/officeDocument/2006/relationships/hyperlink" Id="rId106" Target="https://doi.org/10.1071/EN14167" TargetMode="External" /><Relationship Type="http://schemas.openxmlformats.org/officeDocument/2006/relationships/hyperlink" Id="rId90" Target="https://doi.org/10.1126/sciadv.1700782" TargetMode="External" /><Relationship Type="http://schemas.openxmlformats.org/officeDocument/2006/relationships/hyperlink" Id="rId78" Target="https://doi.org/10.1126/science.1094559" TargetMode="External" /><Relationship Type="http://schemas.openxmlformats.org/officeDocument/2006/relationships/hyperlink" Id="rId76" Target="https://doi.org/10.1126/science.175.4027.1240" TargetMode="External" /><Relationship Type="http://schemas.openxmlformats.org/officeDocument/2006/relationships/hyperlink" Id="rId109" Target="https://doi.org/10.1371/JOURNAL.PONE.0197005" TargetMode="External" /><Relationship Type="http://schemas.openxmlformats.org/officeDocument/2006/relationships/hyperlink" Id="rId86" Target="https://doi.org/10.7185/geochemlet.18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Plastic in the Urban Freshwater Environment</dc:title>
  <dc:creator>Amelia M. Foley</dc:creator>
  <cp:keywords/>
  <dcterms:created xsi:type="dcterms:W3CDTF">2021-11-11T03:48:13Z</dcterms:created>
  <dcterms:modified xsi:type="dcterms:W3CDTF">2021-11-11T03:48:13Z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csl">
    <vt:lpwstr>elsevier.csl</vt:lpwstr>
  </property>
  <property fmtid="{D5CDD505-2E9C-101B-9397-08002B2CF9AE}" pid="4" name="date">
    <vt:lpwstr>2021-11-10</vt:lpwstr>
  </property>
  <property fmtid="{D5CDD505-2E9C-101B-9397-08002B2CF9AE}" pid="5" name="documentclass">
    <vt:lpwstr>article</vt:lpwstr>
  </property>
  <property fmtid="{D5CDD505-2E9C-101B-9397-08002B2CF9AE}" pid="6" name="output">
    <vt:lpwstr/>
  </property>
  <property fmtid="{D5CDD505-2E9C-101B-9397-08002B2CF9AE}" pid="7" name="site">
    <vt:lpwstr>bookdown::bookdown_site</vt:lpwstr>
  </property>
  <property fmtid="{D5CDD505-2E9C-101B-9397-08002B2CF9AE}" pid="8" name="subtitle">
    <vt:lpwstr>An Exploratory Study of Microplastics in the Upper Oconee Watershed via Community-Based Efforts</vt:lpwstr>
  </property>
</Properties>
</file>