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2021-09-17</w:t>
      </w:r>
    </w:p>
    <w:p>
      <w:pPr>
        <w:pStyle w:val="SourceCode"/>
      </w:pPr>
      <w:r>
        <w:rPr>
          <w:rStyle w:val="CommentTok"/>
        </w:rPr>
        <w:t xml:space="preserve">#Loading required packages</w:t>
      </w:r>
      <w:r>
        <w:br/>
      </w:r>
      <w:r>
        <w:rPr>
          <w:rStyle w:val="FunctionTok"/>
        </w:rPr>
        <w:t xml:space="preserve">library</w:t>
      </w:r>
      <w:r>
        <w:rPr>
          <w:rStyle w:val="NormalTok"/>
        </w:rPr>
        <w:t xml:space="preserve">(dplyr) </w:t>
      </w:r>
      <w:r>
        <w:rPr>
          <w:rStyle w:val="CommentTok"/>
        </w:rPr>
        <w:t xml:space="preserve">#for data processing</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C:/Users/Priyanka/Desktop/new/Priyanka_G-MADA-project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stringr 1.4.0</w:t>
      </w:r>
      <w:r>
        <w:br/>
      </w:r>
      <w:r>
        <w:rPr>
          <w:rStyle w:val="VerbatimChar"/>
        </w:rPr>
        <w:t xml:space="preserve">## v tidyr   1.1.3     v forcats 0.5.1</w:t>
      </w:r>
      <w:r>
        <w:br/>
      </w:r>
      <w:r>
        <w:rPr>
          <w:rStyle w:val="VerbatimChar"/>
        </w:rPr>
        <w:t xml:space="preserve">## v readr   2.0.1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5" w:name="key-questions"/>
    <w:p>
      <w:pPr>
        <w:pStyle w:val="Heading1"/>
      </w:pPr>
      <w:r>
        <w:rPr>
          <w:rStyle w:val="SectionNumber"/>
        </w:rPr>
        <w:t xml:space="preserve">2</w:t>
      </w:r>
      <w:r>
        <w:tab/>
      </w:r>
      <w:r>
        <w:t xml:space="preserve">KEY QUESTIONS</w:t>
      </w:r>
    </w:p>
    <w:p>
      <w:pPr>
        <w:pStyle w:val="FirstParagraph"/>
      </w:pPr>
      <w:r>
        <w:t xml:space="preserve">What is already known about this subject?</w:t>
      </w:r>
    </w:p>
    <w:p>
      <w:pPr>
        <w:pStyle w:val="BodyText"/>
      </w:pPr>
      <w:r>
        <w:t xml:space="preserve">Residents of rural communities are at increased risk for severe COVID-19–associated morbidity and mortality. In September 2020, COVID-19 incidence (cases per 100,000 population) in rural counties surpassed that in urban counties.</w:t>
      </w:r>
    </w:p>
    <w:p>
      <w:pPr>
        <w:pStyle w:val="BodyText"/>
      </w:pPr>
      <w:r>
        <w:t xml:space="preserve">What will this study add or answer?</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p>
      <w:pPr>
        <w:pStyle w:val="BodyText"/>
      </w:pPr>
      <w:r>
        <w:t xml:space="preserve">How might this impact clinical practice?</w:t>
      </w:r>
    </w:p>
    <w:p>
      <w:pPr>
        <w:pStyle w:val="BodyText"/>
      </w:pPr>
      <w:r>
        <w:t xml:space="preserve">Identify and address barriers to COVID-19 vaccination in rural areas.</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t xml:space="preserve">Coronavirus disease (COVID-19) is an infectious disease caused by a newly discovered coronavirus. Coronavirus disease 2019 (COVID-19) was declared a pandemic in March 2020. COVID-19 vaccine is the most sustainable option to manage the current pandemic. However, vaccine hesitancy by even a small subset of the population can undermine the success of this strategy.</w:t>
      </w:r>
    </w:p>
    <w:bookmarkEnd w:id="21"/>
    <w:bookmarkStart w:id="23"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p>
      <w:pPr>
        <w:pStyle w:val="BodyText"/>
      </w:pPr>
      <w:r>
        <w:t xml:space="preserve">The dataset used for this analysis is publicly available on CDC website.</w:t>
      </w:r>
      <w:r>
        <w:t xml:space="preserve"> </w:t>
      </w:r>
      <w:hyperlink r:id="rId22">
        <w:r>
          <w:rPr>
            <w:rStyle w:val="Hyperlink"/>
          </w:rPr>
          <w:t xml:space="preserve">https://data.cdc.gov/Vaccinations/Vaccine-Hesitancy-for-COVID-19-County-and-local-es/q9mh-h2tw</w:t>
        </w:r>
      </w:hyperlink>
    </w:p>
    <w:p>
      <w:pPr>
        <w:pStyle w:val="BodyText"/>
      </w:pPr>
      <w:r>
        <w:t xml:space="preserve">The hesitancy rates at the county level using the Public Use Microdata Sample (PUMS). The data was collected by utilizing survey question,</w:t>
      </w:r>
      <w:r>
        <w:t xml:space="preserve"> </w:t>
      </w:r>
      <w:r>
        <w:t xml:space="preserve">“</w:t>
      </w:r>
      <w:r>
        <w:t xml:space="preserve">Once a vaccine to prevent COVID-19 is available to you, would you…get a vaccine?</w:t>
      </w:r>
      <w:r>
        <w:t xml:space="preserve">”</w:t>
      </w:r>
      <w:r>
        <w:t xml:space="preserve"> </w:t>
      </w:r>
      <w:r>
        <w:t xml:space="preserve">which provides the following options:</w:t>
      </w:r>
    </w:p>
    <w:p>
      <w:pPr>
        <w:numPr>
          <w:ilvl w:val="0"/>
          <w:numId w:val="1001"/>
        </w:numPr>
        <w:pStyle w:val="Compact"/>
      </w:pPr>
      <w:r>
        <w:t xml:space="preserve">“</w:t>
      </w:r>
      <w:r>
        <w:t xml:space="preserve">definitely get a vaccine</w:t>
      </w:r>
      <w:r>
        <w:t xml:space="preserve">”</w:t>
      </w:r>
      <w:r>
        <w:t xml:space="preserve">;</w:t>
      </w:r>
    </w:p>
    <w:p>
      <w:pPr>
        <w:numPr>
          <w:ilvl w:val="0"/>
          <w:numId w:val="1001"/>
        </w:numPr>
        <w:pStyle w:val="Compact"/>
      </w:pPr>
      <w:r>
        <w:t xml:space="preserve">“</w:t>
      </w:r>
      <w:r>
        <w:t xml:space="preserve">probably get a vaccine</w:t>
      </w:r>
      <w:r>
        <w:t xml:space="preserve">”</w:t>
      </w:r>
      <w:r>
        <w:t xml:space="preserve">;</w:t>
      </w:r>
    </w:p>
    <w:p>
      <w:pPr>
        <w:numPr>
          <w:ilvl w:val="0"/>
          <w:numId w:val="1001"/>
        </w:numPr>
        <w:pStyle w:val="Compact"/>
      </w:pPr>
      <w:r>
        <w:t xml:space="preserve">“</w:t>
      </w:r>
      <w:r>
        <w:t xml:space="preserve">unsure</w:t>
      </w:r>
      <w:r>
        <w:t xml:space="preserve">”</w:t>
      </w:r>
      <w:r>
        <w:t xml:space="preserve">; 4)</w:t>
      </w:r>
      <w:r>
        <w:t xml:space="preserve"> </w:t>
      </w:r>
      <w:r>
        <w:t xml:space="preserve">“</w:t>
      </w:r>
      <w:r>
        <w:t xml:space="preserve">probably not get a vaccine</w:t>
      </w:r>
      <w:r>
        <w:t xml:space="preserve">”</w:t>
      </w:r>
      <w:r>
        <w:t xml:space="preserve">;</w:t>
      </w:r>
    </w:p>
    <w:p>
      <w:pPr>
        <w:numPr>
          <w:ilvl w:val="0"/>
          <w:numId w:val="1001"/>
        </w:numPr>
        <w:pStyle w:val="Compact"/>
      </w:pPr>
      <w:r>
        <w:t xml:space="preserve">“</w:t>
      </w:r>
      <w:r>
        <w:t xml:space="preserve">definitely not get a vaccine.</w:t>
      </w:r>
      <w:r>
        <w:t xml:space="preserve">”</w:t>
      </w:r>
    </w:p>
    <w:p>
      <w:pPr>
        <w:pStyle w:val="FirstParagraph"/>
      </w:pPr>
      <w:r>
        <w:t xml:space="preserve">We use three definitions to capture the strength of hesitancy to receive a vaccine.</w:t>
      </w:r>
    </w:p>
    <w:p>
      <w:pPr>
        <w:pStyle w:val="BodyText"/>
      </w:pPr>
      <w:r>
        <w:t xml:space="preserve">Strongly hesitant: includes only survey responses indicating that they would</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p>
      <w:pPr>
        <w:pStyle w:val="BodyText"/>
      </w:pPr>
      <w:r>
        <w:t xml:space="preserve">Hesitant or unsure: includes survey responses indicating that they would</w:t>
      </w:r>
      <w:r>
        <w:t xml:space="preserve"> </w:t>
      </w:r>
      <w:r>
        <w:t xml:space="preserve">“</w:t>
      </w:r>
      <w:r>
        <w:t xml:space="preserve">probably not</w:t>
      </w:r>
      <w:r>
        <w:t xml:space="preserve">”</w:t>
      </w:r>
      <w:r>
        <w:t xml:space="preserve"> </w:t>
      </w:r>
      <w:r>
        <w:t xml:space="preserve">or</w:t>
      </w:r>
      <w:r>
        <w:t xml:space="preserve"> </w:t>
      </w:r>
      <w:r>
        <w:t xml:space="preserve">“</w:t>
      </w:r>
      <w:r>
        <w:t xml:space="preserve">unsure</w:t>
      </w:r>
      <w:r>
        <w:t xml:space="preserve">”</w:t>
      </w:r>
      <w:r>
        <w:t xml:space="preserve"> </w:t>
      </w:r>
      <w:r>
        <w:t xml:space="preserve">or</w:t>
      </w:r>
      <w:r>
        <w:t xml:space="preserve"> </w:t>
      </w:r>
      <w:r>
        <w:t xml:space="preserve">“</w:t>
      </w:r>
      <w:r>
        <w:t xml:space="preserve">definitely not</w:t>
      </w:r>
      <w:r>
        <w:t xml:space="preserve">”</w:t>
      </w:r>
      <w:r>
        <w:t xml:space="preserve"> </w:t>
      </w:r>
      <w:r>
        <w:t xml:space="preserve">receive a COVID-19 vaccine when available</w:t>
      </w:r>
    </w:p>
    <w:bookmarkEnd w:id="23"/>
    <w:bookmarkStart w:id="24"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p>
      <w:pPr>
        <w:pStyle w:val="BodyText"/>
      </w:pPr>
      <w:r>
        <w:t xml:space="preserve">The present analysis will attempt to estimate the percent of the population in each county that may be vaccine hesitant</w:t>
      </w:r>
    </w:p>
    <w:p>
      <w:pPr>
        <w:pStyle w:val="BodyText"/>
      </w:pPr>
      <w:r>
        <w:t xml:space="preserve">Relationship between ethnicity and vaccine hesitancy</w:t>
      </w:r>
    </w:p>
    <w:bookmarkEnd w:id="24"/>
    <w:bookmarkEnd w:id="25"/>
    <w:bookmarkStart w:id="26" w:name="future-analysis"/>
    <w:p>
      <w:pPr>
        <w:pStyle w:val="Heading1"/>
      </w:pPr>
      <w:r>
        <w:rPr>
          <w:rStyle w:val="SectionNumber"/>
        </w:rPr>
        <w:t xml:space="preserve">3</w:t>
      </w:r>
      <w:r>
        <w:tab/>
      </w:r>
      <w:r>
        <w:t xml:space="preserve">Future analysis</w:t>
      </w:r>
    </w:p>
    <w:p>
      <w:pPr>
        <w:pStyle w:val="FirstParagraph"/>
      </w:pPr>
      <w:r>
        <w:t xml:space="preserve">I plan to present a summary of county-wise vaccine estimate based on race and ethnicity. I will plot some graphs (box-plot, scatter plot). I am also planning to do some regression analysis too</w:t>
      </w:r>
    </w:p>
    <w:bookmarkEnd w:id="26"/>
    <w:bookmarkStart w:id="32" w:name="methods-and-results"/>
    <w:p>
      <w:pPr>
        <w:pStyle w:val="Heading1"/>
      </w:pPr>
      <w:r>
        <w:rPr>
          <w:rStyle w:val="SectionNumber"/>
        </w:rPr>
        <w:t xml:space="preserve">4</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7" w:name="data-aquisition"/>
    <w:p>
      <w:pPr>
        <w:pStyle w:val="Heading2"/>
      </w:pPr>
      <w:r>
        <w:rPr>
          <w:rStyle w:val="SectionNumber"/>
        </w:rPr>
        <w:t xml:space="preserve">4.1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rPr>
          <w:rStyle w:val="SectionNumber"/>
        </w:rPr>
        <w:t xml:space="preserve">4.2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30" w:name="exploratory-analysis"/>
    <w:p>
      <w:pPr>
        <w:pStyle w:val="Heading2"/>
      </w:pPr>
      <w:r>
        <w:rPr>
          <w:rStyle w:val="SectionNumber"/>
        </w:rPr>
        <w:t xml:space="preserve">4.3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Table</w:t>
      </w:r>
      <w:r>
        <w:t xml:space="preserve"> </w:t>
      </w:r>
      <w:r>
        <w:t xml:space="preserve">4.1</w:t>
      </w:r>
      <w:r>
        <w:t xml:space="preserve"> </w:t>
      </w:r>
      <w:r>
        <w:t xml:space="preserve">shows a table summarizing the data.</w:t>
      </w:r>
    </w:p>
    <w:p>
      <w:pPr>
        <w:pStyle w:val="TableCaption"/>
      </w:pPr>
      <w:r>
        <w:t xml:space="preserve">Table 4.1: Data summary table.</w:t>
      </w:r>
    </w:p>
    <w:tbl>
      <w:tblPr>
        <w:tblStyle w:val="Table"/>
        <w:tblW w:type="pct" w:w="0.0"/>
        <w:tblLook w:firstRow="1" w:lastRow="0" w:firstColumn="0" w:lastColumn="0" w:noHBand="0" w:noVBand="0" w:val="0020"/>
        <w:tblCaption w:val="Table 4.1: Data summary table."/>
      </w:tblPr>
      <w:tblGrid/>
      <w:tr>
        <w:tc>
          <w:p/>
        </w:tc>
        <w:tc>
          <w:p>
            <w:pPr>
              <w:pStyle w:val="Compact"/>
              <w:jc w:val="right"/>
            </w:pPr>
            <w:r>
              <w:t xml:space="preserve">Height</w:t>
            </w:r>
          </w:p>
        </w:tc>
        <w:tc>
          <w:p>
            <w:pPr>
              <w:pStyle w:val="Compact"/>
              <w:jc w:val="right"/>
            </w:pPr>
            <w:r>
              <w:t xml:space="preserve">Weight</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r>
    </w:tbl>
    <w:p>
      <w:pPr>
        <w:pStyle w:val="BodyText"/>
      </w:pPr>
      <w:r>
        <w:t xml:space="preserve">Figure</w:t>
      </w:r>
      <w:r>
        <w:t xml:space="preserve"> </w:t>
      </w:r>
      <w:r>
        <w:t xml:space="preserve">4.1</w:t>
      </w:r>
      <w:r>
        <w:t xml:space="preserve"> </w:t>
      </w:r>
      <w:r>
        <w:t xml:space="preserve">shows a scatterplot figure produced by one of the R scripts.</w:t>
      </w:r>
    </w:p>
    <w:p>
      <w:pPr>
        <w:pStyle w:val="CaptionedFigure"/>
      </w:pPr>
      <w:r>
        <w:drawing>
          <wp:inline>
            <wp:extent cx="5334000" cy="3303289"/>
            <wp:effectExtent b="0" l="0" r="0" t="0"/>
            <wp:docPr descr="Figure 4.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9"/>
                    <a:stretch>
                      <a:fillRect/>
                    </a:stretch>
                  </pic:blipFill>
                  <pic:spPr bwMode="auto">
                    <a:xfrm>
                      <a:off x="0" y="0"/>
                      <a:ext cx="5334000" cy="3303289"/>
                    </a:xfrm>
                    <a:prstGeom prst="rect">
                      <a:avLst/>
                    </a:prstGeom>
                    <a:noFill/>
                    <a:ln w="9525">
                      <a:noFill/>
                      <a:headEnd/>
                      <a:tailEnd/>
                    </a:ln>
                  </pic:spPr>
                </pic:pic>
              </a:graphicData>
            </a:graphic>
          </wp:inline>
        </w:drawing>
      </w:r>
    </w:p>
    <w:p>
      <w:pPr>
        <w:pStyle w:val="ImageCaption"/>
      </w:pPr>
      <w:r>
        <w:t xml:space="preserve">Figure 4.1: Analysis figure.</w:t>
      </w:r>
    </w:p>
    <w:bookmarkEnd w:id="30"/>
    <w:bookmarkStart w:id="31" w:name="full-analysis"/>
    <w:p>
      <w:pPr>
        <w:pStyle w:val="Heading2"/>
      </w:pPr>
      <w:r>
        <w:rPr>
          <w:rStyle w:val="SectionNumber"/>
        </w:rPr>
        <w:t xml:space="preserve">4.4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4.2</w:t>
      </w:r>
      <w:r>
        <w:t xml:space="preserve"> </w:t>
      </w:r>
      <w:r>
        <w:t xml:space="preserve">shows a table summarizing a linear model fit.</w:t>
      </w:r>
    </w:p>
    <w:p>
      <w:pPr>
        <w:pStyle w:val="TableCaption"/>
      </w:pPr>
      <w:r>
        <w:t xml:space="preserve">Table 4.2: Linear model fit table.</w:t>
      </w:r>
    </w:p>
    <w:tbl>
      <w:tblPr>
        <w:tblStyle w:val="Table"/>
        <w:tblW w:type="pct" w:w="0.0"/>
        <w:tblLook w:firstRow="1" w:lastRow="0" w:firstColumn="0" w:lastColumn="0" w:noHBand="0" w:noVBand="0" w:val="0020"/>
        <w:tblCaption w:val="Table 4.2: Linear model fit table."/>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1"/>
    <w:bookmarkEnd w:id="32"/>
    <w:bookmarkStart w:id="37" w:name="discussion"/>
    <w:p>
      <w:pPr>
        <w:pStyle w:val="Heading1"/>
      </w:pPr>
      <w:r>
        <w:rPr>
          <w:rStyle w:val="SectionNumber"/>
        </w:rPr>
        <w:t xml:space="preserve">5</w:t>
      </w:r>
      <w:r>
        <w:tab/>
      </w:r>
      <w:r>
        <w:t xml:space="preserve">Discussion</w:t>
      </w:r>
    </w:p>
    <w:bookmarkStart w:id="33" w:name="summary-and-interpretation"/>
    <w:p>
      <w:pPr>
        <w:pStyle w:val="Heading2"/>
      </w:pPr>
      <w:r>
        <w:rPr>
          <w:rStyle w:val="SectionNumber"/>
        </w:rPr>
        <w:t xml:space="preserve">5.1</w:t>
      </w:r>
      <w:r>
        <w:tab/>
      </w:r>
      <w:r>
        <w:t xml:space="preserve">Summary and Interpretation</w:t>
      </w:r>
    </w:p>
    <w:p>
      <w:pPr>
        <w:pStyle w:val="FirstParagraph"/>
      </w:pPr>
      <w:r>
        <w:rPr>
          <w:iCs/>
          <w:i/>
        </w:rPr>
        <w:t xml:space="preserve">Summarize what you did, what you found and what it means.</w:t>
      </w:r>
    </w:p>
    <w:bookmarkEnd w:id="33"/>
    <w:bookmarkStart w:id="34" w:name="strengths-and-limitations"/>
    <w:p>
      <w:pPr>
        <w:pStyle w:val="Heading2"/>
      </w:pPr>
      <w:r>
        <w:rPr>
          <w:rStyle w:val="SectionNumber"/>
        </w:rPr>
        <w:t xml:space="preserve">5.2</w:t>
      </w:r>
      <w:r>
        <w:tab/>
      </w:r>
      <w:r>
        <w:t xml:space="preserve">Strengths and Limitations</w:t>
      </w:r>
    </w:p>
    <w:p>
      <w:pPr>
        <w:pStyle w:val="FirstParagraph"/>
      </w:pPr>
      <w:r>
        <w:rPr>
          <w:iCs/>
          <w:i/>
        </w:rPr>
        <w:t xml:space="preserve">Discuss what you perceive as strengths and limitations of your analysis.</w:t>
      </w:r>
    </w:p>
    <w:bookmarkEnd w:id="34"/>
    <w:bookmarkStart w:id="36" w:name="conclusions"/>
    <w:p>
      <w:pPr>
        <w:pStyle w:val="Heading2"/>
      </w:pPr>
      <w:r>
        <w:rPr>
          <w:rStyle w:val="SectionNumber"/>
        </w:rPr>
        <w:t xml:space="preserve">5.3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cdc.gov/Vaccinations/Vaccine-Hesitancy-for-COVID-19-County-and-local-es/q9mh-h2tw" TargetMode="External"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2021-09-17T06:05:11Z</dcterms:created>
  <dcterms:modified xsi:type="dcterms:W3CDTF">2021-09-17T06:05:11Z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2021-09-17</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