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b w:val="1"/>
          <w:bCs w:val="1"/>
        </w:rPr>
      </w:pPr>
      <w:bookmarkStart w:colFirst="0" w:colLast="0" w:name="_et1d97im6qsw" w:id="0"/>
      <w:bookmarkEnd w:id="0"/>
      <w:r w:rsidDel="00000000" w:rsidR="00000000" w:rsidRPr="00000000">
        <w:rPr>
          <w:b w:val="1"/>
          <w:bCs w:val="1"/>
          <w:rtl w:val="0"/>
        </w:rPr>
        <w:t xml:space="preserve">Bubble Detection and Dating in Fan Tokens: A SADF/BSADF, Change-Point and Bayesian Time-Series Analysis</w:t>
      </w:r>
    </w:p>
    <w:p w:rsidR="00000000" w:rsidDel="00000000" w:rsidP="00000000" w:rsidRDefault="00000000" w:rsidRPr="00000000" w14:paraId="00000002">
      <w:pPr>
        <w:pStyle w:val="Heading2"/>
        <w:rPr>
          <w:b w:val="1"/>
          <w:bCs w:val="1"/>
        </w:rPr>
      </w:pPr>
      <w:bookmarkStart w:colFirst="0" w:colLast="0" w:name="_vf3ec3q2qsx7" w:id="1"/>
      <w:bookmarkEnd w:id="1"/>
      <w:r w:rsidDel="00000000" w:rsidR="00000000" w:rsidRPr="00000000">
        <w:rPr>
          <w:b w:val="1"/>
          <w:bCs w:val="1"/>
          <w:rtl w:val="0"/>
        </w:rPr>
        <w:t xml:space="preserve">INTRODUCTION </w:t>
      </w:r>
    </w:p>
    <w:p w:rsidR="00000000" w:rsidDel="00000000" w:rsidP="00000000" w:rsidRDefault="00000000" w:rsidRPr="00000000" w14:paraId="00000003">
      <w:pPr>
        <w:spacing w:after="240" w:before="240" w:lineRule="auto"/>
        <w:rPr/>
      </w:pPr>
      <w:r w:rsidDel="00000000" w:rsidR="00000000" w:rsidRPr="00000000">
        <w:rPr>
          <w:rtl w:val="0"/>
        </w:rPr>
        <w:t xml:space="preserve">The rapid adoption of cryptocurrencies such as Bitcoin, Ethereum, Tether, etc. is a direct result of the rising demand from investors to shift away from currencies that may be influenced by central banks and governments towards a type of currency over which they hold greater ownership and control. Noting the potential growth of cryptocurrency as a niche, businesses have also started issuing cryptocurrencies as a means of raising funds while providing investors with a variety of perks that may or may not be strictly monetary. Fan tokens are one such example. They were initially introduced by Juventus Football Club through the launch of “$JUV”, which gave holders access to a variety of fan-related membership perks such as voting on club decisions, rewards, and merchandise designs. Fan tokens act as blockchain-based digital assets that may be issued by entertainment entities such as sports clubs, production studios, individual actors, etc., for the purpose of raising funds from fans. They are usually distributed and traded through dedicated platforms such as Chiliz/Socios. The rise of fan tokens is majorly attributed as an attempt by clubs to convert fan loyalty and engagement into a tradable digital instrument, extending traditional membership and merchandising relationships into a new asset form (Ante et al., 2023).</w:t>
      </w:r>
    </w:p>
    <w:p w:rsidR="00000000" w:rsidDel="00000000" w:rsidP="00000000" w:rsidRDefault="00000000" w:rsidRPr="00000000" w14:paraId="00000004">
      <w:pPr>
        <w:spacing w:after="240" w:before="240" w:lineRule="auto"/>
        <w:rPr/>
      </w:pPr>
      <w:r w:rsidDel="00000000" w:rsidR="00000000" w:rsidRPr="00000000">
        <w:rPr>
          <w:rtl w:val="0"/>
        </w:rPr>
        <w:t xml:space="preserve"> The prices of fan tokens are much more responsive to the influence of external events, such as match results, transfer news, trophy wins, etc., compared to conventional equity and debt instruments. This can lead to fan-token prices becoming divorced from the actual fundamental value of the clubs associated with them.The study </w:t>
      </w:r>
      <w:r w:rsidDel="00000000" w:rsidR="00000000" w:rsidRPr="00000000">
        <w:rPr>
          <w:i w:val="1"/>
          <w:iCs w:val="1"/>
          <w:rtl w:val="0"/>
        </w:rPr>
        <w:t xml:space="preserve">Detecting and Analyzing Explosive Bubbles and Their Relationship with Volatility: Evidence from Tunisia</w:t>
      </w:r>
      <w:r w:rsidDel="00000000" w:rsidR="00000000" w:rsidRPr="00000000">
        <w:rPr>
          <w:rtl w:val="0"/>
        </w:rPr>
        <w:t xml:space="preserve"> suggests that during active bubble phases, heavy retail or institutional participation, such as that seen during crypto or technology-sector manias, can drive up return dispersion and cause rapid price swings. Upon reading such studies, an investor may begin to question the possibility that fan tokens, and cryptocurrencies as a whole, may be forming a bubble. However, it is important to note that volatility alone does not establish the existence of a financial bubble. </w:t>
      </w:r>
    </w:p>
    <w:p w:rsidR="00000000" w:rsidDel="00000000" w:rsidP="00000000" w:rsidRDefault="00000000" w:rsidRPr="00000000" w14:paraId="00000005">
      <w:pPr>
        <w:spacing w:after="240" w:before="240" w:lineRule="auto"/>
        <w:rPr/>
      </w:pPr>
      <w:r w:rsidDel="00000000" w:rsidR="00000000" w:rsidRPr="00000000">
        <w:rPr>
          <w:rtl w:val="0"/>
        </w:rPr>
        <w:t xml:space="preserve">A financial bubble can generally be understood as a period during which an asset's price rises explosively, often driven by speculative demand and expectations of further appreciation rather than changes in fundamentals, before eventually correcting (Kindleberger, 1978; Kindleberger &amp; Aliber, 2005).Bubble behaviour may arise from financial, economic, and, more broadly, psychological factors. Since, in an efficient market, no asset should be valued differently from its fundamental value, speculative mispricing, which is commonly observed in fan tokens, can expose investors to abrupt price corrections.</w:t>
      </w:r>
    </w:p>
    <w:p w:rsidR="00000000" w:rsidDel="00000000" w:rsidP="00000000" w:rsidRDefault="00000000" w:rsidRPr="00000000" w14:paraId="00000006">
      <w:pPr>
        <w:spacing w:after="240" w:before="240" w:lineRule="auto"/>
        <w:rPr/>
      </w:pPr>
      <w:r w:rsidDel="00000000" w:rsidR="00000000" w:rsidRPr="00000000">
        <w:rPr>
          <w:rtl w:val="0"/>
        </w:rPr>
        <w:t xml:space="preserve">A commonly used method for identifying periods of explosive price behavior is based on the augmented Dickey–Fuller (ADF) test. By applying the ADF test recursively, the approach examines whether a time series exhibits a mildly explosive root (Phillips et al., 2011).Supremum ADF( SADF) is a recursive extension of the ADF. It is a statistic obtained by recursively applying the ADF test and taking the supremum (maximum) of the resulting values. SADF thus was mainly developed for detecting whether explosive behavior occurred within some point in the sample rather than identifying the timing of individual episodes.</w:t>
      </w:r>
    </w:p>
    <w:p w:rsidR="00000000" w:rsidDel="00000000" w:rsidP="00000000" w:rsidRDefault="00000000" w:rsidRPr="00000000" w14:paraId="00000007">
      <w:pPr>
        <w:spacing w:after="240" w:before="240" w:lineRule="auto"/>
        <w:rPr/>
      </w:pPr>
      <w:r w:rsidDel="00000000" w:rsidR="00000000" w:rsidRPr="00000000">
        <w:rPr>
          <w:rtl w:val="0"/>
        </w:rPr>
        <w:t xml:space="preserve">Explosive-root testing has some limitations. It primarily focuses on identifying periods of explosive behavior in a price series. It thus fails to acknowledge other structural changes in behavior like volatility,persistence and trend, which by themselves do not indicate explosive behaviour but may definitely influence the explosive episodes and their occurrence. Change-point approaches provide a framework for identifying structural changes or regime shifts within a time series (Bai &amp; Perron, 1998, 2003; Killick et al., 2012). It can be used to find the points where any of the statistical behaviour like trend or volatility or persistence changes.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44gp0cttf1x" w:id="2"/>
      <w:bookmarkEnd w:id="2"/>
      <w:r w:rsidDel="00000000" w:rsidR="00000000" w:rsidRPr="00000000">
        <w:rPr>
          <w:b w:val="1"/>
          <w:bCs w:val="1"/>
          <w:sz w:val="34"/>
          <w:szCs w:val="34"/>
          <w:rtl w:val="0"/>
        </w:rPr>
        <w:t xml:space="preserve">LITERATURE REVIEW</w:t>
      </w:r>
    </w:p>
    <w:p w:rsidR="00000000" w:rsidDel="00000000" w:rsidP="00000000" w:rsidRDefault="00000000" w:rsidRPr="00000000" w14:paraId="00000009">
      <w:pPr>
        <w:pStyle w:val="Heading4"/>
        <w:numPr>
          <w:ilvl w:val="0"/>
          <w:numId w:val="1"/>
        </w:numPr>
        <w:spacing w:after="240" w:before="240" w:lineRule="auto"/>
        <w:ind w:left="720" w:hanging="360"/>
        <w:rPr>
          <w:b w:val="1"/>
          <w:bCs w:val="1"/>
          <w:color w:val="000000"/>
        </w:rPr>
      </w:pPr>
      <w:bookmarkStart w:colFirst="0" w:colLast="0" w:name="_h6xvjltemswz" w:id="3"/>
      <w:bookmarkEnd w:id="3"/>
      <w:r w:rsidDel="00000000" w:rsidR="00000000" w:rsidRPr="00000000">
        <w:rPr>
          <w:b w:val="1"/>
          <w:bCs w:val="1"/>
          <w:color w:val="000000"/>
          <w:rtl w:val="0"/>
        </w:rPr>
        <w:t xml:space="preserve">Fan-token utility and speculative value</w:t>
      </w:r>
    </w:p>
    <w:p w:rsidR="00000000" w:rsidDel="00000000" w:rsidP="00000000" w:rsidRDefault="00000000" w:rsidRPr="00000000" w14:paraId="0000000A">
      <w:pPr>
        <w:spacing w:after="240" w:before="240" w:lineRule="auto"/>
        <w:rPr/>
      </w:pPr>
      <w:r w:rsidDel="00000000" w:rsidR="00000000" w:rsidRPr="00000000">
        <w:rPr>
          <w:rtl w:val="0"/>
        </w:rPr>
        <w:t xml:space="preserve">Fan tokens are blockchain-based digital assets issued by a sports club which provide small-scale governance and engagement benefits with speculative characteristics. They provide no equity, no dividend or no claim on club earnings but may offer voting rights, rewards, and exclusive content (Ante et al., 2024, 2025). Cong et al. (2021) implies that the value of tokens arises from transaction demand, network adoption, platform productivity, and expected growth, instead of cash flows and potentially generate appreciation and bubble-like dynamics. While, gamification and tradability of the tokens may encourage gambling-like behaviour by combining limited utility provided by the tokens with speculative trading which can create risks for younger and inexperienced fans (Lopez-Gonzalez and Griffiths, 2023). Fan tokens are also highly volatile, closely connected to cryptocurrencies, and generally underperform the benchmarks over long time periods. (Scharnowski et al., 2023; Vidal-Tomás, 2024).</w:t>
      </w:r>
    </w:p>
    <w:p w:rsidR="00000000" w:rsidDel="00000000" w:rsidP="00000000" w:rsidRDefault="00000000" w:rsidRPr="00000000" w14:paraId="0000000B">
      <w:pPr>
        <w:pStyle w:val="Heading4"/>
        <w:numPr>
          <w:ilvl w:val="0"/>
          <w:numId w:val="2"/>
        </w:numPr>
        <w:spacing w:after="240" w:before="240" w:lineRule="auto"/>
        <w:ind w:left="720" w:hanging="360"/>
        <w:rPr>
          <w:b w:val="1"/>
          <w:bCs w:val="1"/>
          <w:color w:val="000000"/>
        </w:rPr>
      </w:pPr>
      <w:bookmarkStart w:colFirst="0" w:colLast="0" w:name="_ddleb8a83ad1" w:id="4"/>
      <w:bookmarkEnd w:id="4"/>
      <w:r w:rsidDel="00000000" w:rsidR="00000000" w:rsidRPr="00000000">
        <w:rPr>
          <w:b w:val="1"/>
          <w:bCs w:val="1"/>
          <w:color w:val="000000"/>
          <w:rtl w:val="0"/>
        </w:rPr>
        <w:t xml:space="preserve">Impact of sporting information on price formation</w:t>
      </w:r>
    </w:p>
    <w:p w:rsidR="00000000" w:rsidDel="00000000" w:rsidP="00000000" w:rsidRDefault="00000000" w:rsidRPr="00000000" w14:paraId="0000000C">
      <w:pPr>
        <w:spacing w:after="240" w:before="240" w:lineRule="auto"/>
        <w:rPr/>
      </w:pPr>
      <w:r w:rsidDel="00000000" w:rsidR="00000000" w:rsidRPr="00000000">
        <w:rPr>
          <w:rtl w:val="0"/>
        </w:rPr>
        <w:t xml:space="preserve">Sporting results become a fundamental source of price changes. For example, Champions League victories produced positive abnormal returns, while defeats created larger negative market reactions (Demir et al., 2022). Trading in fan tokens often rises roughly six months before matches, followed by declining returns and trading volumes during or afterwards. Defeats in high stake matches showed more volatility in returns as compared to that after defeats in low stake matches as seen around the 2022 World Cup, particularly after unexpected knockout defeats (Ante et al., 2024; Saggu and Ante, 2024). While injuries, player transfers, shifting sentiment, and market conditions heavily influence prices, event studies are not able to  establish whether sporting news begins, ends, or occurs within a bubble. (Agnese et al., 2025; Blom et al., 2026; Luo et al., 2026).</w:t>
      </w:r>
    </w:p>
    <w:p w:rsidR="00000000" w:rsidDel="00000000" w:rsidP="00000000" w:rsidRDefault="00000000" w:rsidRPr="00000000" w14:paraId="0000000D">
      <w:pPr>
        <w:pStyle w:val="Heading4"/>
        <w:numPr>
          <w:ilvl w:val="0"/>
          <w:numId w:val="4"/>
        </w:numPr>
        <w:spacing w:after="240" w:before="240" w:lineRule="auto"/>
        <w:ind w:left="720" w:hanging="360"/>
        <w:rPr>
          <w:b w:val="1"/>
          <w:bCs w:val="1"/>
          <w:color w:val="000000"/>
        </w:rPr>
      </w:pPr>
      <w:bookmarkStart w:colFirst="0" w:colLast="0" w:name="_lgxklci2lwio" w:id="5"/>
      <w:bookmarkEnd w:id="5"/>
      <w:r w:rsidDel="00000000" w:rsidR="00000000" w:rsidRPr="00000000">
        <w:rPr>
          <w:b w:val="1"/>
          <w:bCs w:val="1"/>
          <w:color w:val="000000"/>
          <w:rtl w:val="0"/>
        </w:rPr>
        <w:t xml:space="preserve">Attention, behaviour, and market transmission</w:t>
      </w:r>
    </w:p>
    <w:p w:rsidR="00000000" w:rsidDel="00000000" w:rsidP="00000000" w:rsidRDefault="00000000" w:rsidRPr="00000000" w14:paraId="0000000E">
      <w:pPr>
        <w:spacing w:after="240" w:before="240" w:lineRule="auto"/>
        <w:rPr/>
      </w:pPr>
      <w:r w:rsidDel="00000000" w:rsidR="00000000" w:rsidRPr="00000000">
        <w:rPr>
          <w:rtl w:val="0"/>
        </w:rPr>
        <w:t xml:space="preserve">Behavioural factors such as the fear of missing out, herding, loss aversion, and overconfidence increase cryptocurrency investment intentions (Kaur and Singh, 2024). Probability of an asset entering a bubble is largely associated with search activity, trading volume, and social-media attention (Enoksen et al., 2020; Shahzad et al., 2022; Haykir and Yagli, 2022). It is thus evident that volatility alone is not evidence of a bubble because empirical evidence shows that many cryptocurrency bubble days occur during low-volatility regimes (Diniz et al., 2023).</w:t>
      </w:r>
    </w:p>
    <w:p w:rsidR="00000000" w:rsidDel="00000000" w:rsidP="00000000" w:rsidRDefault="00000000" w:rsidRPr="00000000" w14:paraId="0000000F">
      <w:pPr>
        <w:pStyle w:val="Heading4"/>
        <w:numPr>
          <w:ilvl w:val="0"/>
          <w:numId w:val="5"/>
        </w:numPr>
        <w:spacing w:after="240" w:before="240" w:lineRule="auto"/>
        <w:ind w:left="720" w:hanging="360"/>
        <w:rPr>
          <w:b w:val="1"/>
          <w:bCs w:val="1"/>
          <w:color w:val="000000"/>
        </w:rPr>
      </w:pPr>
      <w:bookmarkStart w:colFirst="0" w:colLast="0" w:name="_kj2r91x81drr" w:id="6"/>
      <w:bookmarkEnd w:id="6"/>
      <w:r w:rsidDel="00000000" w:rsidR="00000000" w:rsidRPr="00000000">
        <w:rPr>
          <w:b w:val="1"/>
          <w:bCs w:val="1"/>
          <w:color w:val="000000"/>
          <w:rtl w:val="0"/>
        </w:rPr>
        <w:t xml:space="preserve">Bubble detection and methodological reliability</w:t>
      </w:r>
    </w:p>
    <w:p w:rsidR="00000000" w:rsidDel="00000000" w:rsidP="00000000" w:rsidRDefault="00000000" w:rsidRPr="00000000" w14:paraId="00000010">
      <w:pPr>
        <w:spacing w:after="240" w:before="240" w:lineRule="auto"/>
        <w:rPr/>
      </w:pPr>
      <w:r w:rsidDel="00000000" w:rsidR="00000000" w:rsidRPr="00000000">
        <w:rPr>
          <w:rtl w:val="0"/>
        </w:rPr>
        <w:t xml:space="preserve">Phillips et al. (2011, 2015a, 2015b) developed recursive right-tailed unit-root tests for detecting explosive market behaviour. GSADF tests for multiple episodes, while BSADF estimates their beginning and end dates. On applying these methods, it was found that fan-token market is highly prone to bubbling. For example, explosivity in 13 of the 20 largest fan tokens (Assaf et al., 2024) and multiple bubbles and collapses in a fan-token index and Chiliz (Vidal-Tomás, 2024). However, short trading history, changing volatility, and serial dependence can produce unreliable dates. Wild-bootstrap, volatility-rescaled, and dependence-robust procedures improve inference (Harvey et al., 2016, 2025; Lui et al., 2024). Structural-break and Bayesian change-point methods can assess whether detected episodes coincide with regime changes. Combining these approaches provides a credible framework for identifying and interpreting fan-token bubbles.</w:t>
      </w:r>
    </w:p>
    <w:p w:rsidR="00000000" w:rsidDel="00000000" w:rsidP="00000000" w:rsidRDefault="00000000" w:rsidRPr="00000000" w14:paraId="00000011">
      <w:pPr>
        <w:pStyle w:val="Heading2"/>
        <w:keepNext w:val="0"/>
        <w:keepLines w:val="0"/>
        <w:spacing w:after="80" w:lineRule="auto"/>
        <w:rPr/>
      </w:pPr>
      <w:bookmarkStart w:colFirst="0" w:colLast="0" w:name="_cfk94gp3rdj4" w:id="7"/>
      <w:bookmarkEnd w:id="7"/>
      <w:r w:rsidDel="00000000" w:rsidR="00000000" w:rsidRPr="00000000">
        <w:rPr>
          <w:b w:val="1"/>
          <w:bCs w:val="1"/>
          <w:sz w:val="34"/>
          <w:szCs w:val="34"/>
          <w:rtl w:val="0"/>
        </w:rPr>
        <w:t xml:space="preserve">Research Gap</w:t>
      </w:r>
      <w:r w:rsidDel="00000000" w:rsidR="00000000" w:rsidRPr="00000000">
        <w:rPr>
          <w:rtl w:val="0"/>
        </w:rPr>
      </w:r>
    </w:p>
    <w:p w:rsidR="00000000" w:rsidDel="00000000" w:rsidP="00000000" w:rsidRDefault="00000000" w:rsidRPr="00000000" w14:paraId="00000012">
      <w:pPr>
        <w:pStyle w:val="Heading4"/>
        <w:numPr>
          <w:ilvl w:val="0"/>
          <w:numId w:val="3"/>
        </w:numPr>
        <w:spacing w:after="240" w:before="240" w:lineRule="auto"/>
        <w:ind w:left="720" w:hanging="360"/>
        <w:rPr>
          <w:b w:val="1"/>
          <w:bCs w:val="1"/>
          <w:color w:val="000000"/>
        </w:rPr>
      </w:pPr>
      <w:bookmarkStart w:colFirst="0" w:colLast="0" w:name="_2pmp8cnahov9" w:id="8"/>
      <w:bookmarkEnd w:id="8"/>
      <w:r w:rsidDel="00000000" w:rsidR="00000000" w:rsidRPr="00000000">
        <w:rPr>
          <w:b w:val="1"/>
          <w:bCs w:val="1"/>
          <w:color w:val="000000"/>
          <w:rtl w:val="0"/>
        </w:rPr>
        <w:t xml:space="preserve">Lack of Robust Bubble Testing Under Changing Volatility</w:t>
      </w:r>
    </w:p>
    <w:p w:rsidR="00000000" w:rsidDel="00000000" w:rsidP="00000000" w:rsidRDefault="00000000" w:rsidRPr="00000000" w14:paraId="00000013">
      <w:pPr>
        <w:spacing w:after="240" w:before="240" w:lineRule="auto"/>
        <w:rPr/>
      </w:pPr>
      <w:r w:rsidDel="00000000" w:rsidR="00000000" w:rsidRPr="00000000">
        <w:rPr>
          <w:rtl w:val="0"/>
        </w:rPr>
        <w:t xml:space="preserve">Research by </w:t>
      </w:r>
      <w:r w:rsidDel="00000000" w:rsidR="00000000" w:rsidRPr="00000000">
        <w:rPr>
          <w:rtl w:val="0"/>
        </w:rPr>
        <w:t xml:space="preserve">Assaf, Demir, and Ersan (2024) focusing on descriptive analysis observe extreme right-skew and unusually high kurtosis in fan-token prices (e.g., ATM and JUV exceed a kurtosis of 11). Assaf et al explicitly cite Harvey, Leybourne, Sollis, and Taylor (2016) as motivation for wild-bootstrap critical values, Despite citing this methodological concern, Assaf et al. use classical Monte Carlo critical values for their primary GSADF analysis. Harvey et al. (2016) demonstrate analytically that the standard SADF/GSADF statistic "can be severely oversized" under this class of non-stationary-volatility data-generating process, with a corresponding "higher than expected probability of spurious bubble identification." Harvey, Leybourne, Taylor, and Zu (2025) extend the correction further under a broader heteroskedasticity class, and Lui, Phillips, and Yu (2024) extend robustness to strongly dependent (long-memory) error structures, a plausible feature of thinly traded fan-token series exhibiting return persistence. None of these corrections has been applied to fan-token data. This constitutes a validity gap that existing fan-token bubble counts may be inflated by spurious detections attributable to volatility clustering rather than genuine explosive price behaviour</w:t>
      </w:r>
    </w:p>
    <w:p w:rsidR="00000000" w:rsidDel="00000000" w:rsidP="00000000" w:rsidRDefault="00000000" w:rsidRPr="00000000" w14:paraId="00000014">
      <w:pPr>
        <w:pStyle w:val="Heading4"/>
        <w:spacing w:after="240" w:before="240" w:lineRule="auto"/>
        <w:rPr>
          <w:b w:val="1"/>
          <w:bCs w:val="1"/>
          <w:color w:val="000000"/>
        </w:rPr>
      </w:pPr>
      <w:bookmarkStart w:colFirst="0" w:colLast="0" w:name="_msua562uc3za" w:id="9"/>
      <w:bookmarkEnd w:id="9"/>
      <w:r w:rsidDel="00000000" w:rsidR="00000000" w:rsidRPr="00000000">
        <w:rPr>
          <w:b w:val="1"/>
          <w:bCs w:val="1"/>
          <w:color w:val="000000"/>
          <w:rtl w:val="0"/>
        </w:rPr>
        <w:t xml:space="preserve">2) Limited Cross-Validation of Bubble Detection Methods</w:t>
      </w:r>
    </w:p>
    <w:p w:rsidR="00000000" w:rsidDel="00000000" w:rsidP="00000000" w:rsidRDefault="00000000" w:rsidRPr="00000000" w14:paraId="00000015">
      <w:pPr>
        <w:spacing w:after="240" w:before="240" w:lineRule="auto"/>
        <w:rPr/>
      </w:pPr>
      <w:r w:rsidDel="00000000" w:rsidR="00000000" w:rsidRPr="00000000">
        <w:rPr>
          <w:rtl w:val="0"/>
        </w:rPr>
        <w:t xml:space="preserve">The Assaf, Demir, and Ersan (2024) study cross-validates GSADF against LPPLS, but LPPLS converges (without becoming trapped in local minima, per Filimonov and Sornette, 2013) for only 10 of 20 tokens, leaving half the sample without independent confirmation. No fan-token study has additionally cross-validated against a Bayesian change-point framework (Thies and Molnár, 2018) or a non-parametric sequential Kolmogorov–Smirnov change-point model (Ross and Adams, 2012; operationalised as KS-CPM in the methodology paper). The absence of this cross-validation leaves open the possibility that GSADF/LPPLS results for fan tokens are method-artefacts rather than robust findings.</w:t>
      </w:r>
    </w:p>
    <w:p w:rsidR="00000000" w:rsidDel="00000000" w:rsidP="00000000" w:rsidRDefault="00000000" w:rsidRPr="00000000" w14:paraId="00000016">
      <w:pPr>
        <w:pStyle w:val="Heading4"/>
        <w:spacing w:after="240" w:before="240" w:lineRule="auto"/>
        <w:rPr>
          <w:b w:val="1"/>
          <w:bCs w:val="1"/>
          <w:color w:val="000000"/>
        </w:rPr>
      </w:pPr>
      <w:bookmarkStart w:colFirst="0" w:colLast="0" w:name="_65rdgc61e6wk" w:id="10"/>
      <w:bookmarkEnd w:id="10"/>
      <w:r w:rsidDel="00000000" w:rsidR="00000000" w:rsidRPr="00000000">
        <w:rPr>
          <w:b w:val="1"/>
          <w:bCs w:val="1"/>
          <w:color w:val="000000"/>
          <w:rtl w:val="0"/>
        </w:rPr>
        <w:t xml:space="preserve">3) Failure to Distinguish Bubble Life-Cycle Stages</w:t>
      </w:r>
    </w:p>
    <w:p w:rsidR="00000000" w:rsidDel="00000000" w:rsidP="00000000" w:rsidRDefault="00000000" w:rsidRPr="00000000" w14:paraId="00000017">
      <w:pPr>
        <w:spacing w:after="240" w:before="240" w:lineRule="auto"/>
        <w:rPr/>
      </w:pPr>
      <w:r w:rsidDel="00000000" w:rsidR="00000000" w:rsidRPr="00000000">
        <w:rPr>
          <w:rtl w:val="0"/>
        </w:rPr>
        <w:t xml:space="preserve">The GSADF/BSADF procedure of Assaf, Demir, and Ersan (2024) identifies windows such that the price change / movement process is statistically explosive but does not decompose these windows into the formation, burst, and decline phases that both Boubaker, Liu, Sui, and Zhai (2022) and Vriz and Grossi (2026) treat as mutually exclusive yet informative in nature.</w:t>
      </w:r>
    </w:p>
    <w:p w:rsidR="00000000" w:rsidDel="00000000" w:rsidP="00000000" w:rsidRDefault="00000000" w:rsidRPr="00000000" w14:paraId="00000018">
      <w:pPr>
        <w:pStyle w:val="Heading4"/>
        <w:spacing w:after="240" w:before="240" w:lineRule="auto"/>
        <w:rPr>
          <w:b w:val="1"/>
          <w:bCs w:val="1"/>
          <w:color w:val="000000"/>
        </w:rPr>
      </w:pPr>
      <w:bookmarkStart w:colFirst="0" w:colLast="0" w:name="_uvt6ki68l8aq" w:id="11"/>
      <w:bookmarkEnd w:id="11"/>
      <w:r w:rsidDel="00000000" w:rsidR="00000000" w:rsidRPr="00000000">
        <w:rPr>
          <w:b w:val="1"/>
          <w:bCs w:val="1"/>
          <w:color w:val="000000"/>
          <w:rtl w:val="0"/>
        </w:rPr>
        <w:t xml:space="preserve">4) Lack of Testing for Event-Driven Micro-Bubbles</w:t>
      </w:r>
    </w:p>
    <w:p w:rsidR="00000000" w:rsidDel="00000000" w:rsidP="00000000" w:rsidRDefault="00000000" w:rsidRPr="00000000" w14:paraId="00000019">
      <w:pPr>
        <w:spacing w:after="240" w:before="240" w:lineRule="auto"/>
        <w:rPr/>
      </w:pPr>
      <w:r w:rsidDel="00000000" w:rsidR="00000000" w:rsidRPr="00000000">
        <w:rPr>
          <w:rtl w:val="0"/>
        </w:rPr>
        <w:t xml:space="preserve">S</w:t>
      </w:r>
      <w:r w:rsidDel="00000000" w:rsidR="00000000" w:rsidRPr="00000000">
        <w:rPr>
          <w:rtl w:val="0"/>
        </w:rPr>
        <w:t xml:space="preserve">harp, short-horizon fan-token price reactions to sporting events like anticipatory World Cup gains and event-driven reversals (Saggu et al., 2024), intraday reactions to match outcomes (Ante, Schellinger, and Demir, 2024), and asymmetric reactions to match surprise (Blom and Henriques Pereira, 2026; Demir, Ersan, and Popesko, 2022) affect bubble formation. Yet none of the studies applies a formal explosiveness test to the reaction window they document. It is therefore unknown whether these documented "anticipatory gains" and "event-driven losses" are statistically indistinguishable from noise-driven reversion, or whether they in fact constitute short-lived, sport-event-triggered explosive episodes in the SADF/GSADF.</w:t>
      </w:r>
    </w:p>
    <w:p w:rsidR="00000000" w:rsidDel="00000000" w:rsidP="00000000" w:rsidRDefault="00000000" w:rsidRPr="00000000" w14:paraId="0000001A">
      <w:pPr>
        <w:pStyle w:val="Heading4"/>
        <w:spacing w:after="240" w:before="240" w:lineRule="auto"/>
        <w:rPr>
          <w:b w:val="1"/>
          <w:bCs w:val="1"/>
          <w:color w:val="000000"/>
        </w:rPr>
      </w:pPr>
      <w:bookmarkStart w:colFirst="0" w:colLast="0" w:name="_q9ojswqjqmht" w:id="12"/>
      <w:bookmarkEnd w:id="12"/>
      <w:r w:rsidDel="00000000" w:rsidR="00000000" w:rsidRPr="00000000">
        <w:rPr>
          <w:b w:val="1"/>
          <w:bCs w:val="1"/>
          <w:color w:val="000000"/>
          <w:rtl w:val="0"/>
        </w:rPr>
        <w:t xml:space="preserve">5) Limited Sample Coverage in Bubble Predictor Models</w:t>
      </w:r>
    </w:p>
    <w:p w:rsidR="00000000" w:rsidDel="00000000" w:rsidP="00000000" w:rsidRDefault="00000000" w:rsidRPr="00000000" w14:paraId="0000001B">
      <w:pPr>
        <w:spacing w:after="240" w:before="240" w:lineRule="auto"/>
        <w:rPr/>
      </w:pPr>
      <w:r w:rsidDel="00000000" w:rsidR="00000000" w:rsidRPr="00000000">
        <w:rPr>
          <w:rtl w:val="0"/>
        </w:rPr>
        <w:t xml:space="preserve"> Assaf, Demir, and Ersan (2024)’s individual-token probit models are estimable for only 5 of its 20 tokens (those exceeding a 3%-of-days bubble threshold), and even within this small subsample, predictor signs are inconsistent across tokens (e.g., VIX enters positively for GAL but negatively for CITY and DAVIS). No study has addressed this with a hierarchical or Bayesian pooling approach that could borrow statistical strength across the full, unbalanced 20-token panel rather than discarding 75% of the sample, a natural role for the Bayesian time-series component of the proposed methodology.</w:t>
      </w:r>
    </w:p>
    <w:p w:rsidR="00000000" w:rsidDel="00000000" w:rsidP="00000000" w:rsidRDefault="00000000" w:rsidRPr="00000000" w14:paraId="0000001C">
      <w:pPr>
        <w:spacing w:after="240" w:before="240" w:lineRule="auto"/>
        <w:rPr/>
      </w:pPr>
      <w:r w:rsidDel="00000000" w:rsidR="00000000" w:rsidRPr="00000000">
        <w:rPr>
          <w:rtl w:val="0"/>
        </w:rPr>
        <w:t xml:space="preserve">This study aims to address these gaps by distinguishing ordinary volatility from statistically explosive behaviour and combining bubble-detection procedures with change point analysis. This methodology thus aims to provide more reliable estimates of bubble formation and collapse while clarifying whether explosive episodes coincide with changes in the underlying price-generating process.</w:t>
      </w:r>
    </w:p>
    <w:p w:rsidR="00000000" w:rsidDel="00000000" w:rsidP="00000000" w:rsidRDefault="00000000" w:rsidRPr="00000000" w14:paraId="0000001D">
      <w:pPr>
        <w:pStyle w:val="Heading2"/>
        <w:spacing w:after="240" w:before="240" w:lineRule="auto"/>
        <w:rPr>
          <w:b w:val="1"/>
          <w:bCs w:val="1"/>
        </w:rPr>
      </w:pPr>
      <w:bookmarkStart w:colFirst="0" w:colLast="0" w:name="_41lkbh8jcqbc" w:id="13"/>
      <w:bookmarkEnd w:id="13"/>
      <w:r w:rsidDel="00000000" w:rsidR="00000000" w:rsidRPr="00000000">
        <w:rPr>
          <w:b w:val="1"/>
          <w:bCs w:val="1"/>
          <w:rtl w:val="0"/>
        </w:rPr>
        <w:t xml:space="preserve">REFERENCES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