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14</w:t>
      </w:r>
      <w:r>
        <w:t xml:space="preserve"> </w:t>
      </w:r>
      <w:r>
        <w:t xml:space="preserve">August,</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t xml:space="preserve">Pathotype</w:t>
      </w:r>
      <w:r>
        <w:t xml:space="preserve"> </w:t>
      </w:r>
      <w:r>
        <w:t xml:space="preserve">surveys</w:t>
      </w:r>
      <w:r>
        <w:t xml:space="preserve"> </w:t>
      </w:r>
      <w:r>
        <w:t xml:space="preserve">for</w:t>
      </w:r>
      <w:r>
        <w:t xml:space="preserve"> </w:t>
      </w:r>
      <w:r>
        <w:rPr>
          <w:i/>
        </w:rPr>
        <w:t xml:space="preserve">Phytophthora</w:t>
      </w:r>
      <w:r>
        <w:rPr>
          <w:i/>
        </w:rPr>
        <w:t xml:space="preserve"> </w:t>
      </w:r>
      <w:r>
        <w:rPr>
          <w:i/>
        </w:rPr>
        <w:t xml:space="preserve">sojae</w:t>
      </w:r>
      <w:r>
        <w:t xml:space="preserve"> </w:t>
      </w:r>
      <w:r>
        <w:t xml:space="preserve">are</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are</w:t>
      </w:r>
      <w:r>
        <w:t xml:space="preserve"> </w:t>
      </w:r>
      <w:r>
        <w:t xml:space="preserve">needed.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for</w:t>
      </w:r>
      <w:r>
        <w:t xml:space="preserve"> </w:t>
      </w:r>
      <w:r>
        <w:t xml:space="preserve">data</w:t>
      </w:r>
      <w:r>
        <w:t xml:space="preserve"> </w:t>
      </w:r>
      <w:r>
        <w:t xml:space="preserve">analysis.</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development</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Phytophthora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and Gerdemann 1958)</w:t>
      </w:r>
      <w:r>
        <w:t xml:space="preserve">.</w:t>
      </w:r>
    </w:p>
    <w:p>
      <w:pPr>
        <w:pStyle w:val="BodyText"/>
      </w:pPr>
      <w:r>
        <w:rPr>
          <w:i/>
        </w:rPr>
        <w:t xml:space="preserve">Phytophthora sojae</w:t>
      </w:r>
      <w:r>
        <w:t xml:space="preserve"> </w:t>
      </w:r>
      <w:r>
        <w:t xml:space="preserve">pathotype surveys monitor the efficacy of soybean resistance genes in relation to</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Excel-based data analysis such as reproducibility and user customization. Furthermore,</w:t>
      </w:r>
      <w:r>
        <w:t xml:space="preserve"> </w:t>
      </w:r>
      <w:r>
        <w:t xml:space="preserve">‘</w:t>
      </w:r>
      <w:r>
        <w:t xml:space="preserve">hagis</w:t>
      </w:r>
      <w:r>
        <w:t xml:space="preserve">’</w:t>
      </w:r>
      <w:r>
        <w:t xml:space="preserve"> </w:t>
      </w:r>
      <w:r>
        <w:t xml:space="preserve">takes advantage of the</w:t>
      </w:r>
      <w:r>
        <w:t xml:space="preserve"> </w:t>
      </w:r>
      <w:r>
        <w:t xml:space="preserve">‘</w:t>
      </w:r>
      <w:r>
        <w:t xml:space="preserve">data.table</w:t>
      </w:r>
      <w:r>
        <w:t xml:space="preserve">’</w:t>
      </w:r>
      <w:r>
        <w:t xml:space="preserve"> </w:t>
      </w:r>
      <w:r>
        <w:t xml:space="preserve">package</w:t>
      </w:r>
      <w:r>
        <w:t xml:space="preserve"> </w:t>
      </w:r>
      <w:r>
        <w:t xml:space="preserve">(Dowle and Srinivasan 2019)</w:t>
      </w:r>
      <w:r>
        <w:t xml:space="preserve"> </w:t>
      </w:r>
      <w:r>
        <w:t xml:space="preserve">to efficiently handle large data sets such as those produced through</w:t>
      </w:r>
      <w:r>
        <w:t xml:space="preserve"> </w:t>
      </w:r>
      <w:r>
        <w:rPr>
          <w:i/>
        </w:rPr>
        <w:t xml:space="preserve">P. sojae</w:t>
      </w:r>
      <w:r>
        <w:t xml:space="preserve"> </w:t>
      </w:r>
      <w:r>
        <w:t xml:space="preserve">pathotype surveys rapidly and efficiently.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developed to support</w:t>
      </w:r>
      <w:r>
        <w:t xml:space="preserve"> </w:t>
      </w:r>
      <w:r>
        <w:rPr>
          <w:i/>
        </w:rPr>
        <w:t xml:space="preserve">P. sojae</w:t>
      </w:r>
      <w:r>
        <w:t xml:space="preserve"> </w:t>
      </w:r>
      <w:r>
        <w:t xml:space="preserve">pathotype surveys, it was designed to work with any pathotype analyses of gene-for-gene pathosystems to determine effective resistance genes in management.</w:t>
      </w:r>
    </w:p>
    <w:p>
      <w:pPr>
        <w:pStyle w:val="BodyText"/>
      </w:pPr>
      <w:r>
        <w:t xml:space="preserve">The package source code, including the Rmarkdown code for this paper, more information and instructions on how to use</w:t>
      </w:r>
      <w:r>
        <w:t xml:space="preserve"> </w:t>
      </w:r>
      <w:r>
        <w:t xml:space="preserve">‘</w:t>
      </w:r>
      <w:r>
        <w:t xml:space="preserve">hagis</w:t>
      </w:r>
      <w:r>
        <w:t xml:space="preserve">’</w:t>
      </w:r>
      <w:r>
        <w:t xml:space="preserve"> </w:t>
      </w:r>
      <w:r>
        <w:t xml:space="preserve">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https://CRAN.R-project.org/package=hagis</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not effective against,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not effective against,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Soybean Promotion Committee, Project GREEEN, North Central Soybean Research Program, 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8"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E., Kurle, J., Robertson, A. E., Bradley, C. A., Giesler, L., Wise, K., and Concibido, V. C.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owle2019"/>
    <w:p>
      <w:pPr>
        <w:pStyle w:val="Bibliography"/>
      </w:pPr>
      <w:r>
        <w:t xml:space="preserve">Dowle, M., and Srinivasan, A. 2019.</w:t>
      </w:r>
      <w:r>
        <w:t xml:space="preserve"> </w:t>
      </w:r>
      <w:r>
        <w:rPr>
          <w:i/>
        </w:rPr>
        <w:t xml:space="preserve">data.table: Extension of ‘data.frame‘</w:t>
      </w:r>
      <w:r>
        <w:t xml:space="preserve">.</w:t>
      </w:r>
    </w:p>
    <w:bookmarkEnd w:id="29"/>
    <w:bookmarkStart w:id="3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30"/>
    <w:bookmarkStart w:id="31" w:name="ref-Herrmann1999"/>
    <w:p>
      <w:pPr>
        <w:pStyle w:val="Bibliography"/>
      </w:pPr>
      <w:r>
        <w:t xml:space="preserve">Herrmann, A., Lower, C. F., and Schachtel, G. A. 1999. A new tool for entry and analysis of virulence data for plant pathogens [correspondence]. Plant Pathology.</w:t>
      </w:r>
    </w:p>
    <w:bookmarkEnd w:id="31"/>
    <w:bookmarkStart w:id="32" w:name="ref-Kaufmann1958"/>
    <w:p>
      <w:pPr>
        <w:pStyle w:val="Bibliography"/>
      </w:pPr>
      <w:r>
        <w:t xml:space="preserve">Kaufmann, M. J., and Gerdemann, J. W. 1958. Root and stem rot of soybean caused by</w:t>
      </w:r>
      <w:r>
        <w:t xml:space="preserve"> </w:t>
      </w:r>
      <w:r>
        <w:rPr>
          <w:i/>
        </w:rPr>
        <w:t xml:space="preserve">Phytophthora sojae</w:t>
      </w:r>
      <w:r>
        <w:t xml:space="preserve"> </w:t>
      </w:r>
      <w:r>
        <w:t xml:space="preserve">n. Sp. Phytopathology. 48</w:t>
      </w:r>
    </w:p>
    <w:bookmarkEnd w:id="32"/>
    <w:bookmarkStart w:id="33" w:name="ref-McCoy2018"/>
    <w:p>
      <w:pPr>
        <w:pStyle w:val="Bibliography"/>
      </w:pPr>
      <w:r>
        <w:t xml:space="preserve">McCoy, A., and Noel, Z. 2018. AGmccoy/Phytopthora-sojae-Pathotype-analysis: Beta-release of</w:t>
      </w:r>
      <w:r>
        <w:t xml:space="preserve"> </w:t>
      </w:r>
      <w:r>
        <w:rPr>
          <w:i/>
        </w:rPr>
        <w:t xml:space="preserve">Phytophthora sojae</w:t>
      </w:r>
      <w:r>
        <w:t xml:space="preserve"> </w:t>
      </w:r>
      <w:r>
        <w:t xml:space="preserve">pathotype analysis code.</w:t>
      </w:r>
    </w:p>
    <w:bookmarkEnd w:id="33"/>
    <w:bookmarkStart w:id="34"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4"/>
    <w:bookmarkStart w:id="35"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5"/>
    <w:bookmarkStart w:id="36" w:name="ref-Sparks2011"/>
    <w:p>
      <w:pPr>
        <w:pStyle w:val="Bibliography"/>
      </w:pPr>
      <w:r>
        <w:t xml:space="preserve">Sparks, A. H., Forbes, G. A., Hijmans, R. J., and Garrett, K. A. 2011. A metamodeling framework for extending the application domain of process-based ecological models. Ecosphere. 2:art90</w:t>
      </w:r>
    </w:p>
    <w:bookmarkEnd w:id="36"/>
    <w:bookmarkStart w:id="37" w:name="ref-Wallace2018"/>
    <w:p>
      <w:pPr>
        <w:pStyle w:val="Bibliography"/>
      </w:pPr>
      <w:r>
        <w:t xml:space="preserve">Wallace, J. G., Kremling, K. A., Kovar, L. L., and Buckler, E. S. 2018. Quantitative genetics of the maize leaf microbiome. Phytobiomes Journal. 2:208–224</w:t>
      </w:r>
    </w:p>
    <w:bookmarkEnd w:id="37"/>
    <w:bookmarkEnd w:id="38"/>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2019-08-14T11:41:33Z</dcterms:created>
  <dcterms:modified xsi:type="dcterms:W3CDTF">2019-08-14T11:41:33Z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Pathotype surveys for Phytophthora sojae are conducted to monitor resistance gene efficacy and determine if new resistance genes are needed. Valuable measurements for pathotype analysis include the distribution of susceptible reactions, pathotype complexity, pathotype frequency, and diversity indices for pathotype distributions. Previously the Habgood-Gilmour Spreadsheet (HaGiS), written in Microsoft® Excel, was used for data analysis. However, the growing popularity of the R programming language in plant pathology and desire for reproducible research made HaGiS a prime candidate for conversion into an R package. Here we report on the development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14 August, 2019</vt:lpwstr>
  </property>
  <property fmtid="{D5CDD505-2E9C-101B-9397-08002B2CF9AE}" pid="6" name="output">
    <vt:lpwstr/>
  </property>
</Properties>
</file>