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6"/>
        </w:rPr>
        <w:t>Decision-Guided Adaptive Retrieval-Augmented Generation: A Diagnosis-Driven Failure Correction Framework</w:t>
      </w:r>
    </w:p>
    <w:p>
      <w:pPr>
        <w:spacing w:after="360"/>
        <w:jc w:val="center"/>
      </w:pPr>
      <w:r>
        <w:rPr>
          <w:b/>
          <w:sz w:val="22"/>
        </w:rPr>
        <w:t>[Your Name]</w:t>
        <w:br/>
      </w:r>
      <w:r>
        <w:rPr>
          <w:i/>
          <w:sz w:val="20"/>
        </w:rPr>
        <w:t>[Your Department / University]</w:t>
        <w:br/>
        <w:t>your.email@university.edu</w:t>
      </w:r>
    </w:p>
    <w:p>
      <w:pPr>
        <w:spacing w:after="160"/>
        <w:ind w:left="576" w:right="576"/>
      </w:pPr>
      <w:r>
        <w:rPr>
          <w:b/>
        </w:rPr>
        <w:t xml:space="preserve">Abstract— </w:t>
      </w:r>
      <w:r>
        <w:t>Existing Retrieval-Augmented Generation (RAG) models rely heavily on static or uniform corrective actions when faced with low-quality retrieval output. However, retrieval failures stem from fundamentally distinct root causes—such as keyword mismatches, query ambiguities, or poor chunking granularity—meaning a single fallback mechanism is inherently inefficient. This proposal introduces Decision-Guided Adaptive RAG, a framework that predicts specific retrieval failure modes and executes targeted corrective actions. By diagnosing failure causes prior to adaptation, the system aims to optimize retrieval quality, increase answer faithfulness, and reduce unnecessary computational latency.</w:t>
      </w:r>
    </w:p>
    <w:p>
      <w:pPr>
        <w:spacing w:after="320"/>
        <w:ind w:left="576" w:right="576"/>
      </w:pPr>
      <w:r>
        <w:rPr>
          <w:b/>
          <w:i/>
        </w:rPr>
        <w:t xml:space="preserve">Keywords— </w:t>
      </w:r>
      <w:r>
        <w:t>Retrieval-Augmented Generation (RAG), Adaptive Retrieval, Failure Mode Diagnosis, Large Language Models (LLMs), Information Retrieval.</w:t>
      </w:r>
    </w:p>
    <w:p>
      <w:pPr>
        <w:spacing w:before="280" w:after="120"/>
      </w:pPr>
      <w:r>
        <w:rPr>
          <w:b/>
          <w:sz w:val="24"/>
        </w:rPr>
        <w:t>I. INTRODUCTION</w:t>
      </w:r>
    </w:p>
    <w:p>
      <w:r>
        <w:t>Retrieval-Augmented Generation (RAG) enhances Large Language Models (LLMs) by grounding generation in external knowledge bases. Despite its widespread adoption, standard RAG architectures frequently fail when retrieved contexts are noisy, incomplete, or irrelevant.</w:t>
      </w:r>
    </w:p>
    <w:p>
      <w:r>
        <w:t>When retrieval fails, conventional corrective strategies apply a static countermeasure (e.g., blanket web search or uniform re-querying) regardless of why the failure occurred. This uniform treatment incurs unnecessary computational overhead and frequently fails to resolve the underlying retrieval issue.</w:t>
      </w:r>
    </w:p>
    <w:p>
      <w:r>
        <w:t>To address these limitations, we propose a diagnosis-driven retrieval framework that dynamically evaluates context sufficiency, classifies retrieval failure into discrete modes, and executes custom-tailored adaptive actions.</w:t>
      </w:r>
    </w:p>
    <w:p>
      <w:pPr>
        <w:spacing w:before="280" w:after="120"/>
      </w:pPr>
      <w:r>
        <w:rPr>
          <w:b/>
          <w:sz w:val="24"/>
        </w:rPr>
        <w:t>II. PROBLEM STATEMENT AND RELATED WORK</w:t>
      </w:r>
    </w:p>
    <w:p>
      <w:pPr>
        <w:spacing w:before="200" w:after="80"/>
      </w:pPr>
      <w:r>
        <w:rPr>
          <w:b/>
          <w:i/>
          <w:sz w:val="22"/>
        </w:rPr>
        <w:t>A. Problem Statement</w:t>
      </w:r>
    </w:p>
    <w:p>
      <w:r>
        <w:t>Existing RAG systems apply a fixed corrective strategy whenever retrieval quality falls below a set threshold. However, retrieval failures arise from diverse structural and semantic causes:</w:t>
      </w:r>
    </w:p>
    <w:p>
      <w:pPr>
        <w:pStyle w:val="ListBullet"/>
      </w:pPr>
      <w:r>
        <w:rPr>
          <w:b/>
        </w:rPr>
        <w:t xml:space="preserve">Keyword Mismatches: </w:t>
      </w:r>
      <w:r>
        <w:t>Vector embeddings fail on exact product codes or entity strings.</w:t>
      </w:r>
    </w:p>
    <w:p>
      <w:pPr>
        <w:pStyle w:val="ListBullet"/>
      </w:pPr>
      <w:r>
        <w:rPr>
          <w:b/>
        </w:rPr>
        <w:t xml:space="preserve">Insufficient Evidence: </w:t>
      </w:r>
      <w:r>
        <w:t>The top-k document count is too small to cover complex answers.</w:t>
      </w:r>
    </w:p>
    <w:p>
      <w:pPr>
        <w:pStyle w:val="ListBullet"/>
      </w:pPr>
      <w:r>
        <w:rPr>
          <w:b/>
        </w:rPr>
        <w:t xml:space="preserve">Ambiguous Queries: </w:t>
      </w:r>
      <w:r>
        <w:t>The user prompt lacks sufficient context or specific detail.</w:t>
      </w:r>
    </w:p>
    <w:p>
      <w:pPr>
        <w:pStyle w:val="ListBullet"/>
      </w:pPr>
      <w:r>
        <w:rPr>
          <w:b/>
        </w:rPr>
        <w:t xml:space="preserve">Poor Chunk Granularity: </w:t>
      </w:r>
      <w:r>
        <w:t>Context boundaries cut off critical information.</w:t>
      </w:r>
    </w:p>
    <w:p>
      <w:pPr>
        <w:spacing w:before="200" w:after="80"/>
      </w:pPr>
      <w:r>
        <w:rPr>
          <w:b/>
          <w:i/>
          <w:sz w:val="22"/>
        </w:rPr>
        <w:t>B. Related Work</w:t>
      </w:r>
    </w:p>
    <w:p>
      <w:r>
        <w:t>Standard RAG relies on static vector similarity. Advanced variants like Corrective RAG (CRAG) and Adaptive-RAG introduce decision logic to evaluate document relevance; however, they typically route queries to a single secondary fallback (e.g., external search or fixed query rewriting). Our proposed approach expands upon this by introducing a granular diagnosis phase prior to intervention.</w:t>
      </w:r>
    </w:p>
    <w:p>
      <w:pPr>
        <w:spacing w:before="280" w:after="120"/>
      </w:pPr>
      <w:r>
        <w:rPr>
          <w:b/>
          <w:sz w:val="24"/>
        </w:rPr>
        <w:t>III. RESEARCH QUESTION AND HYPOTHESIS</w:t>
      </w:r>
    </w:p>
    <w:p>
      <w:r>
        <w:rPr>
          <w:b/>
        </w:rPr>
        <w:t xml:space="preserve">Research Question: </w:t>
      </w:r>
      <w:r>
        <w:t>Can a diagnosis-driven adaptive retrieval policy outperform fixed retrieval correction strategies in Retrieval-Augmented Generation?</w:t>
      </w:r>
    </w:p>
    <w:p>
      <w:r>
        <w:rPr>
          <w:b/>
        </w:rPr>
        <w:t xml:space="preserve">Hypothesis: </w:t>
      </w:r>
      <w:r>
        <w:t>Different retrieval failure modes require distinct corrective actions. Diagnosing the specific failure mode prior to adaptation improves retrieval quality and answer faithfulness while avoiding unnecessary computational cost.</w:t>
      </w:r>
    </w:p>
    <w:p>
      <w:pPr>
        <w:spacing w:before="280" w:after="120"/>
      </w:pPr>
      <w:r>
        <w:rPr>
          <w:b/>
          <w:sz w:val="24"/>
        </w:rPr>
        <w:t>IV. PROPOSED METHODOLOGY</w:t>
      </w:r>
    </w:p>
    <w:p>
      <w:pPr>
        <w:spacing w:before="200" w:after="80"/>
      </w:pPr>
      <w:r>
        <w:rPr>
          <w:b/>
          <w:i/>
          <w:sz w:val="22"/>
        </w:rPr>
        <w:t>A. System Architecture Overview</w:t>
      </w:r>
    </w:p>
    <w:p>
      <w:r>
        <w:t>The proposed architecture intercepts user queries through an initial retrieval policy and evaluates output confidence. If confidence meets the required threshold, context passes directly to the generator. Otherwise, the pipeline branches into specialized corrective paths based on predicted failure modes.</w:t>
      </w:r>
    </w:p>
    <w:p>
      <w:pPr>
        <w:spacing w:before="200"/>
        <w:jc w:val="center"/>
      </w:pPr>
    </w:p>
    <w:p>
      <w:pPr>
        <w:spacing w:after="240"/>
        <w:jc w:val="center"/>
      </w:pPr>
      <w:r>
        <w:rPr>
          <w:i/>
          <w:sz w:val="19"/>
        </w:rPr>
        <w:t>Fig. 1. High-level execution flow of the proposed Decision-Guided Adaptive RAG framework.</w:t>
      </w:r>
    </w:p>
    <w:p>
      <w:pPr>
        <w:spacing w:before="200" w:after="80"/>
      </w:pPr>
      <w:r>
        <w:rPr>
          <w:b/>
          <w:i/>
          <w:sz w:val="22"/>
        </w:rPr>
        <w:t>B. Taxonomy of Failure Modes (FM1–FM6)</w:t>
      </w:r>
    </w:p>
    <w:p>
      <w:r>
        <w:t>We formalize six primary failure modes, mapping specific observable symptoms to diagnostic triggers and corrective actions: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Failure Mode</w:t>
            </w:r>
          </w:p>
        </w:tc>
        <w:tc>
          <w:tcPr>
            <w:tcW w:type="dxa" w:w="3120"/>
          </w:tcPr>
          <w:p>
            <w:r>
              <w:rPr>
                <w:b/>
              </w:rPr>
              <w:t>Symptoms / Triggers</w:t>
            </w:r>
          </w:p>
        </w:tc>
        <w:tc>
          <w:tcPr>
            <w:tcW w:type="dxa" w:w="3120"/>
          </w:tcPr>
          <w:p>
            <w:r>
              <w:rPr>
                <w:b/>
              </w:rPr>
              <w:t>Adaptive Action</w:t>
            </w:r>
          </w:p>
        </w:tc>
      </w:tr>
      <w:tr>
        <w:tc>
          <w:tcPr>
            <w:tcW w:type="dxa" w:w="3120"/>
          </w:tcPr>
          <w:p>
            <w:r>
              <w:t>FM1: Insufficient Evidence</w:t>
            </w:r>
          </w:p>
        </w:tc>
        <w:tc>
          <w:tcPr>
            <w:tcW w:type="dxa" w:w="3120"/>
          </w:tcPr>
          <w:p>
            <w:r>
              <w:t>Too few relevant documents returned; low similarity distribution.</w:t>
            </w:r>
          </w:p>
        </w:tc>
        <w:tc>
          <w:tcPr>
            <w:tcW w:type="dxa" w:w="3120"/>
          </w:tcPr>
          <w:p>
            <w:r>
              <w:t>Increase Top-k parameter.</w:t>
            </w:r>
          </w:p>
        </w:tc>
      </w:tr>
      <w:tr>
        <w:tc>
          <w:tcPr>
            <w:tcW w:type="dxa" w:w="3120"/>
          </w:tcPr>
          <w:p>
            <w:r>
              <w:t>FM2: Keyword Mismatch</w:t>
            </w:r>
          </w:p>
        </w:tc>
        <w:tc>
          <w:tcPr>
            <w:tcW w:type="dxa" w:w="3120"/>
          </w:tcPr>
          <w:p>
            <w:r>
              <w:t>Query contains exact identifiers, course codes, or version strings.</w:t>
            </w:r>
          </w:p>
        </w:tc>
        <w:tc>
          <w:tcPr>
            <w:tcW w:type="dxa" w:w="3120"/>
          </w:tcPr>
          <w:p>
            <w:r>
              <w:t>Switch to Hybrid / BM25 lexical search.</w:t>
            </w:r>
          </w:p>
        </w:tc>
      </w:tr>
      <w:tr>
        <w:tc>
          <w:tcPr>
            <w:tcW w:type="dxa" w:w="3120"/>
          </w:tcPr>
          <w:p>
            <w:r>
              <w:t>FM3: Ambiguous Query</w:t>
            </w:r>
          </w:p>
        </w:tc>
        <w:tc>
          <w:tcPr>
            <w:tcW w:type="dxa" w:w="3120"/>
          </w:tcPr>
          <w:p>
            <w:r>
              <w:t>Query lacks specificity or contains underspecified intent.</w:t>
            </w:r>
          </w:p>
        </w:tc>
        <w:tc>
          <w:tcPr>
            <w:tcW w:type="dxa" w:w="3120"/>
          </w:tcPr>
          <w:p>
            <w:r>
              <w:t>Perform query rewriting or request user clarification.</w:t>
            </w:r>
          </w:p>
        </w:tc>
      </w:tr>
      <w:tr>
        <w:tc>
          <w:tcPr>
            <w:tcW w:type="dxa" w:w="3120"/>
          </w:tcPr>
          <w:p>
            <w:r>
              <w:t>FM4: Comparison Question</w:t>
            </w:r>
          </w:p>
        </w:tc>
        <w:tc>
          <w:tcPr>
            <w:tcW w:type="dxa" w:w="3120"/>
          </w:tcPr>
          <w:p>
            <w:r>
              <w:t>Multi-hop or long comparative question across multiple documents.</w:t>
            </w:r>
          </w:p>
        </w:tc>
        <w:tc>
          <w:tcPr>
            <w:tcW w:type="dxa" w:w="3120"/>
          </w:tcPr>
          <w:p>
            <w:r>
              <w:t>Multi-stage retrieval with cross-encoder reranking.</w:t>
            </w:r>
          </w:p>
        </w:tc>
      </w:tr>
      <w:tr>
        <w:tc>
          <w:tcPr>
            <w:tcW w:type="dxa" w:w="3120"/>
          </w:tcPr>
          <w:p>
            <w:r>
              <w:t>FM5: Poor Chunk Coverage</w:t>
            </w:r>
          </w:p>
        </w:tc>
        <w:tc>
          <w:tcPr>
            <w:tcW w:type="dxa" w:w="3120"/>
          </w:tcPr>
          <w:p>
            <w:r>
              <w:t>Information fragmented across boundary cuts.</w:t>
            </w:r>
          </w:p>
        </w:tc>
        <w:tc>
          <w:tcPr>
            <w:tcW w:type="dxa" w:w="3120"/>
          </w:tcPr>
          <w:p>
            <w:r>
              <w:t>Expand chunk window size or increase overlap.</w:t>
            </w:r>
          </w:p>
        </w:tc>
      </w:tr>
      <w:tr>
        <w:tc>
          <w:tcPr>
            <w:tcW w:type="dxa" w:w="3120"/>
          </w:tcPr>
          <w:p>
            <w:r>
              <w:t>FM6: Low Confidence Persistence</w:t>
            </w:r>
          </w:p>
        </w:tc>
        <w:tc>
          <w:tcPr>
            <w:tcW w:type="dxa" w:w="3120"/>
          </w:tcPr>
          <w:p>
            <w:r>
              <w:t>Low confidence persists across multiple retrieval attempts.</w:t>
            </w:r>
          </w:p>
        </w:tc>
        <w:tc>
          <w:tcPr>
            <w:tcW w:type="dxa" w:w="3120"/>
          </w:tcPr>
          <w:p>
            <w:r>
              <w:t>Abstain from generation or request clarification.</w:t>
            </w:r>
          </w:p>
        </w:tc>
      </w:tr>
    </w:tbl>
    <w:p>
      <w:pPr>
        <w:spacing w:after="120"/>
      </w:pPr>
    </w:p>
    <w:p>
      <w:pPr>
        <w:spacing w:before="200"/>
        <w:jc w:val="center"/>
      </w:pPr>
    </w:p>
    <w:p>
      <w:pPr>
        <w:spacing w:after="240"/>
        <w:jc w:val="center"/>
      </w:pPr>
      <w:r>
        <w:rPr>
          <w:i/>
          <w:sz w:val="19"/>
        </w:rPr>
        <w:t>Fig. 2. Detailed panel breakdown mapping diagnostic features to failure modes FM1–FM6 and their corresponding adaptive actions.</w:t>
      </w:r>
    </w:p>
    <w:p>
      <w:pPr>
        <w:spacing w:before="200" w:after="80"/>
      </w:pPr>
      <w:r>
        <w:rPr>
          <w:b/>
          <w:i/>
          <w:sz w:val="22"/>
        </w:rPr>
        <w:t>C. Feature Extraction and Confidence Estimation</w:t>
      </w:r>
    </w:p>
    <w:p>
      <w:r>
        <w:t>To route queries accurately, the system extracts runtime features from both the query and the initial retrieval output (e.g., query length, named entity count, comparison keywords, and similarity score distributions). A confidence scoring model estimates C(q, D). If C(q, D) &gt;= threshold, generation proceeds immediately; otherwise, diagnosis is triggered.</w:t>
      </w:r>
    </w:p>
    <w:p>
      <w:pPr>
        <w:spacing w:before="200"/>
        <w:jc w:val="center"/>
      </w:pPr>
    </w:p>
    <w:p>
      <w:pPr>
        <w:spacing w:after="240"/>
        <w:jc w:val="center"/>
      </w:pPr>
      <w:r>
        <w:rPr>
          <w:i/>
          <w:sz w:val="19"/>
        </w:rPr>
        <w:t>Fig. 3. Pipeline for confidence score estimation and threshold-based decision branching.</w:t>
      </w:r>
    </w:p>
    <w:p>
      <w:pPr>
        <w:spacing w:before="200" w:after="80"/>
      </w:pPr>
      <w:r>
        <w:rPr>
          <w:b/>
          <w:i/>
          <w:sz w:val="22"/>
        </w:rPr>
        <w:t>D. Comparative Corrective Execution</w:t>
      </w:r>
    </w:p>
    <w:p>
      <w:r>
        <w:t>Target actions directly resolve specific failure mechanisms compared to baseline retrieval methods, as illustrated in Fig. 4.</w:t>
      </w:r>
    </w:p>
    <w:p>
      <w:pPr>
        <w:spacing w:before="200"/>
        <w:jc w:val="center"/>
      </w:pPr>
    </w:p>
    <w:p>
      <w:pPr>
        <w:spacing w:after="240"/>
        <w:jc w:val="center"/>
      </w:pPr>
      <w:r>
        <w:rPr>
          <w:i/>
          <w:sz w:val="19"/>
        </w:rPr>
        <w:t>Fig. 4. Execution comparison: (A) Transitioning to Hybrid Retrieval for exact identifier queries (FM2); (B) Applying Query Rewriting for ambiguous queries (FM3).</w:t>
      </w:r>
    </w:p>
    <w:p>
      <w:pPr>
        <w:spacing w:before="280" w:after="120"/>
      </w:pPr>
      <w:r>
        <w:rPr>
          <w:b/>
          <w:sz w:val="24"/>
        </w:rPr>
        <w:t>V. EXPERIMENTAL DESIGN AND EVALUATION</w:t>
      </w:r>
    </w:p>
    <w:p>
      <w:r>
        <w:t>The proposed model will be evaluated against four standard baselines: Original RAG, Hybrid RAG, Simplified CRAG, and Fixed Adaptive RAG. We measure performance across Retrieval (Recall@k, Precision@k, MRR, nDCG), Generation Quality (Faithfulness, Relevancy, Context Precision/Recall), and Efficiency (Latency, Avg. Attempts).</w:t>
      </w:r>
    </w:p>
    <w:p>
      <w:pPr>
        <w:spacing w:before="200"/>
        <w:jc w:val="center"/>
      </w:pPr>
    </w:p>
    <w:p>
      <w:pPr>
        <w:spacing w:after="240"/>
        <w:jc w:val="center"/>
      </w:pPr>
      <w:r>
        <w:rPr>
          <w:i/>
          <w:sz w:val="19"/>
        </w:rPr>
        <w:t>Fig. 5. Projected performance vs. computational efficiency trade-off comparing Decision-Guided Adaptive RAG against fixed baseline approaches.</w:t>
      </w:r>
    </w:p>
    <w:p>
      <w:pPr>
        <w:spacing w:before="280" w:after="120"/>
      </w:pPr>
      <w:r>
        <w:rPr>
          <w:b/>
          <w:sz w:val="24"/>
        </w:rPr>
        <w:t>VI. REFERENCES</w:t>
      </w:r>
    </w:p>
    <w:p>
      <w:pPr>
        <w:ind w:left="432" w:hanging="432"/>
      </w:pPr>
      <w:r>
        <w:t>[1] J. Lewis et al., "Retrieval-Augmented Generation for Knowledge-Intensive NLP Tasks," in Proc. NeurIPS, 2020, pp. 9459–9474.</w:t>
      </w:r>
    </w:p>
    <w:p>
      <w:pPr>
        <w:ind w:left="432" w:hanging="432"/>
      </w:pPr>
      <w:r>
        <w:t>[2] S. Yun et al., "Corrective Retrieval-Augmented Generation," arXiv preprint arXiv:2401.15884, 2024.</w:t>
      </w:r>
    </w:p>
    <w:p>
      <w:pPr>
        <w:ind w:left="432" w:hanging="432"/>
      </w:pPr>
      <w:r>
        <w:t>[3] W. Jeong et al., "Adaptive-RAG: Learning to Adapt Retrieval-Augmented Large Language Models through Question Complexity," arXiv preprint arXiv:2403.14403, 2024.</w:t>
      </w:r>
    </w:p>
    <w:p>
      <w:pPr>
        <w:ind w:left="432" w:hanging="432"/>
      </w:pPr>
      <w:r>
        <w:t>[4] Y. Gao et al., "Retrieval-Augmented Generation for Large Language Models: A Survey," IEEE Transactions on Knowledge and Data Engineering,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