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NJ_Stream_ERP MVP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2E75B6"/>
          <w:sz w:val="52"/>
          <w:szCs w:val="52"/>
        </w:rPr>
        <w:t xml:space="preserve">開發計畫書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595959"/>
          <w:sz w:val="26"/>
          <w:szCs w:val="26"/>
        </w:rPr>
        <w:t xml:space="preserve">Google Antigravity 開發環境 × Agent-First 工作流程</w:t>
      </w:r>
    </w:p>
    <w:p>
      <w:pPr>
        <w:spacing w:after="0" w:before="200"/>
      </w:pPr>
      <w:r>
        <w:t xml:space="preserve"/>
      </w:r>
    </w:p>
    <w:p>
      <w:pPr>
        <w:pBdr>
          <w:bottom w:val="single" w:color="2E75B6" w:sz="8" w:space="1"/>
        </w:pBdr>
        <w:jc w:val="center"/>
      </w:pPr>
      <w:r>
        <w:t xml:space="preserve"/>
      </w:r>
    </w:p>
    <w:p>
      <w:pPr>
        <w:spacing w:after="0" w:before="20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版本：v1.0（2026 年 3 月）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對應文件：PRD v0.8 ／ 同步協定規格 v1.6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開發 IDE：Google Antigravity（Public Preview）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Google Antigravity 簡介與本專案定位</w:t>
      </w:r>
    </w:p>
    <w:p>
      <w:pPr>
        <w:spacing w:after="60" w:before="60" w:line="3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Google Antigravity（2025 年 11 月發布，與 Gemini 3 同步推出）是一套 Agent-First 整合開發平台，基於 VS Code 深度改造。與傳統 AI 輔助工具的最大差異在於：Agent 不再只是側邊欄的 chatbot，而是擁有獨立工作區、可自主規劃、執行、驗證複雜任務的「自主開發夥伴」。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核心界面說明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gridSpan w:val="1"/>
            <w:tcBorders>
              <w:top w:val="single" w:color="2E75B6" w:sz="6"/>
              <w:left w:val="single" w:color="FFFFFF" w:sz="4"/>
              <w:bottom w:val="single" w:color="2E75B6" w:sz="6"/>
              <w:right w:val="single" w:color="FFFFFF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界面</w:t>
            </w:r>
          </w:p>
        </w:tc>
        <w:tc>
          <w:tcPr>
            <w:tcW w:type="dxa" w:w="6800"/>
            <w:gridSpan w:val="1"/>
            <w:tcBorders>
              <w:top w:val="single" w:color="2E75B6" w:sz="6"/>
              <w:left w:val="single" w:color="FFFFFF" w:sz="4"/>
              <w:bottom w:val="single" w:color="2E75B6" w:sz="6"/>
              <w:right w:val="single" w:color="FFFFFF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用途與說明</w:t>
            </w:r>
          </w:p>
        </w:tc>
      </w:tr>
      <w:tr>
        <w:tc>
          <w:tcPr>
            <w:tcW w:type="dxa" w:w="2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Agent Manager（Mission Control）</w:t>
            </w:r>
          </w:p>
        </w:tc>
        <w:tc>
          <w:tcPr>
            <w:tcW w:type="dxa" w:w="68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主要工作區。派遣多個 Agent 並行處理任務（如 A 負責後端 API、B 負責前端 Drift Schema），即時監控狀態與 Artifact 產出。</w:t>
            </w:r>
          </w:p>
        </w:tc>
      </w:tr>
      <w:tr>
        <w:tc>
          <w:tcPr>
            <w:tcW w:type="dxa" w:w="2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Editor View</w:t>
            </w:r>
          </w:p>
        </w:tc>
        <w:tc>
          <w:tcPr>
            <w:tcW w:type="dxa" w:w="68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需要精細控制時切換至此。AI 補全、inline 指令、熱重載偵錯。與 VS Code 操作習慣一致，已安裝的 Dart/Flutter 擴充可繼續使用。</w:t>
            </w:r>
          </w:p>
        </w:tc>
      </w:tr>
      <w:tr>
        <w:tc>
          <w:tcPr>
            <w:tcW w:type="dxa" w:w="2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Artifacts</w:t>
            </w:r>
          </w:p>
        </w:tc>
        <w:tc>
          <w:tcPr>
            <w:tcW w:type="dxa" w:w="68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Agent 產出的可驗證交付物：任務清單、實作計畫、截圖、瀏覽器錄影。對 Agent 的 Artifact 直接留注解，Agent 會在不中斷執行的情況下整合你的回饋。</w:t>
            </w:r>
          </w:p>
        </w:tc>
      </w:tr>
      <w:tr>
        <w:tc>
          <w:tcPr>
            <w:tcW w:type="dxa" w:w="2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Knowledge Items</w:t>
            </w:r>
          </w:p>
        </w:tc>
        <w:tc>
          <w:tcPr>
            <w:tcW w:type="dxa" w:w="68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Agent 跨對話儲存有用的上下文與程式碼片段，避免重複說明業務規則（如同步協定的 LWW 衝突策略、DELTA_UPDATE 四種 type）。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支援模型</w:t>
      </w:r>
    </w:p>
    <w:p>
      <w:pPr>
        <w:spacing w:after="60" w:before="60" w:line="3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Antigravity 支援多模型切換，對本專案建議的分配如下：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000"/>
      </w:tblGrid>
      <w:tr>
        <w:tc>
          <w:tcPr>
            <w:tcW w:type="dxa" w:w="2800"/>
            <w:gridSpan w:val="1"/>
            <w:tcBorders>
              <w:top w:val="single" w:color="2E75B6" w:sz="6"/>
              <w:left w:val="single" w:color="FFFFFF" w:sz="4"/>
              <w:bottom w:val="single" w:color="2E75B6" w:sz="6"/>
              <w:right w:val="single" w:color="FFFFFF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任務類型</w:t>
            </w:r>
          </w:p>
        </w:tc>
        <w:tc>
          <w:tcPr>
            <w:tcW w:type="dxa" w:w="2200"/>
            <w:gridSpan w:val="1"/>
            <w:tcBorders>
              <w:top w:val="single" w:color="2E75B6" w:sz="6"/>
              <w:left w:val="single" w:color="FFFFFF" w:sz="4"/>
              <w:bottom w:val="single" w:color="2E75B6" w:sz="6"/>
              <w:right w:val="single" w:color="FFFFFF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建議模型</w:t>
            </w:r>
          </w:p>
        </w:tc>
        <w:tc>
          <w:tcPr>
            <w:tcW w:type="dxa" w:w="4000"/>
            <w:gridSpan w:val="1"/>
            <w:tcBorders>
              <w:top w:val="single" w:color="2E75B6" w:sz="6"/>
              <w:left w:val="single" w:color="FFFFFF" w:sz="4"/>
              <w:bottom w:val="single" w:color="2E75B6" w:sz="6"/>
              <w:right w:val="single" w:color="FFFFFF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原因</w:t>
            </w:r>
          </w:p>
        </w:tc>
      </w:tr>
      <w:tr>
        <w:tc>
          <w:tcPr>
            <w:tcW w:type="dxa" w:w="28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架構規劃、同步邏輯設計</w:t>
            </w:r>
          </w:p>
        </w:tc>
        <w:tc>
          <w:tcPr>
            <w:tcW w:type="dxa" w:w="2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Gemini 3 Pro</w:t>
            </w:r>
          </w:p>
        </w:tc>
        <w:tc>
          <w:tcPr>
            <w:tcW w:type="dxa" w:w="40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長上下文推理強，適合跨模組依賴分析</w:t>
            </w:r>
          </w:p>
        </w:tc>
      </w:tr>
      <w:tr>
        <w:tc>
          <w:tcPr>
            <w:tcW w:type="dxa" w:w="28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Flutter UI / Drift Schema 實作</w:t>
            </w:r>
          </w:p>
        </w:tc>
        <w:tc>
          <w:tcPr>
            <w:tcW w:type="dxa" w:w="2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Claude Sonnet 4.6</w:t>
            </w:r>
          </w:p>
        </w:tc>
        <w:tc>
          <w:tcPr>
            <w:tcW w:type="dxa" w:w="40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程式碼品質高，Dart 語法正確率佳</w:t>
            </w:r>
          </w:p>
        </w:tc>
      </w:tr>
      <w:tr>
        <w:tc>
          <w:tcPr>
            <w:tcW w:type="dxa" w:w="28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快速 Fastify API 樣板生成</w:t>
            </w:r>
          </w:p>
        </w:tc>
        <w:tc>
          <w:tcPr>
            <w:tcW w:type="dxa" w:w="2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Gemini 3 Flash</w:t>
            </w:r>
          </w:p>
        </w:tc>
        <w:tc>
          <w:tcPr>
            <w:tcW w:type="dxa" w:w="40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速度快，適合重複性高的樣板程式碼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left w:val="single" w:color="7F6000" w:sz="18" w:space="6"/>
        </w:pBdr>
        <w:shd w:fill="FFF2CC" w:val="clear"/>
        <w:spacing w:after="80" w:before="80"/>
        <w:ind w:left="200"/>
      </w:pPr>
      <w:r>
        <w:rPr>
          <w:rFonts w:ascii="Arial" w:cs="Arial" w:eastAsia="Arial" w:hAnsi="Arial"/>
          <w:i/>
          <w:iCs/>
          <w:color w:val="7F6000"/>
          <w:sz w:val="19"/>
          <w:szCs w:val="19"/>
        </w:rPr>
        <w:t xml:space="preserve">注意：Antigravity 目前為 Public Preview，免費但無 MCP 支援。複雜的多 Agent 協作任務建議以 Review-Driven Development 模式執行（Agent 提案 → 人工審核 → 批准），避免不可控的大範圍自動修改。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Antigravity 安裝與專案環境配置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安裝流程（Windows）</w:t>
      </w:r>
    </w:p>
    <w:p>
      <w:pPr>
        <w:spacing w:after="60" w:before="60" w:line="3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前置需求：完成 Windows 開發環境（Git、Flutter SDK、Visual Studio C++ workload、Android Studio、Node.js v22 LTS、Docker Desktop）後，再進行 Antigravity 安裝。</w:t>
      </w:r>
    </w:p>
    <w:p>
      <w:pPr>
        <w:spacing w:after="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5700"/>
      </w:tblGrid>
      <w:tr>
        <w:tc>
          <w:tcPr>
            <w:tcW w:type="dxa" w:w="700"/>
            <w:gridSpan w:val="1"/>
            <w:tcBorders>
              <w:top w:val="single" w:color="2E75B6" w:sz="6"/>
              <w:left w:val="single" w:color="FFFFFF" w:sz="4"/>
              <w:bottom w:val="single" w:color="2E75B6" w:sz="6"/>
              <w:right w:val="single" w:color="FFFFFF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步驟</w:t>
            </w:r>
          </w:p>
        </w:tc>
        <w:tc>
          <w:tcPr>
            <w:tcW w:type="dxa" w:w="2600"/>
            <w:gridSpan w:val="1"/>
            <w:tcBorders>
              <w:top w:val="single" w:color="2E75B6" w:sz="6"/>
              <w:left w:val="single" w:color="FFFFFF" w:sz="4"/>
              <w:bottom w:val="single" w:color="2E75B6" w:sz="6"/>
              <w:right w:val="single" w:color="FFFFFF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動作</w:t>
            </w:r>
          </w:p>
        </w:tc>
        <w:tc>
          <w:tcPr>
            <w:tcW w:type="dxa" w:w="5700"/>
            <w:gridSpan w:val="1"/>
            <w:tcBorders>
              <w:top w:val="single" w:color="2E75B6" w:sz="6"/>
              <w:left w:val="single" w:color="FFFFFF" w:sz="4"/>
              <w:bottom w:val="single" w:color="2E75B6" w:sz="6"/>
              <w:right w:val="single" w:color="FFFFFF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說明</w:t>
            </w:r>
          </w:p>
        </w:tc>
      </w:tr>
      <w:tr>
        <w:tc>
          <w:tcPr>
            <w:tcW w:type="dxa" w:w="7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下載 Antigravity</w:t>
            </w:r>
          </w:p>
        </w:tc>
        <w:tc>
          <w:tcPr>
            <w:tcW w:type="dxa" w:w="57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前往 antigravity.google/download，選 Windows 安裝檔。</w:t>
            </w:r>
          </w:p>
        </w:tc>
      </w:tr>
      <w:tr>
        <w:tc>
          <w:tcPr>
            <w:tcW w:type="dxa" w:w="7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Google 帳號登入</w:t>
            </w:r>
          </w:p>
        </w:tc>
        <w:tc>
          <w:tcPr>
            <w:tcW w:type="dxa" w:w="57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使用個人 Gmail 帳號登入（Preview 階段免費）。公司帳號視 Google Workspace 政策而定。</w:t>
            </w:r>
          </w:p>
        </w:tc>
      </w:tr>
      <w:tr>
        <w:tc>
          <w:tcPr>
            <w:tcW w:type="dxa" w:w="7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安裝 Dart/Flutter 擴充</w:t>
            </w:r>
          </w:p>
        </w:tc>
        <w:tc>
          <w:tcPr>
            <w:tcW w:type="dxa" w:w="57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Antigravity 為 VS Code fork，可在 Extension Marketplace 安裝 Dart 官方擴充。注意：部分 VS Code 擴充與 Antigravity agent 層可能衝突，測試後再啟用。</w:t>
            </w:r>
          </w:p>
        </w:tc>
      </w:tr>
      <w:tr>
        <w:tc>
          <w:tcPr>
            <w:tcW w:type="dxa" w:w="7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設定 Agent 模式</w:t>
            </w:r>
          </w:p>
        </w:tc>
        <w:tc>
          <w:tcPr>
            <w:tcW w:type="dxa" w:w="57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建議選擇「Review-Driven Development」：Agent 決策後回來等人工審核，而非全自動執行。</w:t>
            </w:r>
          </w:p>
        </w:tc>
      </w:tr>
      <w:tr>
        <w:tc>
          <w:tcPr>
            <w:tcW w:type="dxa" w:w="7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命令列工具安裝</w:t>
            </w:r>
          </w:p>
        </w:tc>
        <w:tc>
          <w:tcPr>
            <w:tcW w:type="dxa" w:w="57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安裝 agy CLI 指令，可在 PowerShell 以 agy 快速開啟 Antigravity 專案。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專案 Knowledge Items 預先設定</w:t>
      </w:r>
    </w:p>
    <w:p>
      <w:pPr>
        <w:spacing w:after="60" w:before="60" w:line="3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開啟 NJ_Stream_ERP 專案後，將以下業務規則存入 Knowledge Items，讓 Agent 在所有後續任務中自動帶入上下文，不必每次重複說明：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同步協定核心原則：本地 Drift 為 SSOT；非庫存衝突用 LWW；庫存用 DELTA_UPDATE + Fail-to-Pull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DELTA_UPDATE 四種 type 定義（reserve / cancel / out / in）及其對 quantity_on_hand、quantity_reserved 的影響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API 錯誤碼處理策略：INSUFFICIENT_STOCK → 強制 Pull；FORBIDDEN_OPERATION / PERMISSION_DENIED / VALIDATION_ERROR → Force Overwrite（使用 server_state）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報價轉訂單保守設計：轉換只建立 sales_orders（CREATE），不自動 reserve；業務手動確認才執行 reserve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角色權限矩陣：Sales / Warehouse / Admin 的讀寫邊界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技術棧：Flutter 3.29+ / Drift / Riverpod（前端）；Fastify / Drizzle ORM / PostgreSQL 16（後端）</w:t>
      </w:r>
    </w:p>
    <w:p>
      <w:pPr>
        <w:spacing w:after="0" w:before="80"/>
      </w:pPr>
      <w:r>
        <w:t xml:space="preserve"/>
      </w:r>
    </w:p>
    <w:p>
      <w:pPr>
        <w:pBdr>
          <w:left w:val="single" w:color="7F6000" w:sz="18" w:space="6"/>
        </w:pBdr>
        <w:shd w:fill="FFF2CC" w:val="clear"/>
        <w:spacing w:after="80" w:before="80"/>
        <w:ind w:left="200"/>
      </w:pPr>
      <w:r>
        <w:rPr>
          <w:rFonts w:ascii="Arial" w:cs="Arial" w:eastAsia="Arial" w:hAnsi="Arial"/>
          <w:i/>
          <w:iCs/>
          <w:color w:val="7F6000"/>
          <w:sz w:val="19"/>
          <w:szCs w:val="19"/>
        </w:rPr>
        <w:t xml:space="preserve">提示：Knowledge Items 類似 Cursor 的 .cursorrules，但由 Agent 自動識別何時引用。首次設定後，在 Agent Manager 新增任務時，Agent 會自動帶入相關規則，不需要每次貼上。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Antigravity Agent-First 開發工作流程</w:t>
      </w:r>
    </w:p>
    <w:p>
      <w:pPr>
        <w:spacing w:after="60" w:before="60" w:line="3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Antigravity 的核心優勢在於 Agent Manager 的並行任務調度。以下說明針對 NJ_Stream_ERP 的最佳使用模式。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Review-Driven Development 流程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6300"/>
      </w:tblGrid>
      <w:tr>
        <w:tc>
          <w:tcPr>
            <w:tcW w:type="dxa" w:w="500"/>
            <w:gridSpan w:val="1"/>
            <w:tcBorders>
              <w:top w:val="single" w:color="2E75B6" w:sz="6"/>
              <w:left w:val="single" w:color="FFFFFF" w:sz="4"/>
              <w:bottom w:val="single" w:color="2E75B6" w:sz="6"/>
              <w:right w:val="single" w:color="FFFFFF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階段</w:t>
            </w:r>
          </w:p>
        </w:tc>
        <w:tc>
          <w:tcPr>
            <w:tcW w:type="dxa" w:w="2200"/>
            <w:gridSpan w:val="1"/>
            <w:tcBorders>
              <w:top w:val="single" w:color="2E75B6" w:sz="6"/>
              <w:left w:val="single" w:color="FFFFFF" w:sz="4"/>
              <w:bottom w:val="single" w:color="2E75B6" w:sz="6"/>
              <w:right w:val="single" w:color="FFFFFF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操作者</w:t>
            </w:r>
          </w:p>
        </w:tc>
        <w:tc>
          <w:tcPr>
            <w:tcW w:type="dxa" w:w="6300"/>
            <w:gridSpan w:val="1"/>
            <w:tcBorders>
              <w:top w:val="single" w:color="2E75B6" w:sz="6"/>
              <w:left w:val="single" w:color="FFFFFF" w:sz="4"/>
              <w:bottom w:val="single" w:color="2E75B6" w:sz="6"/>
              <w:right w:val="single" w:color="FFFFFF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動作</w:t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開發者（你）</w:t>
            </w:r>
          </w:p>
        </w:tc>
        <w:tc>
          <w:tcPr>
            <w:tcW w:type="dxa" w:w="63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在 Agent Manager 建立任務，附上 PRD 章節與協定規格為背景，描述目標（例如：「實作 POST /api/v1/sync/push，依照同步協定 v1.6 的 operations 驗證邏輯」）</w:t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Agent</w:t>
            </w:r>
          </w:p>
        </w:tc>
        <w:tc>
          <w:tcPr>
            <w:tcW w:type="dxa" w:w="63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自動產出 Artifact：任務清單、實作計畫、程式碼 diff、測試方案。執行過程中可存取編輯器、終端機（執行 flutter pub run build_runner）、瀏覽器（驗證 Drizzle Studio）。</w:t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開發者（你）</w:t>
            </w:r>
          </w:p>
        </w:tc>
        <w:tc>
          <w:tcPr>
            <w:tcW w:type="dxa" w:w="63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審查 Artifact。直接在計畫文件上留注解（如：「reserve 前須先確認訂單狀態為 pending，非 confirmed」）。Agent 整合回饋後繼續執行，不重新啟動。</w:t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Agent</w:t>
            </w:r>
          </w:p>
        </w:tc>
        <w:tc>
          <w:tcPr>
            <w:tcW w:type="dxa" w:w="63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依注解修正，完成後標記任務為「待審核」，等人工最終批准 merge。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並行 Agent 策略（人員 A / B 分工對應）</w:t>
      </w:r>
    </w:p>
    <w:p>
      <w:pPr>
        <w:spacing w:after="60" w:before="60" w:line="3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NJ_Stream_ERP 分為後端（人員 A）與前端（人員 B）兩條線。Antigravity Agent Manager 可同時派遣多個 Agent，無需等待對方完成：</w:t>
      </w:r>
    </w:p>
    <w:p>
      <w:pPr>
        <w:spacing w:after="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4200"/>
      </w:tblGrid>
      <w:tr>
        <w:tc>
          <w:tcPr>
            <w:tcW w:type="dxa" w:w="1200"/>
            <w:gridSpan w:val="1"/>
            <w:tcBorders>
              <w:top w:val="single" w:color="2E75B6" w:sz="6"/>
              <w:left w:val="single" w:color="FFFFFF" w:sz="4"/>
              <w:bottom w:val="single" w:color="2E75B6" w:sz="6"/>
              <w:right w:val="single" w:color="FFFFFF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Agent</w:t>
            </w:r>
          </w:p>
        </w:tc>
        <w:tc>
          <w:tcPr>
            <w:tcW w:type="dxa" w:w="3600"/>
            <w:gridSpan w:val="1"/>
            <w:tcBorders>
              <w:top w:val="single" w:color="2E75B6" w:sz="6"/>
              <w:left w:val="single" w:color="FFFFFF" w:sz="4"/>
              <w:bottom w:val="single" w:color="2E75B6" w:sz="6"/>
              <w:right w:val="single" w:color="FFFFFF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任務範圍</w:t>
            </w:r>
          </w:p>
        </w:tc>
        <w:tc>
          <w:tcPr>
            <w:tcW w:type="dxa" w:w="4200"/>
            <w:gridSpan w:val="1"/>
            <w:tcBorders>
              <w:top w:val="single" w:color="2E75B6" w:sz="6"/>
              <w:left w:val="single" w:color="FFFFFF" w:sz="4"/>
              <w:bottom w:val="single" w:color="2E75B6" w:sz="6"/>
              <w:right w:val="single" w:color="FFFFFF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使用模型建議</w:t>
            </w:r>
          </w:p>
        </w:tc>
      </w:tr>
      <w:tr>
        <w:tc>
          <w:tcPr>
            <w:tcW w:type="dxa" w:w="1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Agent A-1</w:t>
            </w:r>
          </w:p>
        </w:tc>
        <w:tc>
          <w:tcPr>
            <w:tcW w:type="dxa" w:w="3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Fastify + Drizzle Schema 初始化（users、products、customers、sales_orders、inventory_items、processed_operations）</w:t>
            </w:r>
          </w:p>
        </w:tc>
        <w:tc>
          <w:tcPr>
            <w:tcW w:type="dxa" w:w="4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Gemini 3 Pro — 跨 Schema 依賴關係推理</w:t>
            </w:r>
          </w:p>
        </w:tc>
      </w:tr>
      <w:tr>
        <w:tc>
          <w:tcPr>
            <w:tcW w:type="dxa" w:w="1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Agent A-2</w:t>
            </w:r>
          </w:p>
        </w:tc>
        <w:tc>
          <w:tcPr>
            <w:tcW w:type="dxa" w:w="3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Auth 中間件 + 角色權限矩陣（RLS / 應用層檢查）</w:t>
            </w:r>
          </w:p>
        </w:tc>
        <w:tc>
          <w:tcPr>
            <w:tcW w:type="dxa" w:w="4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Claude Sonnet 4.6 — 安全邏輯精確度高</w:t>
            </w:r>
          </w:p>
        </w:tc>
      </w:tr>
      <w:tr>
        <w:tc>
          <w:tcPr>
            <w:tcW w:type="dxa" w:w="1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Agent B-1</w:t>
            </w:r>
          </w:p>
        </w:tc>
        <w:tc>
          <w:tcPr>
            <w:tcW w:type="dxa" w:w="3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Flutter 專案結構 + Drift Schema（對應後端 Schema）+ build_runner 設定</w:t>
            </w:r>
          </w:p>
        </w:tc>
        <w:tc>
          <w:tcPr>
            <w:tcW w:type="dxa" w:w="4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Claude Sonnet 4.6 — Dart/Drift 語法品質</w:t>
            </w:r>
          </w:p>
        </w:tc>
      </w:tr>
      <w:tr>
        <w:tc>
          <w:tcPr>
            <w:tcW w:type="dxa" w:w="1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Agent B-2</w:t>
            </w:r>
          </w:p>
        </w:tc>
        <w:tc>
          <w:tcPr>
            <w:tcW w:type="dxa" w:w="3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SyncProvider 骨架（Riverpod）+ 離線佇列邏輯框架</w:t>
            </w:r>
          </w:p>
        </w:tc>
        <w:tc>
          <w:tcPr>
            <w:tcW w:type="dxa" w:w="4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Gemini 3 Pro — 需理解完整同步協定上下文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left w:val="single" w:color="7F6000" w:sz="18" w:space="6"/>
        </w:pBdr>
        <w:shd w:fill="FFF2CC" w:val="clear"/>
        <w:spacing w:after="80" w:before="80"/>
        <w:ind w:left="200"/>
      </w:pPr>
      <w:r>
        <w:rPr>
          <w:rFonts w:ascii="Arial" w:cs="Arial" w:eastAsia="Arial" w:hAnsi="Arial"/>
          <w:i/>
          <w:iCs/>
          <w:color w:val="7F6000"/>
          <w:sz w:val="19"/>
          <w:szCs w:val="19"/>
        </w:rPr>
        <w:t xml:space="preserve">Agent 產出的程式碼在批准前務必對照同步協定 v1.6 核心憲法驗證：1) operations 必須依 created_at 升序；2) 單批上限 50 筆；3) INSUFFICIENT_STOCK 不觸發 Force Overwrite，而是強制 Pull。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10 週開發排程（Antigravity Agent 任務對應）</w:t>
      </w:r>
    </w:p>
    <w:p>
      <w:pPr>
        <w:spacing w:after="60" w:before="60" w:line="3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以下排程對應 PRD v0.8 的 10 週計畫，每個 Week 標注在 Antigravity Agent Manager 中應建立的主要 Agent 任務。</w:t>
      </w:r>
    </w:p>
    <w:p>
      <w:pPr>
        <w:spacing w:after="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W1–W2：基礎架構 + 同步框架 + Auth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4400"/>
      </w:tblGrid>
      <w:tr>
        <w:tc>
          <w:tcPr>
            <w:tcW w:type="dxa" w:w="1400"/>
            <w:gridSpan w:val="1"/>
            <w:tcBorders>
              <w:top w:val="single" w:color="2E75B6" w:sz="6"/>
              <w:left w:val="single" w:color="FFFFFF" w:sz="4"/>
              <w:bottom w:val="single" w:color="2E75B6" w:sz="6"/>
              <w:right w:val="single" w:color="FFFFFF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負責方</w:t>
            </w:r>
          </w:p>
        </w:tc>
        <w:tc>
          <w:tcPr>
            <w:tcW w:type="dxa" w:w="3200"/>
            <w:gridSpan w:val="1"/>
            <w:tcBorders>
              <w:top w:val="single" w:color="2E75B6" w:sz="6"/>
              <w:left w:val="single" w:color="FFFFFF" w:sz="4"/>
              <w:bottom w:val="single" w:color="2E75B6" w:sz="6"/>
              <w:right w:val="single" w:color="FFFFFF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Agent 任務名稱</w:t>
            </w:r>
          </w:p>
        </w:tc>
        <w:tc>
          <w:tcPr>
            <w:tcW w:type="dxa" w:w="4400"/>
            <w:gridSpan w:val="1"/>
            <w:tcBorders>
              <w:top w:val="single" w:color="2E75B6" w:sz="6"/>
              <w:left w:val="single" w:color="FFFFFF" w:sz="4"/>
              <w:bottom w:val="single" w:color="2E75B6" w:sz="6"/>
              <w:right w:val="single" w:color="FFFFFF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驗收標準</w:t>
            </w:r>
          </w:p>
        </w:tc>
      </w:tr>
      <w:tr>
        <w:tc>
          <w:tcPr>
            <w:tcW w:type="dxa" w:w="14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後端 A</w:t>
            </w:r>
          </w:p>
        </w:tc>
        <w:tc>
          <w:tcPr>
            <w:tcW w:type="dxa" w:w="3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初始化 Fastify 專案 + Drizzle Schema（全表）</w:t>
            </w:r>
          </w:p>
        </w:tc>
        <w:tc>
          <w:tcPr>
            <w:tcW w:type="dxa" w:w="44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npx drizzle-kit studio 可視化所有表；processed_operations 表含 30 天清理機制</w:t>
            </w:r>
          </w:p>
        </w:tc>
      </w:tr>
      <w:tr>
        <w:tc>
          <w:tcPr>
            <w:tcW w:type="dxa" w:w="14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後端 A</w:t>
            </w:r>
          </w:p>
        </w:tc>
        <w:tc>
          <w:tcPr>
            <w:tcW w:type="dxa" w:w="3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Auth JWT 中間件 + 角色權限矩陣</w:t>
            </w:r>
          </w:p>
        </w:tc>
        <w:tc>
          <w:tcPr>
            <w:tcW w:type="dxa" w:w="44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Sales / Warehouse / Admin 三角色 token 測試通過；Warehouse 無法存取 /customers API</w:t>
            </w:r>
          </w:p>
        </w:tc>
      </w:tr>
      <w:tr>
        <w:tc>
          <w:tcPr>
            <w:tcW w:type="dxa" w:w="14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後端 A</w:t>
            </w:r>
          </w:p>
        </w:tc>
        <w:tc>
          <w:tcPr>
            <w:tcW w:type="dxa" w:w="3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POST /api/v1/sync/push 骨架 + 錯誤碼回傳</w:t>
            </w:r>
          </w:p>
        </w:tc>
        <w:tc>
          <w:tcPr>
            <w:tcW w:type="dxa" w:w="44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回傳格式含 server_state；FORBIDDEN_OPERATION 回 403 + server_state</w:t>
            </w:r>
          </w:p>
        </w:tc>
      </w:tr>
      <w:tr>
        <w:tc>
          <w:tcPr>
            <w:tcW w:type="dxa" w:w="14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前端 B</w:t>
            </w:r>
          </w:p>
        </w:tc>
        <w:tc>
          <w:tcPr>
            <w:tcW w:type="dxa" w:w="3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Flutter 專案 + Drift Schema + build_runner</w:t>
            </w:r>
          </w:p>
        </w:tc>
        <w:tc>
          <w:tcPr>
            <w:tcW w:type="dxa" w:w="44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flutter pub run build_runner watch 無錯誤；本地 .sqlite 可用 DB Browser 查看</w:t>
            </w:r>
          </w:p>
        </w:tc>
      </w:tr>
      <w:tr>
        <w:tc>
          <w:tcPr>
            <w:tcW w:type="dxa" w:w="14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前端 B</w:t>
            </w:r>
          </w:p>
        </w:tc>
        <w:tc>
          <w:tcPr>
            <w:tcW w:type="dxa" w:w="3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SyncProvider 骨架（Riverpod）</w:t>
            </w:r>
          </w:p>
        </w:tc>
        <w:tc>
          <w:tcPr>
            <w:tcW w:type="dxa" w:w="44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離線模式下 operations 可寫入本地佇列；網路恢復後觸發 push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Bdr>
          <w:left w:val="single" w:color="7F6000" w:sz="18" w:space="6"/>
        </w:pBdr>
        <w:shd w:fill="FFF2CC" w:val="clear"/>
        <w:spacing w:after="80" w:before="80"/>
        <w:ind w:left="200"/>
      </w:pPr>
      <w:r>
        <w:rPr>
          <w:rFonts w:ascii="Arial" w:cs="Arial" w:eastAsia="Arial" w:hAnsi="Arial"/>
          <w:i/>
          <w:iCs/>
          <w:color w:val="7F6000"/>
          <w:sz w:val="19"/>
          <w:szCs w:val="19"/>
        </w:rPr>
        <w:t xml:space="preserve">W1 Gate：flutter doctor -v 全綠 + docker ps 確認 postgres running + Drizzle Studio 可連線。所有人在 W2 結束前完成此 Gate 才進入 W3。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W3–W4：客戶 / 產品 CRUD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4400"/>
      </w:tblGrid>
      <w:tr>
        <w:tc>
          <w:tcPr>
            <w:tcW w:type="dxa" w:w="1400"/>
            <w:gridSpan w:val="1"/>
            <w:tcBorders>
              <w:top w:val="single" w:color="2E75B6" w:sz="6"/>
              <w:left w:val="single" w:color="FFFFFF" w:sz="4"/>
              <w:bottom w:val="single" w:color="2E75B6" w:sz="6"/>
              <w:right w:val="single" w:color="FFFFFF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負責方</w:t>
            </w:r>
          </w:p>
        </w:tc>
        <w:tc>
          <w:tcPr>
            <w:tcW w:type="dxa" w:w="3200"/>
            <w:gridSpan w:val="1"/>
            <w:tcBorders>
              <w:top w:val="single" w:color="2E75B6" w:sz="6"/>
              <w:left w:val="single" w:color="FFFFFF" w:sz="4"/>
              <w:bottom w:val="single" w:color="2E75B6" w:sz="6"/>
              <w:right w:val="single" w:color="FFFFFF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Agent 任務名稱</w:t>
            </w:r>
          </w:p>
        </w:tc>
        <w:tc>
          <w:tcPr>
            <w:tcW w:type="dxa" w:w="4400"/>
            <w:gridSpan w:val="1"/>
            <w:tcBorders>
              <w:top w:val="single" w:color="2E75B6" w:sz="6"/>
              <w:left w:val="single" w:color="FFFFFF" w:sz="4"/>
              <w:bottom w:val="single" w:color="2E75B6" w:sz="6"/>
              <w:right w:val="single" w:color="FFFFFF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驗收標準</w:t>
            </w:r>
          </w:p>
        </w:tc>
      </w:tr>
      <w:tr>
        <w:tc>
          <w:tcPr>
            <w:tcW w:type="dxa" w:w="14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後端 A</w:t>
            </w:r>
          </w:p>
        </w:tc>
        <w:tc>
          <w:tcPr>
            <w:tcW w:type="dxa" w:w="3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客戶 / 產品 REST API（含軟刪除）</w:t>
            </w:r>
          </w:p>
        </w:tc>
        <w:tc>
          <w:tcPr>
            <w:tcW w:type="dxa" w:w="44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Sales 可 CRUD 客戶；Warehouse 只能 GET 客戶；Admin 全權限</w:t>
            </w:r>
          </w:p>
        </w:tc>
      </w:tr>
      <w:tr>
        <w:tc>
          <w:tcPr>
            <w:tcW w:type="dxa" w:w="14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前端 B</w:t>
            </w:r>
          </w:p>
        </w:tc>
        <w:tc>
          <w:tcPr>
            <w:tcW w:type="dxa" w:w="3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客戶 / 產品列表 UI + 離線新增</w:t>
            </w:r>
          </w:p>
        </w:tc>
        <w:tc>
          <w:tcPr>
            <w:tcW w:type="dxa" w:w="44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離線新增客戶 → 切網路 → 恢復同步 → server 資料一致</w:t>
            </w:r>
          </w:p>
        </w:tc>
      </w:tr>
      <w:tr>
        <w:tc>
          <w:tcPr>
            <w:tcW w:type="dxa" w:w="14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前端 B</w:t>
            </w:r>
          </w:p>
        </w:tc>
        <w:tc>
          <w:tcPr>
            <w:tcW w:type="dxa" w:w="3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LWW 衝突解決實作</w:t>
            </w:r>
          </w:p>
        </w:tc>
        <w:tc>
          <w:tcPr>
            <w:tcW w:type="dxa" w:w="44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兩端同時修改客戶名稱，以 updated_at 較新者為準（Fiddler 攔截驗證）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W5：CRM 模組（報價 + 報價轉訂單）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4400"/>
      </w:tblGrid>
      <w:tr>
        <w:tc>
          <w:tcPr>
            <w:tcW w:type="dxa" w:w="1400"/>
            <w:gridSpan w:val="1"/>
            <w:tcBorders>
              <w:top w:val="single" w:color="2E75B6" w:sz="6"/>
              <w:left w:val="single" w:color="FFFFFF" w:sz="4"/>
              <w:bottom w:val="single" w:color="2E75B6" w:sz="6"/>
              <w:right w:val="single" w:color="FFFFFF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負責方</w:t>
            </w:r>
          </w:p>
        </w:tc>
        <w:tc>
          <w:tcPr>
            <w:tcW w:type="dxa" w:w="3200"/>
            <w:gridSpan w:val="1"/>
            <w:tcBorders>
              <w:top w:val="single" w:color="2E75B6" w:sz="6"/>
              <w:left w:val="single" w:color="FFFFFF" w:sz="4"/>
              <w:bottom w:val="single" w:color="2E75B6" w:sz="6"/>
              <w:right w:val="single" w:color="FFFFFF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Agent 任務名稱</w:t>
            </w:r>
          </w:p>
        </w:tc>
        <w:tc>
          <w:tcPr>
            <w:tcW w:type="dxa" w:w="4400"/>
            <w:gridSpan w:val="1"/>
            <w:tcBorders>
              <w:top w:val="single" w:color="2E75B6" w:sz="6"/>
              <w:left w:val="single" w:color="FFFFFF" w:sz="4"/>
              <w:bottom w:val="single" w:color="2E75B6" w:sz="6"/>
              <w:right w:val="single" w:color="FFFFFF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驗收標準</w:t>
            </w:r>
          </w:p>
        </w:tc>
      </w:tr>
      <w:tr>
        <w:tc>
          <w:tcPr>
            <w:tcW w:type="dxa" w:w="14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後端 A</w:t>
            </w:r>
          </w:p>
        </w:tc>
        <w:tc>
          <w:tcPr>
            <w:tcW w:type="dxa" w:w="3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報價 API + 報價轉訂單（First-to-Sync wins）</w:t>
            </w:r>
          </w:p>
        </w:tc>
        <w:tc>
          <w:tcPr>
            <w:tcW w:type="dxa" w:w="44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並發兩次轉換請求，第二次被忽略；quotation 狀態變 converted 並鎖定</w:t>
            </w:r>
          </w:p>
        </w:tc>
      </w:tr>
      <w:tr>
        <w:tc>
          <w:tcPr>
            <w:tcW w:type="dxa" w:w="14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前端 B</w:t>
            </w:r>
          </w:p>
        </w:tc>
        <w:tc>
          <w:tcPr>
            <w:tcW w:type="dxa" w:w="3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報價單 UI（稅額切換）+ decimal 套件整合</w:t>
            </w:r>
          </w:p>
        </w:tc>
        <w:tc>
          <w:tcPr>
            <w:tcW w:type="dxa" w:w="44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離線顯示「預估稅額」，同步後若後端覆蓋顯示「已調整」提示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W6–W8：SCM 模組（庫存、訂單確認、出貨）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4400"/>
      </w:tblGrid>
      <w:tr>
        <w:tc>
          <w:tcPr>
            <w:tcW w:type="dxa" w:w="1400"/>
            <w:gridSpan w:val="1"/>
            <w:tcBorders>
              <w:top w:val="single" w:color="2E75B6" w:sz="6"/>
              <w:left w:val="single" w:color="FFFFFF" w:sz="4"/>
              <w:bottom w:val="single" w:color="2E75B6" w:sz="6"/>
              <w:right w:val="single" w:color="FFFFFF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負責方</w:t>
            </w:r>
          </w:p>
        </w:tc>
        <w:tc>
          <w:tcPr>
            <w:tcW w:type="dxa" w:w="3200"/>
            <w:gridSpan w:val="1"/>
            <w:tcBorders>
              <w:top w:val="single" w:color="2E75B6" w:sz="6"/>
              <w:left w:val="single" w:color="FFFFFF" w:sz="4"/>
              <w:bottom w:val="single" w:color="2E75B6" w:sz="6"/>
              <w:right w:val="single" w:color="FFFFFF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Agent 任務名稱</w:t>
            </w:r>
          </w:p>
        </w:tc>
        <w:tc>
          <w:tcPr>
            <w:tcW w:type="dxa" w:w="4400"/>
            <w:gridSpan w:val="1"/>
            <w:tcBorders>
              <w:top w:val="single" w:color="2E75B6" w:sz="6"/>
              <w:left w:val="single" w:color="FFFFFF" w:sz="4"/>
              <w:bottom w:val="single" w:color="2E75B6" w:sz="6"/>
              <w:right w:val="single" w:color="FFFFFF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驗收標準</w:t>
            </w:r>
          </w:p>
        </w:tc>
      </w:tr>
      <w:tr>
        <w:tc>
          <w:tcPr>
            <w:tcW w:type="dxa" w:w="14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後端 A</w:t>
            </w:r>
          </w:p>
        </w:tc>
        <w:tc>
          <w:tcPr>
            <w:tcW w:type="dxa" w:w="3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DELTA_UPDATE 四種 type 實作（reserve/cancel/out/in）</w:t>
            </w:r>
          </w:p>
        </w:tc>
        <w:tc>
          <w:tcPr>
            <w:tcW w:type="dxa" w:w="44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quantity_on_hand &gt;= 0 且 quantity_reserved &lt;= quantity_on_hand 在所有 type 後均成立</w:t>
            </w:r>
          </w:p>
        </w:tc>
      </w:tr>
      <w:tr>
        <w:tc>
          <w:tcPr>
            <w:tcW w:type="dxa" w:w="14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後端 A</w:t>
            </w:r>
          </w:p>
        </w:tc>
        <w:tc>
          <w:tcPr>
            <w:tcW w:type="dxa" w:w="3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INSUFFICIENT_STOCK 409 + Fail-to-Pull 機制</w:t>
            </w:r>
          </w:p>
        </w:tc>
        <w:tc>
          <w:tcPr>
            <w:tcW w:type="dxa" w:w="44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庫存不足時回 409，前端強制 Pull 而非 Force Overwrite</w:t>
            </w:r>
          </w:p>
        </w:tc>
      </w:tr>
      <w:tr>
        <w:tc>
          <w:tcPr>
            <w:tcW w:type="dxa" w:w="14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前端 B</w:t>
            </w:r>
          </w:p>
        </w:tc>
        <w:tc>
          <w:tcPr>
            <w:tcW w:type="dxa" w:w="3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確認訂單 → reserve UI 流程</w:t>
            </w:r>
          </w:p>
        </w:tc>
        <w:tc>
          <w:tcPr>
            <w:tcW w:type="dxa" w:w="44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業務手動確認才觸發 reserve；報價轉訂單時不自動 reserve</w:t>
            </w:r>
          </w:p>
        </w:tc>
      </w:tr>
      <w:tr>
        <w:tc>
          <w:tcPr>
            <w:tcW w:type="dxa" w:w="14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前端 B</w:t>
            </w:r>
          </w:p>
        </w:tc>
        <w:tc>
          <w:tcPr>
            <w:tcW w:type="dxa" w:w="3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出貨 UI（out：同時 -on_hand -reserved）</w:t>
            </w:r>
          </w:p>
        </w:tc>
        <w:tc>
          <w:tcPr>
            <w:tcW w:type="dxa" w:w="44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出貨後可用庫存計算正確（Available = OnHand - Reserved）</w:t>
            </w:r>
          </w:p>
        </w:tc>
      </w:tr>
      <w:tr>
        <w:tc>
          <w:tcPr>
            <w:tcW w:type="dxa" w:w="14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共同</w:t>
            </w:r>
          </w:p>
        </w:tc>
        <w:tc>
          <w:tcPr>
            <w:tcW w:type="dxa" w:w="3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W6 末：離線建單 → 同步 → 庫存更新走路測試</w:t>
            </w:r>
          </w:p>
        </w:tc>
        <w:tc>
          <w:tcPr>
            <w:tcW w:type="dxa" w:w="44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端到端流程走通：客戶 → 報價 → 訂單 → 確認 → 出貨 → 庫存正確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W9–W10：儀表板 + 整合測試 + 緩衝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4400"/>
      </w:tblGrid>
      <w:tr>
        <w:tc>
          <w:tcPr>
            <w:tcW w:type="dxa" w:w="1400"/>
            <w:gridSpan w:val="1"/>
            <w:tcBorders>
              <w:top w:val="single" w:color="2E75B6" w:sz="6"/>
              <w:left w:val="single" w:color="FFFFFF" w:sz="4"/>
              <w:bottom w:val="single" w:color="2E75B6" w:sz="6"/>
              <w:right w:val="single" w:color="FFFFFF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負責方</w:t>
            </w:r>
          </w:p>
        </w:tc>
        <w:tc>
          <w:tcPr>
            <w:tcW w:type="dxa" w:w="3200"/>
            <w:gridSpan w:val="1"/>
            <w:tcBorders>
              <w:top w:val="single" w:color="2E75B6" w:sz="6"/>
              <w:left w:val="single" w:color="FFFFFF" w:sz="4"/>
              <w:bottom w:val="single" w:color="2E75B6" w:sz="6"/>
              <w:right w:val="single" w:color="FFFFFF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Agent 任務名稱</w:t>
            </w:r>
          </w:p>
        </w:tc>
        <w:tc>
          <w:tcPr>
            <w:tcW w:type="dxa" w:w="4400"/>
            <w:gridSpan w:val="1"/>
            <w:tcBorders>
              <w:top w:val="single" w:color="2E75B6" w:sz="6"/>
              <w:left w:val="single" w:color="FFFFFF" w:sz="4"/>
              <w:bottom w:val="single" w:color="2E75B6" w:sz="6"/>
              <w:right w:val="single" w:color="FFFFFF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驗收標準</w:t>
            </w:r>
          </w:p>
        </w:tc>
      </w:tr>
      <w:tr>
        <w:tc>
          <w:tcPr>
            <w:tcW w:type="dxa" w:w="14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共同</w:t>
            </w:r>
          </w:p>
        </w:tc>
        <w:tc>
          <w:tcPr>
            <w:tcW w:type="dxa" w:w="3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簡易儀表板（待出貨、低庫存、本月報價總額）</w:t>
            </w:r>
          </w:p>
        </w:tc>
        <w:tc>
          <w:tcPr>
            <w:tcW w:type="dxa" w:w="44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低庫存依各產品 min_stock_level 計算；本月報價含稅顯示</w:t>
            </w:r>
          </w:p>
        </w:tc>
      </w:tr>
      <w:tr>
        <w:tc>
          <w:tcPr>
            <w:tcW w:type="dxa" w:w="14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共同</w:t>
            </w:r>
          </w:p>
        </w:tc>
        <w:tc>
          <w:tcPr>
            <w:tcW w:type="dxa" w:w="3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processed_operations 30 天清理 + 軟刪除清理</w:t>
            </w:r>
          </w:p>
        </w:tc>
        <w:tc>
          <w:tcPr>
            <w:tcW w:type="dxa" w:w="44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排程任務可觸發；不影響正在同步的 operations</w:t>
            </w:r>
          </w:p>
        </w:tc>
      </w:tr>
      <w:tr>
        <w:tc>
          <w:tcPr>
            <w:tcW w:type="dxa" w:w="14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共同</w:t>
            </w:r>
          </w:p>
        </w:tc>
        <w:tc>
          <w:tcPr>
            <w:tcW w:type="dxa" w:w="3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W9 起停止新功能；W10 全 bug fix + 測試</w:t>
            </w:r>
          </w:p>
        </w:tc>
        <w:tc>
          <w:tcPr>
            <w:tcW w:type="dxa" w:w="44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同步成功率 &gt; 90%；庫存準確率 &gt; 95%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Antigravity Agent 任務提示詞模板</w:t>
      </w:r>
    </w:p>
    <w:p>
      <w:pPr>
        <w:spacing w:after="60" w:before="60" w:line="3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以下為針對 NJ_Stream_ERP 關鍵任務的 Agent Manager 提示詞範本，可直接複製使用。每個任務啟動前確認 Knowledge Items 已設定。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後端：DELTA_UPDATE 庫存邏輯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1E1E1E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8F8F8" w:val="clear"/>
        <w:spacing w:after="0" w:before="0"/>
        <w:ind w:left="2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任務：實作庫存 DELTA_UPDATE 四種 type（reserve/cancel/out/in）</w:t>
      </w:r>
    </w:p>
    <w:p>
      <w:pPr>
        <w:shd w:fill="F8F8F8" w:val="clear"/>
        <w:spacing w:after="0" w:before="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8F8F8" w:val="clear"/>
        <w:spacing w:after="0" w:before="0"/>
        <w:ind w:lef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規則（參考 Knowledge Items - 同步協定）：</w:t>
      </w:r>
    </w:p>
    <w:p>
      <w:pPr>
        <w:shd w:fill="F8F8F8" w:val="clear"/>
        <w:spacing w:after="0" w:before="0"/>
        <w:ind w:lef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- reserve：quantity_reserved + amount（quantity_on_hand 不變）</w:t>
      </w:r>
    </w:p>
    <w:p>
      <w:pPr>
        <w:shd w:fill="F8F8F8" w:val="clear"/>
        <w:spacing w:after="0" w:before="0"/>
        <w:ind w:lef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- cancel：quantity_reserved - amount（quantity_on_hand 不變）</w:t>
      </w:r>
    </w:p>
    <w:p>
      <w:pPr>
        <w:shd w:fill="F8F8F8" w:val="clear"/>
        <w:spacing w:after="0" w:before="0"/>
        <w:ind w:lef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- out：quantity_on_hand - amount 且 quantity_reserved - amount</w:t>
      </w:r>
    </w:p>
    <w:p>
      <w:pPr>
        <w:shd w:fill="F8F8F8" w:val="clear"/>
        <w:spacing w:after="0" w:before="0"/>
        <w:ind w:lef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- in：quantity_on_hand + amount（quantity_reserved 不變）</w:t>
      </w:r>
    </w:p>
    <w:p>
      <w:pPr>
        <w:shd w:fill="F8F8F8" w:val="clear"/>
        <w:spacing w:after="0" w:before="0"/>
        <w:ind w:lef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約束：quantity_on_hand &gt;= 0 且 quantity_reserved &lt;= quantity_on_hand</w:t>
      </w:r>
    </w:p>
    <w:p>
      <w:pPr>
        <w:shd w:fill="F8F8F8" w:val="clear"/>
        <w:spacing w:after="0" w:before="0"/>
        <w:ind w:left="20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若違反約束回 INSUFFICIENT_STOCK 409，不回 server_state。</w:t>
      </w:r>
    </w:p>
    <w:p>
      <w:pPr>
        <w:shd w:fill="F8F8F8" w:val="clear"/>
        <w:spacing w:after="80" w:before="0"/>
        <w:ind w:lef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請在 Drizzle ORM transaction 中實作，並產出 Vitest 單元測試。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前端：SyncProvider Push 邏輯</w:t>
      </w:r>
    </w:p>
    <w:p>
      <w:pPr>
        <w:shd w:fill="F8F8F8" w:val="clear"/>
        <w:spacing w:after="0" w:before="0"/>
        <w:ind w:left="2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任務：實作 SyncProvider.push()（Riverpod + Drift）</w:t>
      </w:r>
    </w:p>
    <w:p>
      <w:pPr>
        <w:shd w:fill="F8F8F8" w:val="clear"/>
        <w:spacing w:after="0" w:before="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8F8F8" w:val="clear"/>
        <w:spacing w:after="0" w:before="0"/>
        <w:ind w:lef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要求：</w:t>
      </w:r>
    </w:p>
    <w:p>
      <w:pPr>
        <w:shd w:fill="F8F8F8" w:val="clear"/>
        <w:spacing w:after="0" w:before="0"/>
        <w:ind w:lef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1. 從 Drift 本地佇列讀取 pending operations，依 created_at 升序排序</w:t>
      </w:r>
    </w:p>
    <w:p>
      <w:pPr>
        <w:shd w:fill="F8F8F8" w:val="clear"/>
        <w:spacing w:after="0" w:before="0"/>
        <w:ind w:lef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2. 分批（每批最多 50 筆）POST 到 /api/v1/sync/push</w:t>
      </w:r>
    </w:p>
    <w:p>
      <w:pPr>
        <w:shd w:fill="F8F8F8" w:val="clear"/>
        <w:spacing w:after="0" w:before="0"/>
        <w:ind w:lef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3. 錯誤處理：</w:t>
      </w:r>
    </w:p>
    <w:p>
      <w:pPr>
        <w:shd w:fill="F8F8F8" w:val="clear"/>
        <w:spacing w:after="0" w:before="0"/>
        <w:ind w:left="20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   INSUFFICIENT_STOCK → 觸發 pull()，不 Force Overwrite</w:t>
      </w:r>
    </w:p>
    <w:p>
      <w:pPr>
        <w:shd w:fill="F8F8F8" w:val="clear"/>
        <w:spacing w:after="0" w:before="0"/>
        <w:ind w:left="200"/>
      </w:pPr>
      <w:r>
        <w:rPr>
          <w:rFonts w:ascii="Courier New" w:cs="Courier New" w:eastAsia="Courier New" w:hAnsi="Courier New"/>
          <w:color w:val="7F6000"/>
          <w:sz w:val="18"/>
          <w:szCs w:val="18"/>
        </w:rPr>
        <w:t xml:space="preserve">   FORBIDDEN_OPERATION / PERMISSION_DENIED / VALIDATION_ERROR</w:t>
      </w:r>
    </w:p>
    <w:p>
      <w:pPr>
        <w:shd w:fill="F8F8F8" w:val="clear"/>
        <w:spacing w:after="0" w:before="0"/>
        <w:ind w:left="200"/>
      </w:pPr>
      <w:r>
        <w:rPr>
          <w:rFonts w:ascii="Courier New" w:cs="Courier New" w:eastAsia="Courier New" w:hAnsi="Courier New"/>
          <w:color w:val="7F6000"/>
          <w:sz w:val="18"/>
          <w:szCs w:val="18"/>
        </w:rPr>
        <w:t xml:space="preserve">   → 以 server_state 覆蓋本地 entity，不重試</w:t>
      </w:r>
    </w:p>
    <w:p>
      <w:pPr>
        <w:shd w:fill="F8F8F8" w:val="clear"/>
        <w:spacing w:after="80" w:before="0"/>
        <w:ind w:lef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4. 成功後標記 operation 為 synced，移出佇列</w:t>
      </w:r>
    </w:p>
    <w:p>
      <w:pPr>
        <w:spacing w:after="0" w:before="80"/>
      </w:pPr>
      <w:r>
        <w:t xml:space="preserve"/>
      </w:r>
    </w:p>
    <w:p>
      <w:pPr>
        <w:pBdr>
          <w:left w:val="single" w:color="7F6000" w:sz="18" w:space="6"/>
        </w:pBdr>
        <w:shd w:fill="FFF2CC" w:val="clear"/>
        <w:spacing w:after="80" w:before="80"/>
        <w:ind w:left="200"/>
      </w:pPr>
      <w:r>
        <w:rPr>
          <w:rFonts w:ascii="Arial" w:cs="Arial" w:eastAsia="Arial" w:hAnsi="Arial"/>
          <w:i/>
          <w:iCs/>
          <w:color w:val="7F6000"/>
          <w:sz w:val="19"/>
          <w:szCs w:val="19"/>
        </w:rPr>
        <w:t xml:space="preserve">所有 Agent 產出的程式碼在 approve 前，用 Fiddler Classic（Windows）攔截 HTTP 流量，確認 operations 陣列已按 created_at 升序且不超過 50 筆。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使用 Antigravity 的風險與注意事項</w:t>
      </w:r>
    </w:p>
    <w:p>
      <w:pPr>
        <w:spacing w:after="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200"/>
      </w:tblGrid>
      <w:tr>
        <w:tc>
          <w:tcPr>
            <w:tcW w:type="dxa" w:w="2800"/>
            <w:gridSpan w:val="1"/>
            <w:tcBorders>
              <w:top w:val="single" w:color="2E75B6" w:sz="6"/>
              <w:left w:val="single" w:color="FFFFFF" w:sz="4"/>
              <w:bottom w:val="single" w:color="2E75B6" w:sz="6"/>
              <w:right w:val="single" w:color="FFFFFF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風險項目</w:t>
            </w:r>
          </w:p>
        </w:tc>
        <w:tc>
          <w:tcPr>
            <w:tcW w:type="dxa" w:w="2000"/>
            <w:gridSpan w:val="1"/>
            <w:tcBorders>
              <w:top w:val="single" w:color="2E75B6" w:sz="6"/>
              <w:left w:val="single" w:color="FFFFFF" w:sz="4"/>
              <w:bottom w:val="single" w:color="2E75B6" w:sz="6"/>
              <w:right w:val="single" w:color="FFFFFF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影響程度</w:t>
            </w:r>
          </w:p>
        </w:tc>
        <w:tc>
          <w:tcPr>
            <w:tcW w:type="dxa" w:w="4200"/>
            <w:gridSpan w:val="1"/>
            <w:tcBorders>
              <w:top w:val="single" w:color="2E75B6" w:sz="6"/>
              <w:left w:val="single" w:color="FFFFFF" w:sz="4"/>
              <w:bottom w:val="single" w:color="2E75B6" w:sz="6"/>
              <w:right w:val="single" w:color="FFFFFF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對應措施</w:t>
            </w:r>
          </w:p>
        </w:tc>
      </w:tr>
      <w:tr>
        <w:tc>
          <w:tcPr>
            <w:tcW w:type="dxa" w:w="28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Agent 自動修改範圍過大（非 Review 模式）</w:t>
            </w:r>
          </w:p>
        </w:tc>
        <w:tc>
          <w:tcPr>
            <w:tcW w:type="dxa" w:w="20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高</w:t>
            </w:r>
          </w:p>
        </w:tc>
        <w:tc>
          <w:tcPr>
            <w:tcW w:type="dxa" w:w="4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全程使用 Review-Driven Development 模式，禁止 Full Auto 模式用於核心業務邏輯</w:t>
            </w:r>
          </w:p>
        </w:tc>
      </w:tr>
      <w:tr>
        <w:tc>
          <w:tcPr>
            <w:tcW w:type="dxa" w:w="28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Antigravity 無 MCP 支援（目前 Preview）</w:t>
            </w:r>
          </w:p>
        </w:tc>
        <w:tc>
          <w:tcPr>
            <w:tcW w:type="dxa" w:w="20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中</w:t>
            </w:r>
          </w:p>
        </w:tc>
        <w:tc>
          <w:tcPr>
            <w:tcW w:type="dxa" w:w="4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同步邏輯測試改用 REST Client（VS Code 擴充）手動送出 POST /sync/push；或並行開一個 Claude Code 做 MCP 整合任務</w:t>
            </w:r>
          </w:p>
        </w:tc>
      </w:tr>
      <w:tr>
        <w:tc>
          <w:tcPr>
            <w:tcW w:type="dxa" w:w="28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部分 VS Code 擴充與 Agent 層衝突</w:t>
            </w:r>
          </w:p>
        </w:tc>
        <w:tc>
          <w:tcPr>
            <w:tcW w:type="dxa" w:w="20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低-中</w:t>
            </w:r>
          </w:p>
        </w:tc>
        <w:tc>
          <w:tcPr>
            <w:tcW w:type="dxa" w:w="4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僅安裝必要擴充：Dart/Flutter、REST Client、GitLens。遇衝突先停用再測試。</w:t>
            </w:r>
          </w:p>
        </w:tc>
      </w:tr>
      <w:tr>
        <w:tc>
          <w:tcPr>
            <w:tcW w:type="dxa" w:w="28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Public Preview 功能不穩定</w:t>
            </w:r>
          </w:p>
        </w:tc>
        <w:tc>
          <w:tcPr>
            <w:tcW w:type="dxa" w:w="20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低-中</w:t>
            </w:r>
          </w:p>
        </w:tc>
        <w:tc>
          <w:tcPr>
            <w:tcW w:type="dxa" w:w="4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每週五備份一次 Knowledge Items 設定；重要 Artifact 另存 Git repo 內的 docs/ 資料夾</w:t>
            </w:r>
          </w:p>
        </w:tc>
      </w:tr>
      <w:tr>
        <w:tc>
          <w:tcPr>
            <w:tcW w:type="dxa" w:w="28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Agent 誤解同步協定業務規則</w:t>
            </w:r>
          </w:p>
        </w:tc>
        <w:tc>
          <w:tcPr>
            <w:tcW w:type="dxa" w:w="20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高</w:t>
            </w:r>
          </w:p>
        </w:tc>
        <w:tc>
          <w:tcPr>
            <w:tcW w:type="dxa" w:w="4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Knowledge Items 明確設定四條核心憲法；每個 Agent 任務啟動前在提示詞中引用相關規則章節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Antigravity vs. Claude Code 分工建議</w:t>
      </w:r>
    </w:p>
    <w:p>
      <w:pPr>
        <w:spacing w:after="60" w:before="60" w:line="3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目前 2026 年 3 月實際開發者使用模式：Antigravity 做快速原型與平行任務調度，Claude Code 做複雜推理與 MCP 整合。本專案建議如下：</w:t>
      </w:r>
    </w:p>
    <w:p>
      <w:pPr>
        <w:spacing w:after="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gridSpan w:val="1"/>
            <w:tcBorders>
              <w:top w:val="single" w:color="2E75B6" w:sz="6"/>
              <w:left w:val="single" w:color="FFFFFF" w:sz="4"/>
              <w:bottom w:val="single" w:color="2E75B6" w:sz="6"/>
              <w:right w:val="single" w:color="FFFFFF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用 Antigravity</w:t>
            </w:r>
          </w:p>
        </w:tc>
        <w:tc>
          <w:tcPr>
            <w:tcW w:type="dxa" w:w="4500"/>
            <w:gridSpan w:val="1"/>
            <w:tcBorders>
              <w:top w:val="single" w:color="2E75B6" w:sz="6"/>
              <w:left w:val="single" w:color="FFFFFF" w:sz="4"/>
              <w:bottom w:val="single" w:color="2E75B6" w:sz="6"/>
              <w:right w:val="single" w:color="FFFFFF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考慮搭配 Claude Code</w:t>
            </w:r>
          </w:p>
        </w:tc>
      </w:tr>
      <w:tr>
        <w:tc>
          <w:tcPr>
            <w:tcW w:type="dxa" w:w="45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W1–W2 基礎架構快速搭建（Schema、Auth 樣板）</w:t>
            </w:r>
          </w:p>
        </w:tc>
        <w:tc>
          <w:tcPr>
            <w:tcW w:type="dxa" w:w="45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同步邏輯的複雜邊界條件測試（需要長上下文推理）</w:t>
            </w:r>
          </w:p>
        </w:tc>
      </w:tr>
      <w:tr>
        <w:tc>
          <w:tcPr>
            <w:tcW w:type="dxa" w:w="45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並行派遣 A/B 兩條線（後端 + 前端同步進行）</w:t>
            </w:r>
          </w:p>
        </w:tc>
        <w:tc>
          <w:tcPr>
            <w:tcW w:type="dxa" w:w="45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Drizzle Studio 的 MCP 整合（目前 Antigravity 不支援）</w:t>
            </w:r>
          </w:p>
        </w:tc>
      </w:tr>
      <w:tr>
        <w:tc>
          <w:tcPr>
            <w:tcW w:type="dxa" w:w="45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Artifact 視覺化計畫審查（留注解調整方向）</w:t>
            </w:r>
          </w:p>
        </w:tc>
        <w:tc>
          <w:tcPr>
            <w:tcW w:type="dxa" w:w="45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需要 terminal 長時間 watch 的 build_runner 任務</w:t>
            </w:r>
          </w:p>
        </w:tc>
      </w:tr>
      <w:tr>
        <w:tc>
          <w:tcPr>
            <w:tcW w:type="dxa" w:w="45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W9 儀表板 UI 快速生成</w:t>
            </w:r>
          </w:p>
        </w:tc>
        <w:tc>
          <w:tcPr>
            <w:tcW w:type="dxa" w:w="45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生產環境部署腳本（Docker Compose、CI/CD）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left w:val="single" w:color="375623" w:sz="18" w:space="6"/>
        </w:pBdr>
        <w:shd w:fill="E2EFDA" w:val="clear"/>
        <w:spacing w:after="80" w:before="80"/>
        <w:ind w:left="200"/>
      </w:pPr>
      <w:r>
        <w:rPr>
          <w:rFonts w:ascii="Arial" w:cs="Arial" w:eastAsia="Arial" w:hAnsi="Arial"/>
          <w:i/>
          <w:iCs/>
          <w:color w:val="375623"/>
          <w:sz w:val="19"/>
          <w:szCs w:val="19"/>
        </w:rPr>
        <w:t xml:space="preserve">最佳實踐：兩個工具同時開著。Antigravity Agent Manager 做任務調度與樣板生成；遇到需要深度推理的同步協定邊界條件，切換到 Claude Code 的終端機模式處理。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快速參考：關鍵指令與驗收清單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每日開發啟動順序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docker ps → 確認 nj-erp-postgres 容器 running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npx drizzle-kit studio → 開啟 DB 可視化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agy 或直接開 Antigravity → 確認 Knowledge Items 已載入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Agent Manager → 今日任務列表 → 派遣對應 Agent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flutter pub run build_runner watch（另開終端機，全程保持運行）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同步協定核心驗收清單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1400"/>
        <w:gridCol w:w="1100"/>
      </w:tblGrid>
      <w:tr>
        <w:tc>
          <w:tcPr>
            <w:tcW w:type="dxa" w:w="6500"/>
            <w:gridSpan w:val="1"/>
            <w:tcBorders>
              <w:top w:val="single" w:color="2E75B6" w:sz="6"/>
              <w:left w:val="single" w:color="FFFFFF" w:sz="4"/>
              <w:bottom w:val="single" w:color="2E75B6" w:sz="6"/>
              <w:right w:val="single" w:color="FFFFFF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驗收項目</w:t>
            </w:r>
          </w:p>
        </w:tc>
        <w:tc>
          <w:tcPr>
            <w:tcW w:type="dxa" w:w="1400"/>
            <w:gridSpan w:val="1"/>
            <w:tcBorders>
              <w:top w:val="single" w:color="2E75B6" w:sz="6"/>
              <w:left w:val="single" w:color="FFFFFF" w:sz="4"/>
              <w:bottom w:val="single" w:color="2E75B6" w:sz="6"/>
              <w:right w:val="single" w:color="FFFFFF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對應週次</w:t>
            </w:r>
          </w:p>
        </w:tc>
        <w:tc>
          <w:tcPr>
            <w:tcW w:type="dxa" w:w="1100"/>
            <w:gridSpan w:val="1"/>
            <w:tcBorders>
              <w:top w:val="single" w:color="2E75B6" w:sz="6"/>
              <w:left w:val="single" w:color="FFFFFF" w:sz="4"/>
              <w:bottom w:val="single" w:color="2E75B6" w:sz="6"/>
              <w:right w:val="single" w:color="FFFFFF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狀態</w:t>
            </w:r>
          </w:p>
        </w:tc>
      </w:tr>
      <w:tr>
        <w:tc>
          <w:tcPr>
            <w:tcW w:type="dxa" w:w="65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operations 陣列依 created_at 升序，跨批次一致</w:t>
            </w:r>
          </w:p>
        </w:tc>
        <w:tc>
          <w:tcPr>
            <w:tcW w:type="dxa" w:w="14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W1</w:t>
            </w:r>
          </w:p>
        </w:tc>
        <w:tc>
          <w:tcPr>
            <w:tcW w:type="dxa" w:w="11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□</w:t>
            </w:r>
          </w:p>
        </w:tc>
      </w:tr>
      <w:tr>
        <w:tc>
          <w:tcPr>
            <w:tcW w:type="dxa" w:w="65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單批上限 50 筆，超過自動分批</w:t>
            </w:r>
          </w:p>
        </w:tc>
        <w:tc>
          <w:tcPr>
            <w:tcW w:type="dxa" w:w="14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W1</w:t>
            </w:r>
          </w:p>
        </w:tc>
        <w:tc>
          <w:tcPr>
            <w:tcW w:type="dxa" w:w="11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□</w:t>
            </w:r>
          </w:p>
        </w:tc>
      </w:tr>
      <w:tr>
        <w:tc>
          <w:tcPr>
            <w:tcW w:type="dxa" w:w="65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INSUFFICIENT_STOCK 409 → Pull（非 Force Overwrite）</w:t>
            </w:r>
          </w:p>
        </w:tc>
        <w:tc>
          <w:tcPr>
            <w:tcW w:type="dxa" w:w="14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W6</w:t>
            </w:r>
          </w:p>
        </w:tc>
        <w:tc>
          <w:tcPr>
            <w:tcW w:type="dxa" w:w="11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□</w:t>
            </w:r>
          </w:p>
        </w:tc>
      </w:tr>
      <w:tr>
        <w:tc>
          <w:tcPr>
            <w:tcW w:type="dxa" w:w="65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FORBIDDEN_OPERATION / PERMISSION_DENIED → Force Overwrite with server_state</w:t>
            </w:r>
          </w:p>
        </w:tc>
        <w:tc>
          <w:tcPr>
            <w:tcW w:type="dxa" w:w="14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W1</w:t>
            </w:r>
          </w:p>
        </w:tc>
        <w:tc>
          <w:tcPr>
            <w:tcW w:type="dxa" w:w="11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□</w:t>
            </w:r>
          </w:p>
        </w:tc>
      </w:tr>
      <w:tr>
        <w:tc>
          <w:tcPr>
            <w:tcW w:type="dxa" w:w="65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報價轉訂單：quotation → converted 鎖定；不自動 reserve</w:t>
            </w:r>
          </w:p>
        </w:tc>
        <w:tc>
          <w:tcPr>
            <w:tcW w:type="dxa" w:w="14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W5</w:t>
            </w:r>
          </w:p>
        </w:tc>
        <w:tc>
          <w:tcPr>
            <w:tcW w:type="dxa" w:w="11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□</w:t>
            </w:r>
          </w:p>
        </w:tc>
      </w:tr>
      <w:tr>
        <w:tc>
          <w:tcPr>
            <w:tcW w:type="dxa" w:w="65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quantity_on_hand &gt;= 0 且 quantity_reserved &lt;= quantity_on_hand（所有 DELTA_UPDATE 後）</w:t>
            </w:r>
          </w:p>
        </w:tc>
        <w:tc>
          <w:tcPr>
            <w:tcW w:type="dxa" w:w="14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W6</w:t>
            </w:r>
          </w:p>
        </w:tc>
        <w:tc>
          <w:tcPr>
            <w:tcW w:type="dxa" w:w="11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□</w:t>
            </w:r>
          </w:p>
        </w:tc>
      </w:tr>
      <w:tr>
        <w:tc>
          <w:tcPr>
            <w:tcW w:type="dxa" w:w="65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Available = OnHand - Reserved 計算正確</w:t>
            </w:r>
          </w:p>
        </w:tc>
        <w:tc>
          <w:tcPr>
            <w:tcW w:type="dxa" w:w="14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W6</w:t>
            </w:r>
          </w:p>
        </w:tc>
        <w:tc>
          <w:tcPr>
            <w:tcW w:type="dxa" w:w="11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□</w:t>
            </w:r>
          </w:p>
        </w:tc>
      </w:tr>
      <w:tr>
        <w:tc>
          <w:tcPr>
            <w:tcW w:type="dxa" w:w="65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離線預估稅額 → 同步後「已調整」提示</w:t>
            </w:r>
          </w:p>
        </w:tc>
        <w:tc>
          <w:tcPr>
            <w:tcW w:type="dxa" w:w="14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W5</w:t>
            </w:r>
          </w:p>
        </w:tc>
        <w:tc>
          <w:tcPr>
            <w:tcW w:type="dxa" w:w="11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□</w:t>
            </w:r>
          </w:p>
        </w:tc>
      </w:tr>
      <w:tr>
        <w:tc>
          <w:tcPr>
            <w:tcW w:type="dxa" w:w="65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processed_operations 30 天自動清理</w:t>
            </w:r>
          </w:p>
        </w:tc>
        <w:tc>
          <w:tcPr>
            <w:tcW w:type="dxa" w:w="14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W9</w:t>
            </w:r>
          </w:p>
        </w:tc>
        <w:tc>
          <w:tcPr>
            <w:tcW w:type="dxa" w:w="11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□</w:t>
            </w:r>
          </w:p>
        </w:tc>
      </w:tr>
      <w:tr>
        <w:tc>
          <w:tcPr>
            <w:tcW w:type="dxa" w:w="65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同步成功率 &gt; 90%；庫存準確率 &gt; 95%（W10 最終驗收）</w:t>
            </w:r>
          </w:p>
        </w:tc>
        <w:tc>
          <w:tcPr>
            <w:tcW w:type="dxa" w:w="14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W10</w:t>
            </w:r>
          </w:p>
        </w:tc>
        <w:tc>
          <w:tcPr>
            <w:tcW w:type="dxa" w:w="11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□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 w:line="36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文件版本：v1.0（2026 年 3 月）｜對應 PRD v0.8 ／ 同步協定規格 v1.6 ／ Google Antigravity Public Preview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4"/>
      </w:pBdr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v1.0（2026 年 3 月）  ｜  第 </w:t>
    </w:r>
    <w:fldSimple w:instr="PAGE"/>
    <w:r>
      <w:rPr>
        <w:rFonts w:ascii="Arial" w:cs="Arial" w:eastAsia="Arial" w:hAnsi="Arial"/>
        <w:color w:val="595959"/>
        <w:sz w:val="16"/>
        <w:szCs w:val="16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color w:val="2E75B6"/>
        <w:sz w:val="18"/>
        <w:szCs w:val="18"/>
      </w:rPr>
      <w:t xml:space="preserve">NJ_Stream_ERP MVP 開發計畫書</w:t>
    </w:r>
    <w:r>
      <w:rPr>
        <w:rFonts w:ascii="Arial" w:cs="Arial" w:eastAsia="Arial" w:hAnsi="Arial"/>
        <w:color w:val="595959"/>
        <w:sz w:val="18"/>
        <w:szCs w:val="18"/>
      </w:rPr>
      <w:t xml:space="preserve">  ｜  Google Antigravity 開發環境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◦"/>
      <w:lvlJc w:val="left"/>
      <w:pPr>
        <w:ind w:left="9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2026-03-30T05:05:42.346Z</dcterms:created>
  <dcterms:modified xsi:type="dcterms:W3CDTF">2026-03-30T05:05:42.347Z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