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1A1A1A"/>
          <w:sz w:val="56"/>
          <w:szCs w:val="56"/>
        </w:rPr>
        <w:t xml:space="preserve">THE ELDER</w:t>
      </w:r>
    </w:p>
    <w:p>
      <w:pPr>
        <w:spacing w:after="40"/>
        <w:jc w:val="center"/>
      </w:pPr>
      <w:r>
        <w:rPr>
          <w:color w:val="B5471E"/>
          <w:sz w:val="28"/>
          <w:szCs w:val="28"/>
        </w:rPr>
        <w:t xml:space="preserve">Phased Build Plan — Scaling Without Losing the Fire</w:t>
      </w:r>
    </w:p>
    <w:p>
      <w:pPr>
        <w:spacing w:after="600"/>
        <w:jc w:val="center"/>
      </w:pPr>
      <w:r>
        <w:rPr>
          <w:i/>
          <w:iCs/>
          <w:color w:val="5A5A5A"/>
          <w:sz w:val="22"/>
          <w:szCs w:val="22"/>
        </w:rPr>
        <w:t xml:space="preserve">Blue Team Sequence · Subsystem Specifications</w:t>
      </w:r>
    </w:p>
    <w:p>
      <w:pPr>
        <w:pBdr>
          <w:top w:val="single" w:color="C9B89A" w:sz="6" w:space="6"/>
          <w:bottom w:val="single" w:color="C9B89A" w:sz="6" w:space="6"/>
        </w:pBdr>
        <w:spacing w:after="40"/>
        <w:jc w:val="center"/>
      </w:pPr>
      <w:r>
        <w:rPr>
          <w:color w:val="5A5A5A"/>
          <w:sz w:val="20"/>
          <w:szCs w:val="20"/>
        </w:rPr>
        <w:t xml:space="preserve">Council of Voices · Applied Mythopoetics</w:t>
      </w:r>
    </w:p>
    <w:p>
      <w:pPr>
        <w:spacing w:before="600"/>
        <w:jc w:val="center"/>
      </w:pPr>
      <w:r>
        <w:rPr>
          <w:b/>
          <w:bCs/>
          <w:color w:val="2E5A4A"/>
          <w:sz w:val="20"/>
          <w:szCs w:val="20"/>
        </w:rPr>
        <w:t xml:space="preserve">Temporal Bridges Institute  ·  AHAU AI</w:t>
      </w:r>
    </w:p>
    <w:p>
      <w:pPr>
        <w:spacing w:before="40"/>
        <w:jc w:val="center"/>
      </w:pPr>
      <w:r>
        <w:rPr>
          <w:i/>
          <w:iCs/>
          <w:color w:val="5A5A5A"/>
          <w:sz w:val="18"/>
          <w:szCs w:val="18"/>
        </w:rPr>
        <w:t xml:space="preserve">Engineering draft — pending Dr. Stanzione lineage sign-off</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Orientation</w:t>
      </w:r>
    </w:p>
    <w:p>
      <w:pPr>
        <w:spacing w:after="140" w:line="276"/>
      </w:pPr>
      <w:r>
        <w:t xml:space="preserve">This plan converts the Blue Team sequence into a buildable program. It assumes the current Elder (single Next.js app on Vercel, one inference per Reading, per-voice system prompts, dual-judge guardian, localStorage AltarRecord) as the v1 baseline, and stages the scaling work so that each phase ships independently, fails safely, and can be rolled back without unwinding the phases before it.</w:t>
      </w:r>
    </w:p>
    <w:p>
      <w:pPr>
        <w:spacing w:after="140" w:line="276"/>
      </w:pPr>
      <w:r>
        <w:rPr>
          <w:b/>
          <w:bCs/>
        </w:rPr>
        <w:t xml:space="preserve">The governing constraint. </w:t>
      </w:r>
      <w:r>
        <w:t xml:space="preserve">Scale was ranked first and lineage integrity last for the strategic exercise. This plan inverts that ordering at the implementation layer for one reason: the cheapest path and the most faithful path are the same path only if integrity is built into the infrastructure as a signed, versioned, auditable artifact rather than left in the prompt. Every phase below is sequenced so the cost win and the fidelity win arrive together.</w:t>
      </w:r>
    </w:p>
    <w:p>
      <w:pPr>
        <w:spacing w:after="140" w:line="276"/>
      </w:pPr>
      <w:r>
        <w:rPr>
          <w:b/>
          <w:bCs/>
        </w:rPr>
        <w:t xml:space="preserve">The hard gate. </w:t>
      </w:r>
      <w:r>
        <w:t xml:space="preserve">Phases 2 and 3 touch the corpus and the divination voice. Neither merges to production without Dr. Stanzione's sign-off on the relevant signed artifact (retrieval policy, model contract). This is encoded as a CODEOWNERS requirement, not a convention.</w:t>
      </w:r>
    </w:p>
    <w:p>
      <w:pPr>
        <w:pBdr>
          <w:bottom w:val="single" w:color="C9B89A" w:sz="6" w:space="1"/>
        </w:pBdr>
        <w:spacing w:after="160" w:before="60"/>
      </w:pPr>
      <w:r>
        <w:t xml:space="preserve"/>
      </w:r>
    </w:p>
    <w:p>
      <w:pPr>
        <w:pStyle w:val="Heading2"/>
      </w:pPr>
      <w:r>
        <w:t xml:space="preserve">Phase map at a glance</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860"/>
        <w:gridCol w:w="1860"/>
        <w:gridCol w:w="1200"/>
      </w:tblGrid>
      <w:tr>
        <w:trPr>
          <w:tblHeader/>
        </w:trPr>
        <w:tc>
          <w:tcPr>
            <w:tcW w:type="dxa" w:w="1500"/>
            <w:tcBorders>
              <w:top w:val="single" w:color="CCCCCC" w:sz="1"/>
              <w:left w:val="single" w:color="CCCCCC" w:sz="1"/>
              <w:bottom w:val="single" w:color="CCCCCC" w:sz="1"/>
              <w:right w:val="single" w:color="CCCCCC" w:sz="1"/>
            </w:tcBorders>
            <w:shd w:fill="2E5A4A" w:val="clear"/>
            <w:tcMar>
              <w:top w:type="dxa" w:w="80"/>
              <w:left w:type="dxa" w:w="120"/>
              <w:bottom w:type="dxa" w:w="80"/>
              <w:right w:type="dxa" w:w="120"/>
            </w:tcMar>
          </w:tcPr>
          <w:p>
            <w:pPr>
              <w:spacing w:after="0" w:line="252"/>
            </w:pPr>
            <w:r>
              <w:rPr>
                <w:b/>
                <w:bCs/>
                <w:color w:val="FFFFFF"/>
                <w:sz w:val="19"/>
                <w:szCs w:val="19"/>
              </w:rPr>
              <w:t xml:space="preserve">Phase</w:t>
            </w:r>
          </w:p>
        </w:tc>
        <w:tc>
          <w:tcPr>
            <w:tcW w:type="dxa" w:w="2400"/>
            <w:tcBorders>
              <w:top w:val="single" w:color="CCCCCC" w:sz="1"/>
              <w:left w:val="single" w:color="CCCCCC" w:sz="1"/>
              <w:bottom w:val="single" w:color="CCCCCC" w:sz="1"/>
              <w:right w:val="single" w:color="CCCCCC" w:sz="1"/>
            </w:tcBorders>
            <w:shd w:fill="2E5A4A" w:val="clear"/>
            <w:tcMar>
              <w:top w:type="dxa" w:w="80"/>
              <w:left w:type="dxa" w:w="120"/>
              <w:bottom w:type="dxa" w:w="80"/>
              <w:right w:type="dxa" w:w="120"/>
            </w:tcMar>
          </w:tcPr>
          <w:p>
            <w:pPr>
              <w:spacing w:after="0" w:line="252"/>
            </w:pPr>
            <w:r>
              <w:rPr>
                <w:b/>
                <w:bCs/>
                <w:color w:val="FFFFFF"/>
                <w:sz w:val="19"/>
                <w:szCs w:val="19"/>
              </w:rPr>
              <w:t xml:space="preserve">Ships</w:t>
            </w:r>
          </w:p>
        </w:tc>
        <w:tc>
          <w:tcPr>
            <w:tcW w:type="dxa" w:w="1860"/>
            <w:tcBorders>
              <w:top w:val="single" w:color="CCCCCC" w:sz="1"/>
              <w:left w:val="single" w:color="CCCCCC" w:sz="1"/>
              <w:bottom w:val="single" w:color="CCCCCC" w:sz="1"/>
              <w:right w:val="single" w:color="CCCCCC" w:sz="1"/>
            </w:tcBorders>
            <w:shd w:fill="2E5A4A" w:val="clear"/>
            <w:tcMar>
              <w:top w:type="dxa" w:w="80"/>
              <w:left w:type="dxa" w:w="120"/>
              <w:bottom w:type="dxa" w:w="80"/>
              <w:right w:type="dxa" w:w="120"/>
            </w:tcMar>
          </w:tcPr>
          <w:p>
            <w:pPr>
              <w:spacing w:after="0" w:line="252"/>
            </w:pPr>
            <w:r>
              <w:rPr>
                <w:b/>
                <w:bCs/>
                <w:color w:val="FFFFFF"/>
                <w:sz w:val="19"/>
                <w:szCs w:val="19"/>
              </w:rPr>
              <w:t xml:space="preserve">Primary win</w:t>
            </w:r>
          </w:p>
        </w:tc>
        <w:tc>
          <w:tcPr>
            <w:tcW w:type="dxa" w:w="1860"/>
            <w:tcBorders>
              <w:top w:val="single" w:color="CCCCCC" w:sz="1"/>
              <w:left w:val="single" w:color="CCCCCC" w:sz="1"/>
              <w:bottom w:val="single" w:color="CCCCCC" w:sz="1"/>
              <w:right w:val="single" w:color="CCCCCC" w:sz="1"/>
            </w:tcBorders>
            <w:shd w:fill="2E5A4A" w:val="clear"/>
            <w:tcMar>
              <w:top w:type="dxa" w:w="80"/>
              <w:left w:type="dxa" w:w="120"/>
              <w:bottom w:type="dxa" w:w="80"/>
              <w:right w:type="dxa" w:w="120"/>
            </w:tcMar>
          </w:tcPr>
          <w:p>
            <w:pPr>
              <w:spacing w:after="0" w:line="252"/>
            </w:pPr>
            <w:r>
              <w:rPr>
                <w:b/>
                <w:bCs/>
                <w:color w:val="FFFFFF"/>
                <w:sz w:val="19"/>
                <w:szCs w:val="19"/>
              </w:rPr>
              <w:t xml:space="preserve">Integrity risk</w:t>
            </w:r>
          </w:p>
        </w:tc>
        <w:tc>
          <w:tcPr>
            <w:tcW w:type="dxa" w:w="1200"/>
            <w:tcBorders>
              <w:top w:val="single" w:color="CCCCCC" w:sz="1"/>
              <w:left w:val="single" w:color="CCCCCC" w:sz="1"/>
              <w:bottom w:val="single" w:color="CCCCCC" w:sz="1"/>
              <w:right w:val="single" w:color="CCCCCC" w:sz="1"/>
            </w:tcBorders>
            <w:shd w:fill="2E5A4A" w:val="clear"/>
            <w:tcMar>
              <w:top w:type="dxa" w:w="80"/>
              <w:left w:type="dxa" w:w="120"/>
              <w:bottom w:type="dxa" w:w="80"/>
              <w:right w:type="dxa" w:w="120"/>
            </w:tcMar>
          </w:tcPr>
          <w:p>
            <w:pPr>
              <w:spacing w:after="0" w:line="252"/>
            </w:pPr>
            <w:r>
              <w:rPr>
                <w:b/>
                <w:bCs/>
                <w:color w:val="FFFFFF"/>
                <w:sz w:val="19"/>
                <w:szCs w:val="19"/>
              </w:rPr>
              <w:t xml:space="preserve">Reversible?</w:t>
            </w:r>
          </w:p>
        </w:tc>
      </w:tr>
      <w:tr>
        <w:tc>
          <w:tcPr>
            <w:tcW w:type="dxa" w:w="1500"/>
            <w:tcBorders>
              <w:top w:val="single" w:color="CCCCCC" w:sz="1"/>
              <w:left w:val="single" w:color="CCCCCC" w:sz="1"/>
              <w:bottom w:val="single" w:color="CCCCCC" w:sz="1"/>
              <w:right w:val="single" w:color="CCCCCC" w:sz="1"/>
            </w:tcBorders>
            <w:shd w:fill="F4EFE6" w:val="clear"/>
            <w:tcMar>
              <w:top w:type="dxa" w:w="80"/>
              <w:left w:type="dxa" w:w="120"/>
              <w:bottom w:type="dxa" w:w="80"/>
              <w:right w:type="dxa" w:w="120"/>
            </w:tcMar>
          </w:tcPr>
          <w:p>
            <w:pPr>
              <w:spacing w:after="0" w:line="252"/>
            </w:pPr>
            <w:r>
              <w:rPr>
                <w:b/>
                <w:bCs/>
                <w:color w:val="1A1A1A"/>
                <w:sz w:val="19"/>
                <w:szCs w:val="19"/>
              </w:rPr>
              <w:t xml:space="preserve">0 — Baseline hardening</w:t>
            </w:r>
          </w:p>
        </w:tc>
        <w:tc>
          <w:tcPr>
            <w:tcW w:type="dxa" w:w="2400"/>
            <w:tcBorders>
              <w:top w:val="single" w:color="CCCCCC" w:sz="1"/>
              <w:left w:val="single" w:color="CCCCCC" w:sz="1"/>
              <w:bottom w:val="single" w:color="CCCCCC" w:sz="1"/>
              <w:right w:val="single" w:color="CCCCCC" w:sz="1"/>
            </w:tcBorders>
            <w:shd w:fill="F4EFE6" w:val="clear"/>
            <w:tcMar>
              <w:top w:type="dxa" w:w="80"/>
              <w:left w:type="dxa" w:w="120"/>
              <w:bottom w:type="dxa" w:w="80"/>
              <w:right w:type="dxa" w:w="120"/>
            </w:tcMar>
          </w:tcPr>
          <w:p>
            <w:pPr>
              <w:spacing w:after="0" w:line="252"/>
            </w:pPr>
            <w:r>
              <w:rPr>
                <w:color w:val="1A1A1A"/>
                <w:sz w:val="19"/>
                <w:szCs w:val="19"/>
              </w:rPr>
              <w:t xml:space="preserve">Current v1, instrumented</w:t>
            </w:r>
          </w:p>
        </w:tc>
        <w:tc>
          <w:tcPr>
            <w:tcW w:type="dxa" w:w="1860"/>
            <w:tcBorders>
              <w:top w:val="single" w:color="CCCCCC" w:sz="1"/>
              <w:left w:val="single" w:color="CCCCCC" w:sz="1"/>
              <w:bottom w:val="single" w:color="CCCCCC" w:sz="1"/>
              <w:right w:val="single" w:color="CCCCCC" w:sz="1"/>
            </w:tcBorders>
            <w:shd w:fill="F4EFE6" w:val="clear"/>
            <w:tcMar>
              <w:top w:type="dxa" w:w="80"/>
              <w:left w:type="dxa" w:w="120"/>
              <w:bottom w:type="dxa" w:w="80"/>
              <w:right w:type="dxa" w:w="120"/>
            </w:tcMar>
          </w:tcPr>
          <w:p>
            <w:pPr>
              <w:spacing w:after="0" w:line="252"/>
            </w:pPr>
            <w:r>
              <w:rPr>
                <w:color w:val="1A1A1A"/>
                <w:sz w:val="19"/>
                <w:szCs w:val="19"/>
              </w:rPr>
              <w:t xml:space="preserve">Stable floor</w:t>
            </w:r>
          </w:p>
        </w:tc>
        <w:tc>
          <w:tcPr>
            <w:tcW w:type="dxa" w:w="1860"/>
            <w:tcBorders>
              <w:top w:val="single" w:color="CCCCCC" w:sz="1"/>
              <w:left w:val="single" w:color="CCCCCC" w:sz="1"/>
              <w:bottom w:val="single" w:color="CCCCCC" w:sz="1"/>
              <w:right w:val="single" w:color="CCCCCC" w:sz="1"/>
            </w:tcBorders>
            <w:shd w:fill="F4EFE6" w:val="clear"/>
            <w:tcMar>
              <w:top w:type="dxa" w:w="80"/>
              <w:left w:type="dxa" w:w="120"/>
              <w:bottom w:type="dxa" w:w="80"/>
              <w:right w:type="dxa" w:w="120"/>
            </w:tcMar>
          </w:tcPr>
          <w:p>
            <w:pPr>
              <w:spacing w:after="0" w:line="252"/>
            </w:pPr>
            <w:r>
              <w:rPr>
                <w:color w:val="1A1A1A"/>
                <w:sz w:val="19"/>
                <w:szCs w:val="19"/>
              </w:rPr>
              <w:t xml:space="preserve">None</w:t>
            </w:r>
          </w:p>
        </w:tc>
        <w:tc>
          <w:tcPr>
            <w:tcW w:type="dxa" w:w="1200"/>
            <w:tcBorders>
              <w:top w:val="single" w:color="CCCCCC" w:sz="1"/>
              <w:left w:val="single" w:color="CCCCCC" w:sz="1"/>
              <w:bottom w:val="single" w:color="CCCCCC" w:sz="1"/>
              <w:right w:val="single" w:color="CCCCCC" w:sz="1"/>
            </w:tcBorders>
            <w:shd w:fill="F4EFE6" w:val="clear"/>
            <w:tcMar>
              <w:top w:type="dxa" w:w="80"/>
              <w:left w:type="dxa" w:w="120"/>
              <w:bottom w:type="dxa" w:w="80"/>
              <w:right w:type="dxa" w:w="120"/>
            </w:tcMar>
          </w:tcPr>
          <w:p>
            <w:pPr>
              <w:spacing w:after="0" w:line="252"/>
            </w:pPr>
            <w:r>
              <w:rPr>
                <w:color w:val="1A1A1A"/>
                <w:sz w:val="19"/>
                <w:szCs w:val="19"/>
              </w:rPr>
              <w:t xml:space="preserve">n/a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bCs/>
                <w:color w:val="1A1A1A"/>
                <w:sz w:val="19"/>
                <w:szCs w:val="19"/>
              </w:rPr>
              <w:t xml:space="preserve">1 — Server-side ledger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color w:val="1A1A1A"/>
                <w:sz w:val="19"/>
                <w:szCs w:val="19"/>
              </w:rPr>
              <w:t xml:space="preserve">Persisted AltarRecord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color w:val="1A1A1A"/>
                <w:sz w:val="19"/>
                <w:szCs w:val="19"/>
              </w:rPr>
              <w:t xml:space="preserve">Distribution unlock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color w:val="1A1A1A"/>
                <w:sz w:val="19"/>
                <w:szCs w:val="19"/>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color w:val="1A1A1A"/>
                <w:sz w:val="19"/>
                <w:szCs w:val="19"/>
              </w:rPr>
              <w:t xml:space="preserve">Yes</w:t>
            </w:r>
          </w:p>
        </w:tc>
      </w:tr>
      <w:tr>
        <w:tc>
          <w:tcPr>
            <w:tcW w:type="dxa" w:w="1500"/>
            <w:tcBorders>
              <w:top w:val="single" w:color="CCCCCC" w:sz="1"/>
              <w:left w:val="single" w:color="CCCCCC" w:sz="1"/>
              <w:bottom w:val="single" w:color="CCCCCC" w:sz="1"/>
              <w:right w:val="single" w:color="CCCCCC" w:sz="1"/>
            </w:tcBorders>
            <w:shd w:fill="F4EFE6" w:val="clear"/>
            <w:tcMar>
              <w:top w:type="dxa" w:w="80"/>
              <w:left w:type="dxa" w:w="120"/>
              <w:bottom w:type="dxa" w:w="80"/>
              <w:right w:type="dxa" w:w="120"/>
            </w:tcMar>
          </w:tcPr>
          <w:p>
            <w:pPr>
              <w:spacing w:after="0" w:line="252"/>
            </w:pPr>
            <w:r>
              <w:rPr>
                <w:b/>
                <w:bCs/>
                <w:color w:val="1A1A1A"/>
                <w:sz w:val="19"/>
                <w:szCs w:val="19"/>
              </w:rPr>
              <w:t xml:space="preserve">2 — Signed-retrieval RAG</w:t>
            </w:r>
          </w:p>
        </w:tc>
        <w:tc>
          <w:tcPr>
            <w:tcW w:type="dxa" w:w="2400"/>
            <w:tcBorders>
              <w:top w:val="single" w:color="CCCCCC" w:sz="1"/>
              <w:left w:val="single" w:color="CCCCCC" w:sz="1"/>
              <w:bottom w:val="single" w:color="CCCCCC" w:sz="1"/>
              <w:right w:val="single" w:color="CCCCCC" w:sz="1"/>
            </w:tcBorders>
            <w:shd w:fill="F4EFE6" w:val="clear"/>
            <w:tcMar>
              <w:top w:type="dxa" w:w="80"/>
              <w:left w:type="dxa" w:w="120"/>
              <w:bottom w:type="dxa" w:w="80"/>
              <w:right w:type="dxa" w:w="120"/>
            </w:tcMar>
          </w:tcPr>
          <w:p>
            <w:pPr>
              <w:spacing w:after="0" w:line="252"/>
            </w:pPr>
            <w:r>
              <w:rPr>
                <w:color w:val="1A1A1A"/>
                <w:sz w:val="19"/>
                <w:szCs w:val="19"/>
              </w:rPr>
              <w:t xml:space="preserve">Per-voice corpus store</w:t>
            </w:r>
          </w:p>
        </w:tc>
        <w:tc>
          <w:tcPr>
            <w:tcW w:type="dxa" w:w="1860"/>
            <w:tcBorders>
              <w:top w:val="single" w:color="CCCCCC" w:sz="1"/>
              <w:left w:val="single" w:color="CCCCCC" w:sz="1"/>
              <w:bottom w:val="single" w:color="CCCCCC" w:sz="1"/>
              <w:right w:val="single" w:color="CCCCCC" w:sz="1"/>
            </w:tcBorders>
            <w:shd w:fill="F4EFE6" w:val="clear"/>
            <w:tcMar>
              <w:top w:type="dxa" w:w="80"/>
              <w:left w:type="dxa" w:w="120"/>
              <w:bottom w:type="dxa" w:w="80"/>
              <w:right w:type="dxa" w:w="120"/>
            </w:tcMar>
          </w:tcPr>
          <w:p>
            <w:pPr>
              <w:spacing w:after="0" w:line="252"/>
            </w:pPr>
            <w:r>
              <w:rPr>
                <w:color w:val="1A1A1A"/>
                <w:sz w:val="19"/>
                <w:szCs w:val="19"/>
              </w:rPr>
              <w:t xml:space="preserve">Cost ↓, fidelity ↑</w:t>
            </w:r>
          </w:p>
        </w:tc>
        <w:tc>
          <w:tcPr>
            <w:tcW w:type="dxa" w:w="1860"/>
            <w:tcBorders>
              <w:top w:val="single" w:color="CCCCCC" w:sz="1"/>
              <w:left w:val="single" w:color="CCCCCC" w:sz="1"/>
              <w:bottom w:val="single" w:color="CCCCCC" w:sz="1"/>
              <w:right w:val="single" w:color="CCCCCC" w:sz="1"/>
            </w:tcBorders>
            <w:shd w:fill="F4EFE6" w:val="clear"/>
            <w:tcMar>
              <w:top w:type="dxa" w:w="80"/>
              <w:left w:type="dxa" w:w="120"/>
              <w:bottom w:type="dxa" w:w="80"/>
              <w:right w:type="dxa" w:w="120"/>
            </w:tcMar>
          </w:tcPr>
          <w:p>
            <w:pPr>
              <w:spacing w:after="0" w:line="252"/>
            </w:pPr>
            <w:r>
              <w:rPr>
                <w:color w:val="1A1A1A"/>
                <w:sz w:val="19"/>
                <w:szCs w:val="19"/>
              </w:rPr>
              <w:t xml:space="preserve">High (gated)</w:t>
            </w:r>
          </w:p>
        </w:tc>
        <w:tc>
          <w:tcPr>
            <w:tcW w:type="dxa" w:w="1200"/>
            <w:tcBorders>
              <w:top w:val="single" w:color="CCCCCC" w:sz="1"/>
              <w:left w:val="single" w:color="CCCCCC" w:sz="1"/>
              <w:bottom w:val="single" w:color="CCCCCC" w:sz="1"/>
              <w:right w:val="single" w:color="CCCCCC" w:sz="1"/>
            </w:tcBorders>
            <w:shd w:fill="F4EFE6" w:val="clear"/>
            <w:tcMar>
              <w:top w:type="dxa" w:w="80"/>
              <w:left w:type="dxa" w:w="120"/>
              <w:bottom w:type="dxa" w:w="80"/>
              <w:right w:type="dxa" w:w="120"/>
            </w:tcMar>
          </w:tcPr>
          <w:p>
            <w:pPr>
              <w:spacing w:after="0" w:line="252"/>
            </w:pPr>
            <w:r>
              <w:rPr>
                <w:color w:val="1A1A1A"/>
                <w:sz w:val="19"/>
                <w:szCs w:val="19"/>
              </w:rPr>
              <w:t xml:space="preserve">Yes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b/>
                <w:bCs/>
                <w:color w:val="1A1A1A"/>
                <w:sz w:val="19"/>
                <w:szCs w:val="19"/>
              </w:rPr>
              <w:t xml:space="preserve">3 — Tiered guardian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color w:val="1A1A1A"/>
                <w:sz w:val="19"/>
                <w:szCs w:val="19"/>
              </w:rPr>
              <w:t xml:space="preserve">Signal-routed judging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color w:val="1A1A1A"/>
                <w:sz w:val="19"/>
                <w:szCs w:val="19"/>
              </w:rPr>
              <w:t xml:space="preserve">Throughput ↑</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color w:val="1A1A1A"/>
                <w:sz w:val="19"/>
                <w:szCs w:val="19"/>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52"/>
            </w:pPr>
            <w:r>
              <w:rPr>
                <w:color w:val="1A1A1A"/>
                <w:sz w:val="19"/>
                <w:szCs w:val="19"/>
              </w:rPr>
              <w:t xml:space="preserve">Yes</w:t>
            </w:r>
          </w:p>
        </w:tc>
      </w:tr>
      <w:tr>
        <w:tc>
          <w:tcPr>
            <w:tcW w:type="dxa" w:w="1500"/>
            <w:tcBorders>
              <w:top w:val="single" w:color="CCCCCC" w:sz="1"/>
              <w:left w:val="single" w:color="CCCCCC" w:sz="1"/>
              <w:bottom w:val="single" w:color="CCCCCC" w:sz="1"/>
              <w:right w:val="single" w:color="CCCCCC" w:sz="1"/>
            </w:tcBorders>
            <w:shd w:fill="F4EFE6" w:val="clear"/>
            <w:tcMar>
              <w:top w:type="dxa" w:w="80"/>
              <w:left w:type="dxa" w:w="120"/>
              <w:bottom w:type="dxa" w:w="80"/>
              <w:right w:type="dxa" w:w="120"/>
            </w:tcMar>
          </w:tcPr>
          <w:p>
            <w:pPr>
              <w:spacing w:after="0" w:line="252"/>
            </w:pPr>
            <w:r>
              <w:rPr>
                <w:b/>
                <w:bCs/>
                <w:color w:val="1A1A1A"/>
                <w:sz w:val="19"/>
                <w:szCs w:val="19"/>
              </w:rPr>
              <w:t xml:space="preserve">4 — Per-Reading routing</w:t>
            </w:r>
          </w:p>
        </w:tc>
        <w:tc>
          <w:tcPr>
            <w:tcW w:type="dxa" w:w="2400"/>
            <w:tcBorders>
              <w:top w:val="single" w:color="CCCCCC" w:sz="1"/>
              <w:left w:val="single" w:color="CCCCCC" w:sz="1"/>
              <w:bottom w:val="single" w:color="CCCCCC" w:sz="1"/>
              <w:right w:val="single" w:color="CCCCCC" w:sz="1"/>
            </w:tcBorders>
            <w:shd w:fill="F4EFE6" w:val="clear"/>
            <w:tcMar>
              <w:top w:type="dxa" w:w="80"/>
              <w:left w:type="dxa" w:w="120"/>
              <w:bottom w:type="dxa" w:w="80"/>
              <w:right w:type="dxa" w:w="120"/>
            </w:tcMar>
          </w:tcPr>
          <w:p>
            <w:pPr>
              <w:spacing w:after="0" w:line="252"/>
            </w:pPr>
            <w:r>
              <w:rPr>
                <w:color w:val="1A1A1A"/>
                <w:sz w:val="19"/>
                <w:szCs w:val="19"/>
              </w:rPr>
              <w:t xml:space="preserve">Model tier by signal</w:t>
            </w:r>
          </w:p>
        </w:tc>
        <w:tc>
          <w:tcPr>
            <w:tcW w:type="dxa" w:w="1860"/>
            <w:tcBorders>
              <w:top w:val="single" w:color="CCCCCC" w:sz="1"/>
              <w:left w:val="single" w:color="CCCCCC" w:sz="1"/>
              <w:bottom w:val="single" w:color="CCCCCC" w:sz="1"/>
              <w:right w:val="single" w:color="CCCCCC" w:sz="1"/>
            </w:tcBorders>
            <w:shd w:fill="F4EFE6" w:val="clear"/>
            <w:tcMar>
              <w:top w:type="dxa" w:w="80"/>
              <w:left w:type="dxa" w:w="120"/>
              <w:bottom w:type="dxa" w:w="80"/>
              <w:right w:type="dxa" w:w="120"/>
            </w:tcMar>
          </w:tcPr>
          <w:p>
            <w:pPr>
              <w:spacing w:after="0" w:line="252"/>
            </w:pPr>
            <w:r>
              <w:rPr>
                <w:color w:val="1A1A1A"/>
                <w:sz w:val="19"/>
                <w:szCs w:val="19"/>
              </w:rPr>
              <w:t xml:space="preserve">Marginal cost ↓</w:t>
            </w:r>
          </w:p>
        </w:tc>
        <w:tc>
          <w:tcPr>
            <w:tcW w:type="dxa" w:w="1860"/>
            <w:tcBorders>
              <w:top w:val="single" w:color="CCCCCC" w:sz="1"/>
              <w:left w:val="single" w:color="CCCCCC" w:sz="1"/>
              <w:bottom w:val="single" w:color="CCCCCC" w:sz="1"/>
              <w:right w:val="single" w:color="CCCCCC" w:sz="1"/>
            </w:tcBorders>
            <w:shd w:fill="F4EFE6" w:val="clear"/>
            <w:tcMar>
              <w:top w:type="dxa" w:w="80"/>
              <w:left w:type="dxa" w:w="120"/>
              <w:bottom w:type="dxa" w:w="80"/>
              <w:right w:type="dxa" w:w="120"/>
            </w:tcMar>
          </w:tcPr>
          <w:p>
            <w:pPr>
              <w:spacing w:after="0" w:line="252"/>
            </w:pPr>
            <w:r>
              <w:rPr>
                <w:color w:val="1A1A1A"/>
                <w:sz w:val="19"/>
                <w:szCs w:val="19"/>
              </w:rPr>
              <w:t xml:space="preserve">Medium</w:t>
            </w:r>
          </w:p>
        </w:tc>
        <w:tc>
          <w:tcPr>
            <w:tcW w:type="dxa" w:w="1200"/>
            <w:tcBorders>
              <w:top w:val="single" w:color="CCCCCC" w:sz="1"/>
              <w:left w:val="single" w:color="CCCCCC" w:sz="1"/>
              <w:bottom w:val="single" w:color="CCCCCC" w:sz="1"/>
              <w:right w:val="single" w:color="CCCCCC" w:sz="1"/>
            </w:tcBorders>
            <w:shd w:fill="F4EFE6" w:val="clear"/>
            <w:tcMar>
              <w:top w:type="dxa" w:w="80"/>
              <w:left w:type="dxa" w:w="120"/>
              <w:bottom w:type="dxa" w:w="80"/>
              <w:right w:type="dxa" w:w="120"/>
            </w:tcMar>
          </w:tcPr>
          <w:p>
            <w:pPr>
              <w:spacing w:after="0" w:line="252"/>
            </w:pPr>
            <w:r>
              <w:rPr>
                <w:color w:val="1A1A1A"/>
                <w:sz w:val="19"/>
                <w:szCs w:val="19"/>
              </w:rPr>
              <w:t xml:space="preserve">Yes</w:t>
            </w:r>
          </w:p>
        </w:tc>
      </w:tr>
    </w:tbl>
    <w:p>
      <w:pPr>
        <w:spacing w:after="120"/>
      </w:pPr>
    </w:p>
    <w:p>
      <w:pPr>
        <w:spacing w:after="140" w:line="276"/>
      </w:pPr>
      <w:r>
        <w:rPr>
          <w:i/>
          <w:iCs/>
          <w:color w:val="5A5A5A"/>
        </w:rPr>
        <w:t xml:space="preserve">Read the table top to bottom as the build order. </w:t>
      </w:r>
      <w:r>
        <w:rPr>
          <w:i/>
          <w:iCs/>
          <w:color w:val="5A5A5A"/>
        </w:rPr>
        <w:t xml:space="preserve">Do not parallelize Phase 2 and Phase 3 — the guardian tiering assumes the retrieval layer is already deterministic and logged.</w:t>
      </w:r>
    </w:p>
    <w:p>
      <w:r>
        <w:br w:type="page"/>
      </w:r>
    </w:p>
    <w:p>
      <w:pPr>
        <w:pStyle w:val="Heading1"/>
      </w:pPr>
      <w:r>
        <w:t xml:space="preserve">Phase 0 — Baseline Hardening</w:t>
      </w:r>
    </w:p>
    <w:p>
      <w:pPr>
        <w:spacing w:after="140" w:line="276"/>
      </w:pPr>
      <w:r>
        <w:rPr>
          <w:b/>
          <w:bCs/>
        </w:rPr>
        <w:t xml:space="preserve">Goal. </w:t>
      </w:r>
      <w:r>
        <w:t xml:space="preserve">Ship the current architecture as-is, but fully instrumented, so every later phase has a measured floor to compare against. No scaling work happens here. This phase exists so the quantum leap is a staircase with a known first step rather than a jump from an unmeasured baseline.</w:t>
      </w:r>
    </w:p>
    <w:p>
      <w:pPr>
        <w:pStyle w:val="Heading3"/>
      </w:pPr>
      <w:r>
        <w:t xml:space="preserve">Subsystems</w:t>
      </w:r>
    </w:p>
    <w:p>
      <w:pPr>
        <w:spacing w:after="60" w:before="120"/>
      </w:pPr>
      <w:r>
        <w:rPr>
          <w:b/>
          <w:bCs/>
          <w:color w:val="B5471E"/>
          <w:sz w:val="22"/>
          <w:szCs w:val="22"/>
        </w:rPr>
        <w:t xml:space="preserve">Telemetry spine</w:t>
      </w:r>
    </w:p>
    <w:p>
      <w:pPr>
        <w:spacing w:after="50" w:line="264"/>
        <w:ind w:left="240"/>
      </w:pPr>
      <w:r>
        <w:rPr>
          <w:b/>
          <w:bCs/>
          <w:color w:val="5A5A5A"/>
        </w:rPr>
        <w:t xml:space="preserve">Function: </w:t>
      </w:r>
      <w:r>
        <w:t xml:space="preserve">Capture per-Reading latency, token count (in/out), model version, guardian verdict, and readiness signals into a structured event log</w:t>
      </w:r>
    </w:p>
    <w:p>
      <w:pPr>
        <w:spacing w:after="50" w:line="264"/>
        <w:ind w:left="240"/>
      </w:pPr>
      <w:r>
        <w:rPr>
          <w:b/>
          <w:bCs/>
          <w:color w:val="5A5A5A"/>
        </w:rPr>
        <w:t xml:space="preserve">Why first: </w:t>
      </w:r>
      <w:r>
        <w:t xml:space="preserve">You cannot prove a phase reduced cost or latency without the pre-change number</w:t>
      </w:r>
    </w:p>
    <w:p>
      <w:pPr>
        <w:spacing w:after="50" w:line="264"/>
        <w:ind w:left="240"/>
      </w:pPr>
      <w:r>
        <w:rPr>
          <w:b/>
          <w:bCs/>
          <w:color w:val="5A5A5A"/>
        </w:rPr>
        <w:t xml:space="preserve">Spec: </w:t>
      </w:r>
      <w:r>
        <w:t xml:space="preserve">Single append-only event per Reading: { readingId, voiceId, signals[], tokensIn, tokensOut, modelVersion, guardianVerdict, latencyMs, contractVersion }</w:t>
      </w:r>
    </w:p>
    <w:p>
      <w:pPr>
        <w:spacing w:after="50" w:line="264"/>
        <w:ind w:left="240"/>
      </w:pPr>
      <w:r>
        <w:rPr>
          <w:b/>
          <w:bCs/>
          <w:color w:val="5A5A5A"/>
        </w:rPr>
        <w:t xml:space="preserve">Owner gate: </w:t>
      </w:r>
      <w:r>
        <w:t xml:space="preserve">None — instrumentation only</w:t>
      </w:r>
    </w:p>
    <w:p>
      <w:pPr>
        <w:spacing w:after="60" w:before="120"/>
      </w:pPr>
      <w:r>
        <w:rPr>
          <w:b/>
          <w:bCs/>
          <w:color w:val="B5471E"/>
          <w:sz w:val="22"/>
          <w:szCs w:val="22"/>
        </w:rPr>
        <w:t xml:space="preserve">Provenance triple, enforced</w:t>
      </w:r>
    </w:p>
    <w:p>
      <w:pPr>
        <w:spacing w:after="50" w:line="264"/>
        <w:ind w:left="240"/>
      </w:pPr>
      <w:r>
        <w:rPr>
          <w:b/>
          <w:bCs/>
          <w:color w:val="5A5A5A"/>
        </w:rPr>
        <w:t xml:space="preserve">Function: </w:t>
      </w:r>
      <w:r>
        <w:t xml:space="preserve">Make corpusVersion / modelVersion / contractVersion a required, validated field on every Reading rather than best-effort</w:t>
      </w:r>
    </w:p>
    <w:p>
      <w:pPr>
        <w:spacing w:after="50" w:line="264"/>
        <w:ind w:left="240"/>
      </w:pPr>
      <w:r>
        <w:rPr>
          <w:b/>
          <w:bCs/>
          <w:color w:val="5A5A5A"/>
        </w:rPr>
        <w:t xml:space="preserve">Why first: </w:t>
      </w:r>
      <w:r>
        <w:t xml:space="preserve">Phases 2–4 will try to mutate these; the triple must be load-bearing before they do</w:t>
      </w:r>
    </w:p>
    <w:p>
      <w:pPr>
        <w:spacing w:after="50" w:line="264"/>
        <w:ind w:left="240"/>
      </w:pPr>
      <w:r>
        <w:rPr>
          <w:b/>
          <w:bCs/>
          <w:color w:val="5A5A5A"/>
        </w:rPr>
        <w:t xml:space="preserve">Spec: </w:t>
      </w:r>
      <w:r>
        <w:t xml:space="preserve">Reject any Reading write where any of the three is null or unrecognized; surface as a hard error, not a warning</w:t>
      </w:r>
    </w:p>
    <w:p>
      <w:pPr>
        <w:spacing w:after="50" w:line="264"/>
        <w:ind w:left="240"/>
      </w:pPr>
      <w:r>
        <w:rPr>
          <w:b/>
          <w:bCs/>
          <w:color w:val="5A5A5A"/>
        </w:rPr>
        <w:t xml:space="preserve">Owner gate: </w:t>
      </w:r>
      <w:r>
        <w:t xml:space="preserve">None</w:t>
      </w:r>
    </w:p>
    <w:p>
      <w:pPr>
        <w:pStyle w:val="Heading3"/>
      </w:pPr>
      <w:r>
        <w:t xml:space="preserve">Exit criteria</w:t>
      </w:r>
    </w:p>
    <w:p>
      <w:pPr>
        <w:pStyle w:val="ListParagraph"/>
        <w:numPr>
          <w:ilvl w:val="0"/>
          <w:numId w:val="2"/>
        </w:numPr>
        <w:spacing w:after="80" w:line="264"/>
      </w:pPr>
      <w:r>
        <w:t xml:space="preserve">Every Reading in production emits a complete telemetry event with a valid provenance triple.</w:t>
      </w:r>
    </w:p>
    <w:p>
      <w:pPr>
        <w:pStyle w:val="ListParagraph"/>
        <w:numPr>
          <w:ilvl w:val="0"/>
          <w:numId w:val="2"/>
        </w:numPr>
        <w:spacing w:after="80" w:line="264"/>
      </w:pPr>
      <w:r>
        <w:t xml:space="preserve">A dashboard shows p50/p95 latency, mean tokens per Reading, and guardian recall rate over a rolling window.</w:t>
      </w:r>
    </w:p>
    <w:p>
      <w:pPr>
        <w:pStyle w:val="ListParagraph"/>
        <w:numPr>
          <w:ilvl w:val="0"/>
          <w:numId w:val="2"/>
        </w:numPr>
        <w:spacing w:after="80" w:line="264"/>
      </w:pPr>
      <w:r>
        <w:t xml:space="preserve">Baseline numbers are recorded and frozen as the comparison reference for Phases 1–4.</w:t>
      </w:r>
    </w:p>
    <w:p>
      <w:r>
        <w:br w:type="page"/>
      </w:r>
    </w:p>
    <w:p>
      <w:pPr>
        <w:pStyle w:val="Heading1"/>
      </w:pPr>
      <w:r>
        <w:t xml:space="preserve">Phase 1 — Server-Side Ledger</w:t>
      </w:r>
    </w:p>
    <w:p>
      <w:pPr>
        <w:spacing w:after="140" w:line="276"/>
      </w:pPr>
      <w:r>
        <w:rPr>
          <w:b/>
          <w:bCs/>
        </w:rPr>
        <w:t xml:space="preserve">Goal. </w:t>
      </w:r>
      <w:r>
        <w:t xml:space="preserve">Move the AltarRecord from localStorage to a server-side append-only store. This is the lowest-integrity-risk phase and it unlocks distribution directly: a Reading becomes resumable across devices, shareable by reference, and embeddable by an institution. It also gives the canon-integrity discipline already built for the corpus a home for session records.</w:t>
      </w:r>
    </w:p>
    <w:p>
      <w:pPr>
        <w:pStyle w:val="Heading3"/>
      </w:pPr>
      <w:r>
        <w:t xml:space="preserve">Subsystems</w:t>
      </w:r>
    </w:p>
    <w:p>
      <w:pPr>
        <w:spacing w:after="60" w:before="120"/>
      </w:pPr>
      <w:r>
        <w:rPr>
          <w:b/>
          <w:bCs/>
          <w:color w:val="B5471E"/>
          <w:sz w:val="22"/>
          <w:szCs w:val="22"/>
        </w:rPr>
        <w:t xml:space="preserve">AltarLedger (server)</w:t>
      </w:r>
    </w:p>
    <w:p>
      <w:pPr>
        <w:spacing w:after="50" w:line="264"/>
        <w:ind w:left="240"/>
      </w:pPr>
      <w:r>
        <w:rPr>
          <w:b/>
          <w:bCs/>
          <w:color w:val="5A5A5A"/>
        </w:rPr>
        <w:t xml:space="preserve">Function: </w:t>
      </w:r>
      <w:r>
        <w:t xml:space="preserve">Append-only, per-seeker session store; replaces localStorage as source of truth, with localStorage demoted to an offline cache</w:t>
      </w:r>
    </w:p>
    <w:p>
      <w:pPr>
        <w:spacing w:after="50" w:line="264"/>
        <w:ind w:left="240"/>
      </w:pPr>
      <w:r>
        <w:rPr>
          <w:b/>
          <w:bCs/>
          <w:color w:val="5A5A5A"/>
        </w:rPr>
        <w:t xml:space="preserve">Spec: </w:t>
      </w:r>
      <w:r>
        <w:t xml:space="preserve">Append-only writes keyed by readingId; each entry carries the provenance triple and the retrieval/selection log placeholder (populated in Phase 2). No updates, no deletes — corrections are new appended entries referencing the prior.</w:t>
      </w:r>
    </w:p>
    <w:p>
      <w:pPr>
        <w:spacing w:after="50" w:line="264"/>
        <w:ind w:left="240"/>
      </w:pPr>
      <w:r>
        <w:rPr>
          <w:b/>
          <w:bCs/>
          <w:color w:val="5A5A5A"/>
        </w:rPr>
        <w:t xml:space="preserve">Data model: </w:t>
      </w:r>
      <w:r>
        <w:t xml:space="preserve">ledger:{seekerId}:{readingId} → { sections[], signals[], provenance, createdAt, sealState }</w:t>
      </w:r>
    </w:p>
    <w:p>
      <w:pPr>
        <w:spacing w:after="50" w:line="264"/>
        <w:ind w:left="240"/>
      </w:pPr>
      <w:r>
        <w:rPr>
          <w:b/>
          <w:bCs/>
          <w:color w:val="5A5A5A"/>
        </w:rPr>
        <w:t xml:space="preserve">Migration: </w:t>
      </w:r>
      <w:r>
        <w:t xml:space="preserve">Dual-write window: write to both localStorage and AltarLedger; read from server with localStorage fallback; cut over once parity is confirmed in telemetry</w:t>
      </w:r>
    </w:p>
    <w:p>
      <w:pPr>
        <w:spacing w:after="50" w:line="264"/>
        <w:ind w:left="240"/>
      </w:pPr>
      <w:r>
        <w:rPr>
          <w:b/>
          <w:bCs/>
          <w:color w:val="5A5A5A"/>
        </w:rPr>
        <w:t xml:space="preserve">Owner gate: </w:t>
      </w:r>
      <w:r>
        <w:t xml:space="preserve">None — no corpus or voice change</w:t>
      </w:r>
    </w:p>
    <w:p>
      <w:pPr>
        <w:spacing w:after="60" w:before="120"/>
      </w:pPr>
      <w:r>
        <w:rPr>
          <w:b/>
          <w:bCs/>
          <w:color w:val="B5471E"/>
          <w:sz w:val="22"/>
          <w:szCs w:val="22"/>
        </w:rPr>
        <w:t xml:space="preserve">Share / resume surface</w:t>
      </w:r>
    </w:p>
    <w:p>
      <w:pPr>
        <w:spacing w:after="50" w:line="264"/>
        <w:ind w:left="240"/>
      </w:pPr>
      <w:r>
        <w:rPr>
          <w:b/>
          <w:bCs/>
          <w:color w:val="5A5A5A"/>
        </w:rPr>
        <w:t xml:space="preserve">Function: </w:t>
      </w:r>
      <w:r>
        <w:t xml:space="preserve">A Reading can be reopened on another device or shared by an opaque reference token</w:t>
      </w:r>
    </w:p>
    <w:p>
      <w:pPr>
        <w:spacing w:after="50" w:line="264"/>
        <w:ind w:left="240"/>
      </w:pPr>
      <w:r>
        <w:rPr>
          <w:b/>
          <w:bCs/>
          <w:color w:val="5A5A5A"/>
        </w:rPr>
        <w:t xml:space="preserve">Spec: </w:t>
      </w:r>
      <w:r>
        <w:t xml:space="preserve">Signed, expiring reference token resolves to a read-only Reading view; the sealing ceremony export remains the canonical permanent artifact</w:t>
      </w:r>
    </w:p>
    <w:p>
      <w:pPr>
        <w:spacing w:after="50" w:line="264"/>
        <w:ind w:left="240"/>
      </w:pPr>
      <w:r>
        <w:rPr>
          <w:b/>
          <w:bCs/>
          <w:color w:val="5A5A5A"/>
        </w:rPr>
        <w:t xml:space="preserve">Ceremonial constraint: </w:t>
      </w:r>
      <w:r>
        <w:t xml:space="preserve">Sharing surfaces the Reading, never the seeker's raw inputs unless the seeker explicitly seals-and-shares</w:t>
      </w:r>
    </w:p>
    <w:p>
      <w:pPr>
        <w:spacing w:after="50" w:line="264"/>
        <w:ind w:left="240"/>
      </w:pPr>
      <w:r>
        <w:rPr>
          <w:b/>
          <w:bCs/>
          <w:color w:val="5A5A5A"/>
        </w:rPr>
        <w:t xml:space="preserve">Owner gate: </w:t>
      </w:r>
      <w:r>
        <w:t xml:space="preserve">None</w:t>
      </w:r>
    </w:p>
    <w:p>
      <w:pPr>
        <w:pStyle w:val="Heading3"/>
      </w:pPr>
      <w:r>
        <w:t xml:space="preserve">Exit criteria</w:t>
      </w:r>
    </w:p>
    <w:p>
      <w:pPr>
        <w:pStyle w:val="ListParagraph"/>
        <w:numPr>
          <w:ilvl w:val="0"/>
          <w:numId w:val="2"/>
        </w:numPr>
        <w:spacing w:after="80" w:line="264"/>
      </w:pPr>
      <w:r>
        <w:t xml:space="preserve">A Reading begun on one device resumes on another with full fidelity.</w:t>
      </w:r>
    </w:p>
    <w:p>
      <w:pPr>
        <w:pStyle w:val="ListParagraph"/>
        <w:numPr>
          <w:ilvl w:val="0"/>
          <w:numId w:val="2"/>
        </w:numPr>
        <w:spacing w:after="80" w:line="264"/>
      </w:pPr>
      <w:r>
        <w:t xml:space="preserve">Dual-write parity confirmed; localStorage demoted to cache.</w:t>
      </w:r>
    </w:p>
    <w:p>
      <w:pPr>
        <w:pStyle w:val="ListParagraph"/>
        <w:numPr>
          <w:ilvl w:val="0"/>
          <w:numId w:val="2"/>
        </w:numPr>
        <w:spacing w:after="80" w:line="264"/>
      </w:pPr>
      <w:r>
        <w:t xml:space="preserve">Share-by-reference works and never leaks raw seeker input.</w:t>
      </w:r>
    </w:p>
    <w:p>
      <w:pPr>
        <w:pBdr>
          <w:bottom w:val="single" w:color="C9B89A" w:sz="6" w:space="1"/>
        </w:pBdr>
        <w:spacing w:after="160" w:before="60"/>
      </w:pPr>
      <w:r>
        <w:t xml:space="preserve"/>
      </w:r>
    </w:p>
    <w:p>
      <w:pPr>
        <w:spacing w:after="140" w:line="276"/>
      </w:pPr>
      <w:r>
        <w:rPr>
          <w:b/>
          <w:bCs/>
          <w:color w:val="B5471E"/>
        </w:rPr>
        <w:t xml:space="preserve">Distribution note. </w:t>
      </w:r>
      <w:r>
        <w:t xml:space="preserve">This phase is the one that most directly serves the second-ranked constraint. An institution (the RWC fellowship, a classroom, a contemplative community) can now host an Elder threshold and point seekers at it without standing up any of the scaling infrastructure in later phases. Phase 1 is shippable as a product milestone on its own.</w:t>
      </w:r>
    </w:p>
    <w:p>
      <w:r>
        <w:br w:type="page"/>
      </w:r>
    </w:p>
    <w:p>
      <w:pPr>
        <w:pStyle w:val="Heading1"/>
      </w:pPr>
      <w:r>
        <w:t xml:space="preserve">Phase 2 — Signed-Retrieval RAG</w:t>
      </w:r>
    </w:p>
    <w:p>
      <w:pPr>
        <w:spacing w:after="140" w:line="276"/>
      </w:pPr>
      <w:r>
        <w:rPr>
          <w:b/>
          <w:bCs/>
        </w:rPr>
        <w:t xml:space="preserve">Goal. </w:t>
      </w:r>
      <w:r>
        <w:t xml:space="preserve">Move each voice's lineage corpus out of the system prompt and into a per-voice retrieval store, so a voice retrieves only the passages relevant to the seeker's signal before divining. This is the single largest cost lever and the single largest integrity hazard. It ships only behind a signed retrieval policy.</w:t>
      </w:r>
    </w:p>
    <w:p>
      <w:pPr>
        <w:spacing w:after="140" w:line="276"/>
      </w:pPr>
      <w:r>
        <w:rPr>
          <w:b/>
          <w:bCs/>
          <w:color w:val="B5471E"/>
        </w:rPr>
        <w:t xml:space="preserve">The hazard, stated plainly. </w:t>
      </w:r>
      <w:r>
        <w:t xml:space="preserve">Naive RAG lets a similarity function silently decide which Popol Wuj passages a seeker meets. Dr. Stanzione signed a corpus; he did not sign a cosine metric. The fix is to make retrieval deterministic, versioned, and itself a signed artifact — lineage integrity moves into the infrastructure rather than being sacrificed to it.</w:t>
      </w:r>
    </w:p>
    <w:p>
      <w:pPr>
        <w:pStyle w:val="Heading3"/>
      </w:pPr>
      <w:r>
        <w:t xml:space="preserve">Subsystems</w:t>
      </w:r>
    </w:p>
    <w:p>
      <w:pPr>
        <w:spacing w:after="60" w:before="120"/>
      </w:pPr>
      <w:r>
        <w:rPr>
          <w:b/>
          <w:bCs/>
          <w:color w:val="B5471E"/>
          <w:sz w:val="22"/>
          <w:szCs w:val="22"/>
        </w:rPr>
        <w:t xml:space="preserve">Per-voice corpus store</w:t>
      </w:r>
    </w:p>
    <w:p>
      <w:pPr>
        <w:spacing w:after="50" w:line="264"/>
        <w:ind w:left="240"/>
      </w:pPr>
      <w:r>
        <w:rPr>
          <w:b/>
          <w:bCs/>
          <w:color w:val="5A5A5A"/>
        </w:rPr>
        <w:t xml:space="preserve">Function: </w:t>
      </w:r>
      <w:r>
        <w:t xml:space="preserve">One isolated retrieval index per voice; a voice can physically only retrieve from its own tradition's field</w:t>
      </w:r>
    </w:p>
    <w:p>
      <w:pPr>
        <w:spacing w:after="50" w:line="264"/>
        <w:ind w:left="240"/>
      </w:pPr>
      <w:r>
        <w:rPr>
          <w:b/>
          <w:bCs/>
          <w:color w:val="5A5A5A"/>
        </w:rPr>
        <w:t xml:space="preserve">Lineage Integrity of Voice: </w:t>
      </w:r>
      <w:r>
        <w:t xml:space="preserve">Enforced at the storage boundary, not the prompt: no shared index, no cross-voice retrieval path exists to be misused</w:t>
      </w:r>
    </w:p>
    <w:p>
      <w:pPr>
        <w:spacing w:after="50" w:line="264"/>
        <w:ind w:left="240"/>
      </w:pPr>
      <w:r>
        <w:rPr>
          <w:b/>
          <w:bCs/>
          <w:color w:val="5A5A5A"/>
        </w:rPr>
        <w:t xml:space="preserve">Spec: </w:t>
      </w:r>
      <w:r>
        <w:t xml:space="preserve">Namespace per voiceId; chunks carry { voiceId, sourceText, locator, corpusVersion }; query is hard-scoped to the calling voice's namespace</w:t>
      </w:r>
    </w:p>
    <w:p>
      <w:pPr>
        <w:spacing w:after="50" w:line="264"/>
        <w:ind w:left="240"/>
      </w:pPr>
      <w:r>
        <w:rPr>
          <w:b/>
          <w:bCs/>
          <w:color w:val="5A5A5A"/>
        </w:rPr>
        <w:t xml:space="preserve">Owner gate: </w:t>
      </w:r>
      <w:r>
        <w:t xml:space="preserve">Stanzione signs the corpus chunking + locators per K'iche' voice</w:t>
      </w:r>
    </w:p>
    <w:p>
      <w:pPr>
        <w:spacing w:after="60" w:before="120"/>
      </w:pPr>
      <w:r>
        <w:rPr>
          <w:b/>
          <w:bCs/>
          <w:color w:val="B5471E"/>
          <w:sz w:val="22"/>
          <w:szCs w:val="22"/>
        </w:rPr>
        <w:t xml:space="preserve">Signed retrieval policy</w:t>
      </w:r>
    </w:p>
    <w:p>
      <w:pPr>
        <w:spacing w:after="50" w:line="264"/>
        <w:ind w:left="240"/>
      </w:pPr>
      <w:r>
        <w:rPr>
          <w:b/>
          <w:bCs/>
          <w:color w:val="5A5A5A"/>
        </w:rPr>
        <w:t xml:space="preserve">Function: </w:t>
      </w:r>
      <w:r>
        <w:t xml:space="preserve">Deterministic, auditable rules mapping seeker signals → retrieved passages; replaces free similarity selection</w:t>
      </w:r>
    </w:p>
    <w:p>
      <w:pPr>
        <w:spacing w:after="50" w:line="264"/>
        <w:ind w:left="240"/>
      </w:pPr>
      <w:r>
        <w:rPr>
          <w:b/>
          <w:bCs/>
          <w:color w:val="5A5A5A"/>
        </w:rPr>
        <w:t xml:space="preserve">Spec: </w:t>
      </w:r>
      <w:r>
        <w:t xml:space="preserve">Versioned policy file per voice: signal pattern → eligible passage set → deterministic ranking. Same signals yield same retrieval. Policy is hashed and signed exactly like the corpus.</w:t>
      </w:r>
    </w:p>
    <w:p>
      <w:pPr>
        <w:spacing w:after="50" w:line="264"/>
        <w:ind w:left="240"/>
      </w:pPr>
      <w:r>
        <w:rPr>
          <w:b/>
          <w:bCs/>
          <w:color w:val="5A5A5A"/>
        </w:rPr>
        <w:t xml:space="preserve">Audit: </w:t>
      </w:r>
      <w:r>
        <w:t xml:space="preserve">Every retrieval logged into the AltarLedger selection log: which policy version, which passages, why eligible</w:t>
      </w:r>
    </w:p>
    <w:p>
      <w:pPr>
        <w:spacing w:after="50" w:line="264"/>
        <w:ind w:left="240"/>
      </w:pPr>
      <w:r>
        <w:rPr>
          <w:b/>
          <w:bCs/>
          <w:color w:val="5A5A5A"/>
        </w:rPr>
        <w:t xml:space="preserve">Owner gate: </w:t>
      </w:r>
      <w:r>
        <w:t xml:space="preserve">Stanzione signs the retrieval policy, not just the corpus — this is the load-bearing requirement of the entire phase</w:t>
      </w:r>
    </w:p>
    <w:p>
      <w:pPr>
        <w:spacing w:after="60" w:before="120"/>
      </w:pPr>
      <w:r>
        <w:rPr>
          <w:b/>
          <w:bCs/>
          <w:color w:val="B5471E"/>
          <w:sz w:val="22"/>
          <w:szCs w:val="22"/>
        </w:rPr>
        <w:t xml:space="preserve">Retrieval-only semantic cache</w:t>
      </w:r>
    </w:p>
    <w:p>
      <w:pPr>
        <w:spacing w:after="50" w:line="264"/>
        <w:ind w:left="240"/>
      </w:pPr>
      <w:r>
        <w:rPr>
          <w:b/>
          <w:bCs/>
          <w:color w:val="5A5A5A"/>
        </w:rPr>
        <w:t xml:space="preserve">Function: </w:t>
      </w:r>
      <w:r>
        <w:t xml:space="preserve">Cache the retrieved corpus chunks (passages exist independently of any seeker); never cache the Reading</w:t>
      </w:r>
    </w:p>
    <w:p>
      <w:pPr>
        <w:spacing w:after="50" w:line="264"/>
        <w:ind w:left="240"/>
      </w:pPr>
      <w:r>
        <w:rPr>
          <w:b/>
          <w:bCs/>
          <w:color w:val="5A5A5A"/>
        </w:rPr>
        <w:t xml:space="preserve">Spec: </w:t>
      </w:r>
      <w:r>
        <w:t xml:space="preserve">Cache key = { voiceId, policyVersion, signalPattern } → passage set. The divination inference is NEVER cached or reused.</w:t>
      </w:r>
    </w:p>
    <w:p>
      <w:pPr>
        <w:spacing w:after="50" w:line="264"/>
        <w:ind w:left="240"/>
      </w:pPr>
      <w:r>
        <w:rPr>
          <w:b/>
          <w:bCs/>
          <w:color w:val="5A5A5A"/>
        </w:rPr>
        <w:t xml:space="preserve">Why this line matters: </w:t>
      </w:r>
      <w:r>
        <w:t xml:space="preserve">Two seekers may draw from the same Persephone passage and still receive wholly distinct divinations. This preserves 'personal mythology, never pattern-matched' while keeping most of the cost saving.</w:t>
      </w:r>
    </w:p>
    <w:p>
      <w:pPr>
        <w:spacing w:after="50" w:line="264"/>
        <w:ind w:left="240"/>
      </w:pPr>
      <w:r>
        <w:rPr>
          <w:b/>
          <w:bCs/>
          <w:color w:val="5A5A5A"/>
        </w:rPr>
        <w:t xml:space="preserve">Owner gate: </w:t>
      </w:r>
      <w:r>
        <w:t xml:space="preserve">None beyond the policy sign-off above</w:t>
      </w:r>
    </w:p>
    <w:p>
      <w:pPr>
        <w:pStyle w:val="Heading3"/>
      </w:pPr>
      <w:r>
        <w:t xml:space="preserve">Exit criteria</w:t>
      </w:r>
    </w:p>
    <w:p>
      <w:pPr>
        <w:pStyle w:val="ListParagraph"/>
        <w:numPr>
          <w:ilvl w:val="0"/>
          <w:numId w:val="2"/>
        </w:numPr>
        <w:spacing w:after="80" w:line="264"/>
      </w:pPr>
      <w:r>
        <w:t xml:space="preserve">Lineage corpus removed from system prompts; per-Reading input tokens drop measurably against the Phase 0 baseline.</w:t>
      </w:r>
    </w:p>
    <w:p>
      <w:pPr>
        <w:pStyle w:val="ListParagraph"/>
        <w:numPr>
          <w:ilvl w:val="0"/>
          <w:numId w:val="2"/>
        </w:numPr>
        <w:spacing w:after="80" w:line="264"/>
      </w:pPr>
      <w:r>
        <w:t xml:space="preserve">Retrieval is deterministic: identical signals produce identical passage sets, verified by test.</w:t>
      </w:r>
    </w:p>
    <w:p>
      <w:pPr>
        <w:pStyle w:val="ListParagraph"/>
        <w:numPr>
          <w:ilvl w:val="0"/>
          <w:numId w:val="2"/>
        </w:numPr>
        <w:spacing w:after="80" w:line="264"/>
      </w:pPr>
      <w:r>
        <w:t xml:space="preserve">A signed retrieval policy exists per voice and is enforced by CODEOWNERS; no merge without Stanzione's signature on K'iche' voices.</w:t>
      </w:r>
    </w:p>
    <w:p>
      <w:pPr>
        <w:pStyle w:val="ListParagraph"/>
        <w:numPr>
          <w:ilvl w:val="0"/>
          <w:numId w:val="2"/>
        </w:numPr>
        <w:spacing w:after="80" w:line="264"/>
      </w:pPr>
      <w:r>
        <w:t xml:space="preserve">Selection log populated in AltarLedger for every Reading.</w:t>
      </w:r>
    </w:p>
    <w:p>
      <w:pPr>
        <w:pStyle w:val="ListParagraph"/>
        <w:numPr>
          <w:ilvl w:val="0"/>
          <w:numId w:val="2"/>
        </w:numPr>
        <w:spacing w:after="80" w:line="264"/>
      </w:pPr>
      <w:r>
        <w:t xml:space="preserve">Divination outputs are never cached; verified by the semantic-cache test refusing to store Reading-level content.</w:t>
      </w:r>
    </w:p>
    <w:p>
      <w:r>
        <w:br w:type="page"/>
      </w:r>
    </w:p>
    <w:p>
      <w:pPr>
        <w:pStyle w:val="Heading1"/>
      </w:pPr>
      <w:r>
        <w:t xml:space="preserve">Phase 3 — Tiered Guardian</w:t>
      </w:r>
    </w:p>
    <w:p>
      <w:pPr>
        <w:spacing w:after="140" w:line="276"/>
      </w:pPr>
      <w:r>
        <w:rPr>
          <w:b/>
          <w:bCs/>
        </w:rPr>
        <w:t xml:space="preserve">Goal. </w:t>
      </w:r>
      <w:r>
        <w:t xml:space="preserve">Stop paying full dual-judge cost on the critical path of every Reading, without ever publishing harm to the seekers most exposed to it. The readiness signal system already built becomes the router.</w:t>
      </w:r>
    </w:p>
    <w:p>
      <w:pPr>
        <w:spacing w:after="140" w:line="276"/>
      </w:pPr>
      <w:r>
        <w:rPr>
          <w:b/>
          <w:bCs/>
          <w:color w:val="B5471E"/>
        </w:rPr>
        <w:t xml:space="preserve">The non-negotiable. </w:t>
      </w:r>
      <w:r>
        <w:t xml:space="preserve">A fully async guardian can let a harmful Reading be seen before recall. For high-signal Readings — mortality, crisis, acute vulnerability — that window is unacceptable. Those Readings keep the full dual-judge ON the critical path. The seeker waits the extra beat, and that beat is ceremonially appropriate: the ThresholdPause already establishes that waiting is part of the rite.</w:t>
      </w:r>
    </w:p>
    <w:p>
      <w:pPr>
        <w:pStyle w:val="Heading3"/>
      </w:pPr>
      <w:r>
        <w:t xml:space="preserve">Subsystems</w:t>
      </w:r>
    </w:p>
    <w:p>
      <w:pPr>
        <w:spacing w:after="60" w:before="120"/>
      </w:pPr>
      <w:r>
        <w:rPr>
          <w:b/>
          <w:bCs/>
          <w:color w:val="B5471E"/>
          <w:sz w:val="22"/>
          <w:szCs w:val="22"/>
        </w:rPr>
        <w:t xml:space="preserve">Signal-based guardian router</w:t>
      </w:r>
    </w:p>
    <w:p>
      <w:pPr>
        <w:spacing w:after="50" w:line="264"/>
        <w:ind w:left="240"/>
      </w:pPr>
      <w:r>
        <w:rPr>
          <w:b/>
          <w:bCs/>
          <w:color w:val="5A5A5A"/>
        </w:rPr>
        <w:t xml:space="preserve">Function: </w:t>
      </w:r>
      <w:r>
        <w:t xml:space="preserve">Route each Reading to synchronous or async judging based on readiness signals already diagnosed</w:t>
      </w:r>
    </w:p>
    <w:p>
      <w:pPr>
        <w:spacing w:after="50" w:line="264"/>
        <w:ind w:left="240"/>
      </w:pPr>
      <w:r>
        <w:rPr>
          <w:b/>
          <w:bCs/>
          <w:color w:val="5A5A5A"/>
        </w:rPr>
        <w:t xml:space="preserve">Spec: </w:t>
      </w:r>
      <w:r>
        <w:t xml:space="preserve">If signals intersect the high-risk set (mortality, crisis, self-harm proximity, acute grief) → full dual-judge synchronous, blocking. Else → fast synchronous classifier + async full dual-judge.</w:t>
      </w:r>
    </w:p>
    <w:p>
      <w:pPr>
        <w:spacing w:after="50" w:line="264"/>
        <w:ind w:left="240"/>
      </w:pPr>
      <w:r>
        <w:rPr>
          <w:b/>
          <w:bCs/>
          <w:color w:val="5A5A5A"/>
        </w:rPr>
        <w:t xml:space="preserve">Owner gate: </w:t>
      </w:r>
      <w:r>
        <w:t xml:space="preserve">The high-risk signal set is reviewed with Stanzione and any clinical/ethical advisor; it is a safety artifact, versioned</w:t>
      </w:r>
    </w:p>
    <w:p>
      <w:pPr>
        <w:spacing w:after="60" w:before="120"/>
      </w:pPr>
      <w:r>
        <w:rPr>
          <w:b/>
          <w:bCs/>
          <w:color w:val="B5471E"/>
          <w:sz w:val="22"/>
          <w:szCs w:val="22"/>
        </w:rPr>
        <w:t xml:space="preserve">Fast gate classifier</w:t>
      </w:r>
    </w:p>
    <w:p>
      <w:pPr>
        <w:spacing w:after="50" w:line="264"/>
        <w:ind w:left="240"/>
      </w:pPr>
      <w:r>
        <w:rPr>
          <w:b/>
          <w:bCs/>
          <w:color w:val="5A5A5A"/>
        </w:rPr>
        <w:t xml:space="preserve">Function: </w:t>
      </w:r>
      <w:r>
        <w:t xml:space="preserve">Cheap synchronous pass that catches obvious failures before any Reading is shown</w:t>
      </w:r>
    </w:p>
    <w:p>
      <w:pPr>
        <w:spacing w:after="50" w:line="264"/>
        <w:ind w:left="240"/>
      </w:pPr>
      <w:r>
        <w:rPr>
          <w:b/>
          <w:bCs/>
          <w:color w:val="5A5A5A"/>
        </w:rPr>
        <w:t xml:space="preserve">Spec: </w:t>
      </w:r>
      <w:r>
        <w:t xml:space="preserve">Low-latency model or rule pass; binary allow/hold; on hold, escalate to full judge synchronously</w:t>
      </w:r>
    </w:p>
    <w:p>
      <w:pPr>
        <w:spacing w:after="50" w:line="264"/>
        <w:ind w:left="240"/>
      </w:pPr>
      <w:r>
        <w:rPr>
          <w:b/>
          <w:bCs/>
          <w:color w:val="5A5A5A"/>
        </w:rPr>
        <w:t xml:space="preserve">Owner gate: </w:t>
      </w:r>
      <w:r>
        <w:t xml:space="preserve">None</w:t>
      </w:r>
    </w:p>
    <w:p>
      <w:pPr>
        <w:spacing w:after="60" w:before="120"/>
      </w:pPr>
      <w:r>
        <w:rPr>
          <w:b/>
          <w:bCs/>
          <w:color w:val="B5471E"/>
          <w:sz w:val="22"/>
          <w:szCs w:val="22"/>
        </w:rPr>
        <w:t xml:space="preserve">Async recall path (low-risk only)</w:t>
      </w:r>
    </w:p>
    <w:p>
      <w:pPr>
        <w:spacing w:after="50" w:line="264"/>
        <w:ind w:left="240"/>
      </w:pPr>
      <w:r>
        <w:rPr>
          <w:b/>
          <w:bCs/>
          <w:color w:val="5A5A5A"/>
        </w:rPr>
        <w:t xml:space="preserve">Function: </w:t>
      </w:r>
      <w:r>
        <w:t xml:space="preserve">Full dual-judge runs after delivery for low-signal Readings; can recall into BankedFire fallback</w:t>
      </w:r>
    </w:p>
    <w:p>
      <w:pPr>
        <w:spacing w:after="50" w:line="264"/>
        <w:ind w:left="240"/>
      </w:pPr>
      <w:r>
        <w:rPr>
          <w:b/>
          <w:bCs/>
          <w:color w:val="5A5A5A"/>
        </w:rPr>
        <w:t xml:space="preserve">Spec: </w:t>
      </w:r>
      <w:r>
        <w:t xml:space="preserve">Recall transitions the Reading to the ceremonial banked-fire state with an honest message; recall events logged and alarmed if rate exceeds threshold</w:t>
      </w:r>
    </w:p>
    <w:p>
      <w:pPr>
        <w:spacing w:after="50" w:line="264"/>
        <w:ind w:left="240"/>
      </w:pPr>
      <w:r>
        <w:rPr>
          <w:b/>
          <w:bCs/>
          <w:color w:val="5A5A5A"/>
        </w:rPr>
        <w:t xml:space="preserve">Constraint: </w:t>
      </w:r>
      <w:r>
        <w:t xml:space="preserve">This path is reachable ONLY for Readings the router classified low-risk; high-signal Readings can never enter it</w:t>
      </w:r>
    </w:p>
    <w:p>
      <w:pPr>
        <w:spacing w:after="50" w:line="264"/>
        <w:ind w:left="240"/>
      </w:pPr>
      <w:r>
        <w:rPr>
          <w:b/>
          <w:bCs/>
          <w:color w:val="5A5A5A"/>
        </w:rPr>
        <w:t xml:space="preserve">Owner gate: </w:t>
      </w:r>
      <w:r>
        <w:t xml:space="preserve">None beyond the signal-set review above</w:t>
      </w:r>
    </w:p>
    <w:p>
      <w:pPr>
        <w:pStyle w:val="Heading3"/>
      </w:pPr>
      <w:r>
        <w:t xml:space="preserve">Exit criteria</w:t>
      </w:r>
    </w:p>
    <w:p>
      <w:pPr>
        <w:pStyle w:val="ListParagraph"/>
        <w:numPr>
          <w:ilvl w:val="0"/>
          <w:numId w:val="2"/>
        </w:numPr>
        <w:spacing w:after="80" w:line="264"/>
      </w:pPr>
      <w:r>
        <w:t xml:space="preserve">High-risk-signal Readings always complete full dual-judge before display; verified by adversarial probe.</w:t>
      </w:r>
    </w:p>
    <w:p>
      <w:pPr>
        <w:pStyle w:val="ListParagraph"/>
        <w:numPr>
          <w:ilvl w:val="0"/>
          <w:numId w:val="2"/>
        </w:numPr>
        <w:spacing w:after="80" w:line="264"/>
      </w:pPr>
      <w:r>
        <w:t xml:space="preserve">Median guardian latency on low-signal Readings drops against baseline; throughput ceiling rises.</w:t>
      </w:r>
    </w:p>
    <w:p>
      <w:pPr>
        <w:pStyle w:val="ListParagraph"/>
        <w:numPr>
          <w:ilvl w:val="0"/>
          <w:numId w:val="2"/>
        </w:numPr>
        <w:spacing w:after="80" w:line="264"/>
      </w:pPr>
      <w:r>
        <w:t xml:space="preserve">Recall rate is measured, alarmed, and below an agreed threshold.</w:t>
      </w:r>
    </w:p>
    <w:p>
      <w:pPr>
        <w:pStyle w:val="ListParagraph"/>
        <w:numPr>
          <w:ilvl w:val="0"/>
          <w:numId w:val="2"/>
        </w:numPr>
        <w:spacing w:after="80" w:line="264"/>
      </w:pPr>
      <w:r>
        <w:t xml:space="preserve">No path exists by which a high-signal Reading reaches the async recall route.</w:t>
      </w:r>
    </w:p>
    <w:p>
      <w:r>
        <w:br w:type="page"/>
      </w:r>
    </w:p>
    <w:p>
      <w:pPr>
        <w:pStyle w:val="Heading1"/>
      </w:pPr>
      <w:r>
        <w:t xml:space="preserve">Phase 4 — Per-Reading Model Routing</w:t>
      </w:r>
    </w:p>
    <w:p>
      <w:pPr>
        <w:spacing w:after="140" w:line="276"/>
      </w:pPr>
      <w:r>
        <w:rPr>
          <w:b/>
          <w:bCs/>
        </w:rPr>
        <w:t xml:space="preserve">Goal. </w:t>
      </w:r>
      <w:r>
        <w:t xml:space="preserve">Capture marginal-cost savings on high-volume, low-intensity Readings by routing the whole Reading to a model tier chosen up front from the signal — without ever splitting a single Reading across model versions.</w:t>
      </w:r>
    </w:p>
    <w:p>
      <w:pPr>
        <w:spacing w:after="140" w:line="276"/>
      </w:pPr>
      <w:r>
        <w:rPr>
          <w:b/>
          <w:bCs/>
          <w:color w:val="B5471E"/>
        </w:rPr>
        <w:t xml:space="preserve">The correction to the original idea. </w:t>
      </w:r>
      <w:r>
        <w:t xml:space="preserve">Routing by section (Haiku scaffolds, Opus voices) breaks the provenance triple — there is no single modelVersion — and blinds the drift-detection CI, which was built against one model contract. The fix: route by seeker, one model per Reading, chosen before the first inference. Provenance stays honest, drift CI stays valid, savings still land on the high-volume tier.</w:t>
      </w:r>
    </w:p>
    <w:p>
      <w:pPr>
        <w:pStyle w:val="Heading3"/>
      </w:pPr>
      <w:r>
        <w:t xml:space="preserve">Subsystems</w:t>
      </w:r>
    </w:p>
    <w:p>
      <w:pPr>
        <w:spacing w:after="60" w:before="120"/>
      </w:pPr>
      <w:r>
        <w:rPr>
          <w:b/>
          <w:bCs/>
          <w:color w:val="B5471E"/>
          <w:sz w:val="22"/>
          <w:szCs w:val="22"/>
        </w:rPr>
        <w:t xml:space="preserve">Reading-level model router</w:t>
      </w:r>
    </w:p>
    <w:p>
      <w:pPr>
        <w:spacing w:after="50" w:line="264"/>
        <w:ind w:left="240"/>
      </w:pPr>
      <w:r>
        <w:rPr>
          <w:b/>
          <w:bCs/>
          <w:color w:val="5A5A5A"/>
        </w:rPr>
        <w:t xml:space="preserve">Function: </w:t>
      </w:r>
      <w:r>
        <w:t xml:space="preserve">Select one model tier for an entire Reading from the up-front signal diagnosis</w:t>
      </w:r>
    </w:p>
    <w:p>
      <w:pPr>
        <w:spacing w:after="50" w:line="264"/>
        <w:ind w:left="240"/>
      </w:pPr>
      <w:r>
        <w:rPr>
          <w:b/>
          <w:bCs/>
          <w:color w:val="5A5A5A"/>
        </w:rPr>
        <w:t xml:space="preserve">Spec: </w:t>
      </w:r>
      <w:r>
        <w:t xml:space="preserve">Tier chosen before section 1; written once into the provenance triple as the single modelVersion; never changed mid-Reading</w:t>
      </w:r>
    </w:p>
    <w:p>
      <w:pPr>
        <w:spacing w:after="50" w:line="264"/>
        <w:ind w:left="240"/>
      </w:pPr>
      <w:r>
        <w:rPr>
          <w:b/>
          <w:bCs/>
          <w:color w:val="5A5A5A"/>
        </w:rPr>
        <w:t xml:space="preserve">Routing rule: </w:t>
      </w:r>
      <w:r>
        <w:t xml:space="preserve">High-signal / high-intensity → primary tier; routine thresholds → mid tier; tier map is versioned</w:t>
      </w:r>
    </w:p>
    <w:p>
      <w:pPr>
        <w:spacing w:after="50" w:line="264"/>
        <w:ind w:left="240"/>
      </w:pPr>
      <w:r>
        <w:rPr>
          <w:b/>
          <w:bCs/>
          <w:color w:val="5A5A5A"/>
        </w:rPr>
        <w:t xml:space="preserve">Owner gate: </w:t>
      </w:r>
      <w:r>
        <w:t xml:space="preserve">Voice-fidelity review: confirm each voice's character survives on the mid tier before that tier is allowed for it</w:t>
      </w:r>
    </w:p>
    <w:p>
      <w:pPr>
        <w:spacing w:after="60" w:before="120"/>
      </w:pPr>
      <w:r>
        <w:rPr>
          <w:b/>
          <w:bCs/>
          <w:color w:val="B5471E"/>
          <w:sz w:val="22"/>
          <w:szCs w:val="22"/>
        </w:rPr>
        <w:t xml:space="preserve">Per-model drift contract</w:t>
      </w:r>
    </w:p>
    <w:p>
      <w:pPr>
        <w:spacing w:after="50" w:line="264"/>
        <w:ind w:left="240"/>
      </w:pPr>
      <w:r>
        <w:rPr>
          <w:b/>
          <w:bCs/>
          <w:color w:val="5A5A5A"/>
        </w:rPr>
        <w:t xml:space="preserve">Function: </w:t>
      </w:r>
      <w:r>
        <w:t xml:space="preserve">Extend drift-detection CI so each allowed model tier has its own locked prompt-hash + probe baseline</w:t>
      </w:r>
    </w:p>
    <w:p>
      <w:pPr>
        <w:spacing w:after="50" w:line="264"/>
        <w:ind w:left="240"/>
      </w:pPr>
      <w:r>
        <w:rPr>
          <w:b/>
          <w:bCs/>
          <w:color w:val="5A5A5A"/>
        </w:rPr>
        <w:t xml:space="preserve">Spec: </w:t>
      </w:r>
      <w:r>
        <w:t xml:space="preserve">One drift contract per (voiceId, modelTier) pair; a Reading's modelVersion must match an existing signed contract or it cannot run</w:t>
      </w:r>
    </w:p>
    <w:p>
      <w:pPr>
        <w:spacing w:after="50" w:line="264"/>
        <w:ind w:left="240"/>
      </w:pPr>
      <w:r>
        <w:rPr>
          <w:b/>
          <w:bCs/>
          <w:color w:val="5A5A5A"/>
        </w:rPr>
        <w:t xml:space="preserve">Owner gate: </w:t>
      </w:r>
      <w:r>
        <w:t xml:space="preserve">Stanzione signs the fidelity acceptance for K'iche' voices on any newly allowed tier</w:t>
      </w:r>
    </w:p>
    <w:p>
      <w:pPr>
        <w:pStyle w:val="Heading3"/>
      </w:pPr>
      <w:r>
        <w:t xml:space="preserve">Exit criteria</w:t>
      </w:r>
    </w:p>
    <w:p>
      <w:pPr>
        <w:pStyle w:val="ListParagraph"/>
        <w:numPr>
          <w:ilvl w:val="0"/>
          <w:numId w:val="2"/>
        </w:numPr>
        <w:spacing w:after="80" w:line="264"/>
      </w:pPr>
      <w:r>
        <w:t xml:space="preserve">Every Reading runs on exactly one model tier; provenance triple carries a single, true modelVersion.</w:t>
      </w:r>
    </w:p>
    <w:p>
      <w:pPr>
        <w:pStyle w:val="ListParagraph"/>
        <w:numPr>
          <w:ilvl w:val="0"/>
          <w:numId w:val="2"/>
        </w:numPr>
        <w:spacing w:after="80" w:line="264"/>
      </w:pPr>
      <w:r>
        <w:t xml:space="preserve">Drift CI passes per (voice, tier) pair; no Reading runs on an unsigned contract.</w:t>
      </w:r>
    </w:p>
    <w:p>
      <w:pPr>
        <w:pStyle w:val="ListParagraph"/>
        <w:numPr>
          <w:ilvl w:val="0"/>
          <w:numId w:val="2"/>
        </w:numPr>
        <w:spacing w:after="80" w:line="264"/>
      </w:pPr>
      <w:r>
        <w:t xml:space="preserve">Marginal cost per routine Reading drops against baseline while voice fidelity holds in probe results.</w:t>
      </w:r>
    </w:p>
    <w:p>
      <w:r>
        <w:br w:type="page"/>
      </w:r>
    </w:p>
    <w:p>
      <w:pPr>
        <w:pStyle w:val="Heading1"/>
      </w:pPr>
      <w:r>
        <w:t xml:space="preserve">Cross-Cutting Concerns</w:t>
      </w:r>
    </w:p>
    <w:p>
      <w:pPr>
        <w:pStyle w:val="Heading2"/>
      </w:pPr>
      <w:r>
        <w:t xml:space="preserve">Infrastructure shape</w:t>
      </w:r>
    </w:p>
    <w:p>
      <w:pPr>
        <w:spacing w:after="140" w:line="276"/>
      </w:pPr>
      <w:r>
        <w:rPr>
          <w:b/>
          <w:bCs/>
        </w:rPr>
        <w:t xml:space="preserve">Static ceremonial shell stays on the edge. </w:t>
      </w:r>
      <w:r>
        <w:t xml:space="preserve">The LintelGate, ThresholdPause, BankedFire, and the threshold UI are edge-cached and untouched by the scaling work beneath them. The rite does not change as the engine scales.</w:t>
      </w:r>
    </w:p>
    <w:p>
      <w:pPr>
        <w:spacing w:after="140" w:line="276"/>
      </w:pPr>
      <w:r>
        <w:rPr>
          <w:b/>
          <w:bCs/>
        </w:rPr>
        <w:t xml:space="preserve">The divination pipeline becomes queue-backed. </w:t>
      </w:r>
      <w:r>
        <w:t xml:space="preserve">Retrieve → compose → divine → guard → persist runs through a worker set so a traffic spike queues rather than melts. The seeker experiences a ceremonial wait, not an error.</w:t>
      </w:r>
    </w:p>
    <w:p>
      <w:pPr>
        <w:pStyle w:val="Heading2"/>
      </w:pPr>
      <w:r>
        <w:t xml:space="preserve">The signing discipline (unifying thread)</w:t>
      </w:r>
    </w:p>
    <w:p>
      <w:pPr>
        <w:spacing w:after="140" w:line="276"/>
      </w:pPr>
      <w:r>
        <w:t xml:space="preserve">Three artifacts now carry signatures, not one. The plan succeeds only if all three are treated with the discipline the corpus already receives:</w:t>
      </w:r>
    </w:p>
    <w:p>
      <w:pPr>
        <w:pStyle w:val="ListParagraph"/>
        <w:numPr>
          <w:ilvl w:val="0"/>
          <w:numId w:val="3"/>
        </w:numPr>
        <w:spacing w:after="80" w:line="264"/>
      </w:pPr>
      <w:r>
        <w:t xml:space="preserve">The corpus — sealed arc files, dual-layer hash, Ed25519 signing, append-only ledger (already built).</w:t>
      </w:r>
    </w:p>
    <w:p>
      <w:pPr>
        <w:pStyle w:val="ListParagraph"/>
        <w:numPr>
          <w:ilvl w:val="0"/>
          <w:numId w:val="3"/>
        </w:numPr>
        <w:spacing w:after="80" w:line="264"/>
      </w:pPr>
      <w:r>
        <w:t xml:space="preserve">The retrieval policy — versioned, hashed, signed; the Phase 2 load-bearing requirement.</w:t>
      </w:r>
    </w:p>
    <w:p>
      <w:pPr>
        <w:pStyle w:val="ListParagraph"/>
        <w:numPr>
          <w:ilvl w:val="0"/>
          <w:numId w:val="3"/>
        </w:numPr>
        <w:spacing w:after="80" w:line="264"/>
      </w:pPr>
      <w:r>
        <w:t xml:space="preserve">The model contract — per (voice, tier) drift baseline, signed for K'iche' voices; the Phase 4 requirement.</w:t>
      </w:r>
    </w:p>
    <w:p>
      <w:pPr>
        <w:spacing w:after="140" w:line="276"/>
      </w:pPr>
      <w:r>
        <w:t xml:space="preserve">CODEOWNERS, branch protection, and the Stanzione signing key — the three human steps the preflight gate already holds for — are the same three steps that secure this entire plan. The infrastructure to enforce it exists; the plan extends its scope from the corpus to the retrieval policy and the model contract.</w:t>
      </w:r>
    </w:p>
    <w:p>
      <w:pPr>
        <w:pBdr>
          <w:bottom w:val="single" w:color="C9B89A" w:sz="6" w:space="1"/>
        </w:pBdr>
        <w:spacing w:after="160" w:before="60"/>
      </w:pPr>
      <w:r>
        <w:t xml:space="preserve"/>
      </w:r>
    </w:p>
    <w:p>
      <w:pPr>
        <w:pStyle w:val="Heading2"/>
      </w:pPr>
      <w:r>
        <w:t xml:space="preserve">What this plan refuses to do</w:t>
      </w:r>
    </w:p>
    <w:p>
      <w:pPr>
        <w:pStyle w:val="ListParagraph"/>
        <w:numPr>
          <w:ilvl w:val="0"/>
          <w:numId w:val="2"/>
        </w:numPr>
        <w:spacing w:after="80" w:line="264"/>
      </w:pPr>
      <w:r>
        <w:t xml:space="preserve">It will not cache a divination. Passages are cached; Readings never are.</w:t>
      </w:r>
    </w:p>
    <w:p>
      <w:pPr>
        <w:pStyle w:val="ListParagraph"/>
        <w:numPr>
          <w:ilvl w:val="0"/>
          <w:numId w:val="2"/>
        </w:numPr>
        <w:spacing w:after="80" w:line="264"/>
      </w:pPr>
      <w:r>
        <w:t xml:space="preserve">It will not split a Reading across model versions.</w:t>
      </w:r>
    </w:p>
    <w:p>
      <w:pPr>
        <w:pStyle w:val="ListParagraph"/>
        <w:numPr>
          <w:ilvl w:val="0"/>
          <w:numId w:val="2"/>
        </w:numPr>
        <w:spacing w:after="80" w:line="264"/>
      </w:pPr>
      <w:r>
        <w:t xml:space="preserve">It will not let a similarity score select sacred passages — retrieval is deterministic and signed.</w:t>
      </w:r>
    </w:p>
    <w:p>
      <w:pPr>
        <w:pStyle w:val="ListParagraph"/>
        <w:numPr>
          <w:ilvl w:val="0"/>
          <w:numId w:val="2"/>
        </w:numPr>
        <w:spacing w:after="80" w:line="264"/>
      </w:pPr>
      <w:r>
        <w:t xml:space="preserve">It will not route a high-signal Reading to async judging.</w:t>
      </w:r>
    </w:p>
    <w:p>
      <w:pPr>
        <w:pStyle w:val="ListParagraph"/>
        <w:numPr>
          <w:ilvl w:val="0"/>
          <w:numId w:val="2"/>
        </w:numPr>
        <w:spacing w:after="80" w:line="264"/>
      </w:pPr>
      <w:r>
        <w:t xml:space="preserve">It will not rebuild before it ships — Phase 0 launches the current Elder first.</w:t>
      </w:r>
    </w:p>
    <w:p>
      <w:pPr>
        <w:spacing w:before="200"/>
      </w:pPr>
      <w:r>
        <w:rPr>
          <w:b/>
          <w:bCs/>
          <w:color w:val="B5471E"/>
        </w:rPr>
        <w:t xml:space="preserve">The through-line. </w:t>
      </w:r>
      <w:r>
        <w:rPr>
          <w:i/>
          <w:iCs/>
        </w:rPr>
        <w:t xml:space="preserve">The architecture that scales The Elder and the architecture that keeps it true are the same architecture — provided lineage integrity lives in the infrastructure as a signed, versioned, auditable layer rather than in the prompt. Rank integrity last for the strategy. Build it in first.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B89A" w:sz="4" w:space="4"/>
      </w:pBdr>
      <w:jc w:val="center"/>
    </w:pPr>
    <w:r>
      <w:rPr>
        <w:color w:val="5A5A5A"/>
        <w:sz w:val="16"/>
        <w:szCs w:val="16"/>
      </w:rPr>
      <w:t xml:space="preserve">Temporal Bridges Institute · AHAU AI    —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89A" w:sz="4" w:space="4"/>
      </w:pBdr>
      <w:jc w:val="right"/>
    </w:pPr>
    <w:r>
      <w:rPr>
        <w:color w:val="5A5A5A"/>
        <w:sz w:val="16"/>
        <w:szCs w:val="16"/>
      </w:rPr>
      <w:t xml:space="preserve">THE ELDER · Phased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89A" w:sz="6" w:space="4"/>
      </w:pBdr>
      <w:spacing w:after="160" w:before="240"/>
      <w:outlineLvl w:val="0"/>
    </w:pPr>
    <w:rPr>
      <w:rFonts w:ascii="Georgia" w:cs="Georgia" w:eastAsia="Georgia" w:hAnsi="Georgia"/>
      <w:b/>
      <w:bCs/>
      <w:color w:val="B5471E"/>
      <w:sz w:val="34"/>
      <w:szCs w:val="34"/>
    </w:rPr>
  </w:style>
  <w:style w:type="paragraph" w:styleId="Heading2">
    <w:name w:val="Heading 2"/>
    <w:basedOn w:val="Normal"/>
    <w:next w:val="Normal"/>
    <w:qFormat/>
    <w:pPr>
      <w:spacing w:after="120" w:before="200"/>
      <w:outlineLvl w:val="1"/>
    </w:pPr>
    <w:rPr>
      <w:rFonts w:ascii="Georgia" w:cs="Georgia" w:eastAsia="Georgia" w:hAnsi="Georgia"/>
      <w:b/>
      <w:bCs/>
      <w:color w:val="2E5A4A"/>
      <w:sz w:val="26"/>
      <w:szCs w:val="26"/>
    </w:rPr>
  </w:style>
  <w:style w:type="paragraph" w:styleId="Heading3">
    <w:name w:val="Heading 3"/>
    <w:basedOn w:val="Normal"/>
    <w:next w:val="Normal"/>
    <w:qFormat/>
    <w:pPr>
      <w:spacing w:after="80" w:before="140"/>
      <w:outlineLvl w:val="2"/>
    </w:pPr>
    <w:rPr>
      <w:rFonts w:ascii="Georgia" w:cs="Georgia" w:eastAsia="Georgia" w:hAnsi="Georgia"/>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Elder — Phased Build Plan</dc:title>
  <dc:creator>AHAU AI — Temporal Bridges Institute</dc:creator>
  <cp:lastModifiedBy>Un-named</cp:lastModifiedBy>
  <cp:revision>1</cp:revision>
  <dcterms:created xsi:type="dcterms:W3CDTF">2026-06-18T02:54:32.763Z</dcterms:created>
  <dcterms:modified xsi:type="dcterms:W3CDTF">2026-06-18T02:54:32.763Z</dcterms:modified>
</cp:coreProperties>
</file>

<file path=docProps/custom.xml><?xml version="1.0" encoding="utf-8"?>
<Properties xmlns="http://schemas.openxmlformats.org/officeDocument/2006/custom-properties" xmlns:vt="http://schemas.openxmlformats.org/officeDocument/2006/docPropsVTypes"/>
</file>