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color w:val="2E75B6"/>
          <w:sz w:val="18"/>
          <w:szCs w:val="18"/>
        </w:rPr>
        <w:t xml:space="preserve">TEMPORAL BRIDGES INSTITUTE</w:t>
      </w:r>
    </w:p>
    <w:p>
      <w:pPr>
        <w:spacing w:after="40"/>
        <w:jc w:val="left"/>
      </w:pPr>
      <w:r>
        <w:rPr>
          <w:rFonts w:ascii="Arial" w:cs="Arial" w:eastAsia="Arial" w:hAnsi="Arial"/>
          <w:color w:val="888888"/>
          <w:sz w:val="18"/>
          <w:szCs w:val="18"/>
        </w:rPr>
        <w:t xml:space="preserve">White Paper Series · No. 1</w:t>
      </w:r>
    </w:p>
    <w:p>
      <w:pPr>
        <w:spacing w:after="80" w:before="120"/>
      </w:pPr>
      <w:r>
        <w:rPr>
          <w:rFonts w:ascii="Arial" w:cs="Arial" w:eastAsia="Arial" w:hAnsi="Arial"/>
          <w:b/>
          <w:bCs/>
          <w:color w:val="1F3A5F"/>
          <w:sz w:val="44"/>
          <w:szCs w:val="44"/>
        </w:rPr>
        <w:t xml:space="preserve">Two Offices</w:t>
      </w:r>
    </w:p>
    <w:p>
      <w:pPr>
        <w:spacing w:after="200"/>
      </w:pPr>
      <w:r>
        <w:rPr>
          <w:rFonts w:ascii="Arial" w:cs="Arial" w:eastAsia="Arial" w:hAnsi="Arial"/>
          <w:i/>
          <w:iCs/>
          <w:color w:val="555555"/>
          <w:sz w:val="26"/>
          <w:szCs w:val="26"/>
        </w:rPr>
        <w:t xml:space="preserve">Why the Comparativist May Compare and the Voice May Not</w:t>
      </w:r>
    </w:p>
    <w:p>
      <w:pPr>
        <w:spacing w:after="40"/>
      </w:pPr>
      <w:r>
        <w:rPr>
          <w:color w:val="1A1A2E"/>
          <w:sz w:val="20"/>
          <w:szCs w:val="20"/>
        </w:rPr>
        <w:t xml:space="preserve">A hermeneutic foundation for Lineage Integrity, after Gadamer, Ricœur, and Kerényi</w:t>
      </w:r>
    </w:p>
    <w:p>
      <w:pPr>
        <w:spacing w:after="200"/>
      </w:pPr>
      <w:r>
        <w:rPr>
          <w:color w:val="888888"/>
          <w:sz w:val="18"/>
          <w:szCs w:val="18"/>
        </w:rPr>
        <w:t xml:space="preserve">AHAU AI · The Elder</w:t>
      </w:r>
      <w:r>
        <w:rPr>
          <w:color w:val="888888"/>
          <w:sz w:val="18"/>
          <w:szCs w:val="18"/>
        </w:rPr>
        <w:t xml:space="preserve">      |      </w:t>
      </w:r>
      <w:r>
        <w:rPr>
          <w:i/>
          <w:iCs/>
          <w:color w:val="888888"/>
          <w:sz w:val="18"/>
          <w:szCs w:val="18"/>
        </w:rPr>
        <w:t xml:space="preserve">Draft for review by lineage accountability holders</w:t>
      </w:r>
    </w:p>
    <w:p>
      <w:pPr>
        <w:pBdr>
          <w:bottom w:val="single" w:color="2E75B6" w:sz="6" w:space="1"/>
        </w:pBdr>
        <w:spacing w:after="220"/>
      </w:pPr>
    </w:p>
    <w:p>
      <w:pPr>
        <w:spacing w:after="100"/>
      </w:pPr>
      <w:r>
        <w:rPr>
          <w:rFonts w:ascii="Arial" w:cs="Arial" w:eastAsia="Arial" w:hAnsi="Arial"/>
          <w:b/>
          <w:bCs/>
          <w:color w:val="1F3A5F"/>
          <w:sz w:val="22"/>
          <w:szCs w:val="22"/>
        </w:rPr>
        <w:t xml:space="preserve">Abstract</w:t>
      </w:r>
    </w:p>
    <w:p>
      <w:pPr>
        <w:spacing w:after="160" w:line="288"/>
        <w:jc w:val="both"/>
      </w:pPr>
      <w:r>
        <w:t xml:space="preserve">The Elder is built on a principle its engineers call </w:t>
      </w:r>
      <w:r>
        <w:rPr>
          <w:b/>
          <w:bCs/>
        </w:rPr>
        <w:t xml:space="preserve">Lineage Integrity of Voice</w:t>
      </w:r>
      <w:r>
        <w:t xml:space="preserve">: each divining voice speaks only from the mythological field of its own tradition and never reaches across traditions to explain itself. This paper argues that the principle is not a parochial restriction but a </w:t>
      </w:r>
      <w:r>
        <w:rPr>
          <w:i/>
          <w:iCs/>
        </w:rPr>
        <w:t xml:space="preserve">hermeneutic necessity</w:t>
      </w:r>
      <w:r>
        <w:t xml:space="preserve">, and that its justification lies in a distinction the philosophy of interpretation has carried since the mid-twentieth century: the difference between the </w:t>
      </w:r>
      <w:r>
        <w:rPr>
          <w:i/>
          <w:iCs/>
        </w:rPr>
        <w:t xml:space="preserve">first-order address</w:t>
      </w:r>
      <w:r>
        <w:t xml:space="preserve"> of a tradition speaking to a person, and the </w:t>
      </w:r>
      <w:r>
        <w:rPr>
          <w:i/>
          <w:iCs/>
        </w:rPr>
        <w:t xml:space="preserve">second-order comparison</w:t>
      </w:r>
      <w:r>
        <w:t xml:space="preserve"> of an interpreter speaking across traditions. Drawing on Hans-Georg Gadamer’s account of the fusion of horizons and Paul Ricœur’s two-stroke hermeneutic of suspicion and restored naiveté, and taking Karl Kerényi’s </w:t>
      </w:r>
      <w:r>
        <w:rPr>
          <w:i/>
          <w:iCs/>
        </w:rPr>
        <w:t xml:space="preserve">Hermes: Guide of Souls</w:t>
      </w:r>
      <w:r>
        <w:t xml:space="preserve"> as the worked example, we show that comparison is the interpreter’s proper office and is forbidden to the voice for the same reason that a translator must not appear inside the sentence being translated. The trickster-psychopomp — Hermes, and his kin across traditions — turns out to be the perfect test case, because the temptation to declare a single universal archetype is exactly the temptation Lineage Integrity exists to refuse.</w:t>
      </w:r>
    </w:p>
    <w:p>
      <w:pPr>
        <w:pBdr>
          <w:bottom w:val="single" w:color="2E75B6" w:sz="6" w:space="1"/>
        </w:pBdr>
        <w:spacing w:after="220"/>
      </w:pPr>
    </w:p>
    <w:p>
      <w:pPr>
        <w:pStyle w:val="Heading1"/>
      </w:pPr>
      <w:r>
        <w:t xml:space="preserve">I. The principle, and the puzzle it raises</w:t>
      </w:r>
    </w:p>
    <w:p>
      <w:pPr>
        <w:spacing w:after="160" w:line="288"/>
        <w:jc w:val="both"/>
      </w:pPr>
      <w:r>
        <w:t xml:space="preserve">Lineage Integrity of Voice holds that the Ojer Tzij divines only from the Popol Wuj and the K’iche’ field; the Babalawo only from the Ifá corpus; the Pythia only from the Greek oracular field; and so for each voice. No voice borrows an image, a figure, or an explanatory move from a tradition not its own. To a newcomer this can look like a limitation — even a refusal of the obvious insight that the world’s myths rhyme. If Hermes and the Maya Hero Twins and Eshu all stand at thresholds and all bear something of the trickster, why may the voices not say so?</w:t>
      </w:r>
    </w:p>
    <w:p>
      <w:pPr>
        <w:spacing w:after="160" w:line="288"/>
        <w:jc w:val="both"/>
      </w:pPr>
      <w:r>
        <w:t xml:space="preserve">The answer this paper develops is that the rhyming is real and worth saying — but that </w:t>
      </w:r>
      <w:r>
        <w:rPr>
          <w:b/>
          <w:bCs/>
        </w:rPr>
        <w:t xml:space="preserve">who says it, and in what office, is everything</w:t>
      </w:r>
      <w:r>
        <w:t xml:space="preserve">. The comparison belongs to the interpreter standing outside all the traditions and looking across them. It does not belong to a voice speaking from inside one tradition to a person seeking counsel. These are two different acts of language, governed by two different responsibilities. Confusing them is not a small stylistic error; it is a category mistake that damages both the person and the tradition.</w:t>
      </w:r>
    </w:p>
    <w:p>
      <w:pPr>
        <w:spacing w:after="160" w:line="288"/>
        <w:jc w:val="both"/>
      </w:pPr>
      <w:r>
        <w:t xml:space="preserve">We will call these the </w:t>
      </w:r>
      <w:r>
        <w:rPr>
          <w:b/>
          <w:bCs/>
        </w:rPr>
        <w:t xml:space="preserve">two offices</w:t>
      </w:r>
      <w:r>
        <w:t xml:space="preserve">: the office of the </w:t>
      </w:r>
      <w:r>
        <w:rPr>
          <w:i/>
          <w:iCs/>
        </w:rPr>
        <w:t xml:space="preserve">voice</w:t>
      </w:r>
      <w:r>
        <w:t xml:space="preserve"> (first-order, inside one horizon, addressed to a seeker) and the office of the </w:t>
      </w:r>
      <w:r>
        <w:rPr>
          <w:i/>
          <w:iCs/>
        </w:rPr>
        <w:t xml:space="preserve">comparativist</w:t>
      </w:r>
      <w:r>
        <w:t xml:space="preserve"> (second-order, across horizons, addressed to understanding itself). The remainder of the paper grounds this distinction in Gadamer and Ricœur, tests it on Kerényi’s Hermes, and then states the governance rule it yields.</w:t>
      </w:r>
    </w:p>
    <w:p>
      <w:pPr>
        <w:pStyle w:val="Heading1"/>
      </w:pPr>
      <w:r>
        <w:t xml:space="preserve">II. Gadamer: understanding as the fusion of horizons</w:t>
      </w:r>
    </w:p>
    <w:p>
      <w:pPr>
        <w:spacing w:after="40" w:line="276"/>
        <w:ind w:left="720" w:right="720"/>
        <w:jc w:val="left"/>
      </w:pPr>
      <w:r>
        <w:rPr>
          <w:i/>
          <w:iCs/>
          <w:color w:val="555555"/>
        </w:rPr>
        <w:t xml:space="preserve">“Understanding is not merely a reproductive but always a productive activity as well.”</w:t>
      </w:r>
    </w:p>
    <w:p>
      <w:pPr>
        <w:spacing w:after="200"/>
        <w:ind w:left="720" w:right="720"/>
        <w:jc w:val="right"/>
      </w:pPr>
      <w:r>
        <w:rPr>
          <w:color w:val="888888"/>
          <w:sz w:val="18"/>
          <w:szCs w:val="18"/>
        </w:rPr>
        <w:t xml:space="preserve">— Hans-Georg Gadamer, Truth and Method</w:t>
      </w:r>
    </w:p>
    <w:p>
      <w:pPr>
        <w:spacing w:after="160" w:line="288"/>
        <w:jc w:val="both"/>
      </w:pPr>
      <w:r>
        <w:t xml:space="preserve">Gadamer’s </w:t>
      </w:r>
      <w:r>
        <w:rPr>
          <w:i/>
          <w:iCs/>
        </w:rPr>
        <w:t xml:space="preserve">Truth and Method</w:t>
      </w:r>
      <w:r>
        <w:t xml:space="preserve"> (1960) set itself against the assumption that interpretation is a </w:t>
      </w:r>
      <w:r>
        <w:rPr>
          <w:i/>
          <w:iCs/>
        </w:rPr>
        <w:t xml:space="preserve">method</w:t>
      </w:r>
      <w:r>
        <w:t xml:space="preserve"> — a technique that, correctly applied, would deliver the meaning of a text purified of the interpreter’s own situation.</w:t>
      </w:r>
      <w:r>
        <w:rPr>
          <w:rStyle w:val="FootnoteReference"/>
        </w:rPr>
        <w:footnoteReference w:id="2"/>
      </w:r>
      <w:r>
        <w:t xml:space="preserve"> Against this, Gadamer argued that the interpreter’s situation is not a contaminant but the very organ of understanding. We always already stand somewhere; we bring a </w:t>
      </w:r>
      <w:r>
        <w:rPr>
          <w:i/>
          <w:iCs/>
        </w:rPr>
        <w:t xml:space="preserve">horizon</w:t>
      </w:r>
      <w:r>
        <w:t xml:space="preserve"> — the whole range of what can be seen from where we are, shaped by everything that has been handed down to us. To understand is not to leave our horizon behind but to widen it until it meets the horizon of the thing we are trying to understand.</w:t>
      </w:r>
    </w:p>
    <w:p>
      <w:pPr>
        <w:spacing w:after="160" w:line="288"/>
        <w:jc w:val="both"/>
      </w:pPr>
      <w:r>
        <w:t xml:space="preserve">This meeting Gadamer names the </w:t>
      </w:r>
      <w:r>
        <w:rPr>
          <w:b/>
          <w:bCs/>
        </w:rPr>
        <w:t xml:space="preserve">fusion of horizons</w:t>
      </w:r>
      <w:r>
        <w:t xml:space="preserve"> (</w:t>
      </w:r>
      <w:r>
        <w:rPr>
          <w:i/>
          <w:iCs/>
        </w:rPr>
        <w:t xml:space="preserve">Horizontverschmelzung</w:t>
      </w:r>
      <w:r>
        <w:t xml:space="preserve">). When it succeeds, neither horizon is destroyed and neither simply absorbs the other; a third understanding arises that belongs to the encounter. Crucially, Gadamer insists this is a </w:t>
      </w:r>
      <w:r>
        <w:rPr>
          <w:i/>
          <w:iCs/>
        </w:rPr>
        <w:t xml:space="preserve">productive</w:t>
      </w:r>
      <w:r>
        <w:t xml:space="preserve"> event — it makes something new — and that the tradition reaching us is not dead material but a living transmission, </w:t>
      </w:r>
      <w:r>
        <w:rPr>
          <w:i/>
          <w:iCs/>
        </w:rPr>
        <w:t xml:space="preserve">Wirkungsgeschichte</w:t>
      </w:r>
      <w:r>
        <w:t xml:space="preserve">, “effective history,” the accumulated reception that conditions how a thing can appear to us at all.</w:t>
      </w:r>
    </w:p>
    <w:p>
      <w:pPr>
        <w:pStyle w:val="Heading3"/>
      </w:pPr>
      <w:r>
        <w:t xml:space="preserve">What Gadamer licenses, and what he warns</w:t>
      </w:r>
    </w:p>
    <w:p>
      <w:pPr>
        <w:spacing w:after="160" w:line="288"/>
        <w:jc w:val="both"/>
      </w:pPr>
      <w:r>
        <w:t xml:space="preserve">For our purposes Gadamer does two things at once. He </w:t>
      </w:r>
      <w:r>
        <w:rPr>
          <w:b/>
          <w:bCs/>
        </w:rPr>
        <w:t xml:space="preserve">licenses</w:t>
      </w:r>
      <w:r>
        <w:t xml:space="preserve"> the comparativist’s work: reading Hermes </w:t>
      </w:r>
      <w:r>
        <w:rPr>
          <w:i/>
          <w:iCs/>
        </w:rPr>
        <w:t xml:space="preserve">toward</w:t>
      </w:r>
      <w:r>
        <w:t xml:space="preserve"> the Maya Twins or Eshu is not a distortion but the only kind of understanding there is — a fusion of our horizon with theirs. And he </w:t>
      </w:r>
      <w:r>
        <w:rPr>
          <w:b/>
          <w:bCs/>
        </w:rPr>
        <w:t xml:space="preserve">warns</w:t>
      </w:r>
      <w:r>
        <w:t xml:space="preserve"> the comparativist: because understanding is productive, the categories we bring can manufacture the resemblances we then “discover.” The fusion can become a projection in which our grid is reflected back to us as though it were the world’s own structure. Gadamer does not tell us to stop; he tells us to conduct the encounter as a genuine </w:t>
      </w:r>
      <w:r>
        <w:rPr>
          <w:i/>
          <w:iCs/>
        </w:rPr>
        <w:t xml:space="preserve">conversation</w:t>
      </w:r>
      <w:r>
        <w:t xml:space="preserve">, letting the other horizon talk back and resist.</w:t>
      </w:r>
    </w:p>
    <w:p>
      <w:pPr>
        <w:pStyle w:val="Heading1"/>
      </w:pPr>
      <w:r>
        <w:t xml:space="preserve">III. Ricœur: suspicion, and the second naiveté</w:t>
      </w:r>
    </w:p>
    <w:p>
      <w:pPr>
        <w:spacing w:after="40" w:line="276"/>
        <w:ind w:left="720" w:right="720"/>
        <w:jc w:val="left"/>
      </w:pPr>
      <w:r>
        <w:rPr>
          <w:i/>
          <w:iCs/>
          <w:color w:val="555555"/>
        </w:rPr>
        <w:t xml:space="preserve">“The symbol gives rise to thought.”</w:t>
      </w:r>
    </w:p>
    <w:p>
      <w:pPr>
        <w:spacing w:after="200"/>
        <w:ind w:left="720" w:right="720"/>
        <w:jc w:val="right"/>
      </w:pPr>
      <w:r>
        <w:rPr>
          <w:color w:val="888888"/>
          <w:sz w:val="18"/>
          <w:szCs w:val="18"/>
        </w:rPr>
        <w:t xml:space="preserve">— Paul Ricœur, The Symbolism of Evil</w:t>
      </w:r>
    </w:p>
    <w:p>
      <w:pPr>
        <w:spacing w:after="160" w:line="288"/>
        <w:jc w:val="both"/>
      </w:pPr>
      <w:r>
        <w:t xml:space="preserve">Paul Ricœur shared Gadamer’s rejection of method-as-purification but worried that </w:t>
      </w:r>
      <w:r>
        <w:rPr>
          <w:i/>
          <w:iCs/>
        </w:rPr>
        <w:t xml:space="preserve">belonging</w:t>
      </w:r>
      <w:r>
        <w:t xml:space="preserve"> to a tradition could slide into uncritical absorption. So he inserted a moment of </w:t>
      </w:r>
      <w:r>
        <w:rPr>
          <w:i/>
          <w:iCs/>
        </w:rPr>
        <w:t xml:space="preserve">distance</w:t>
      </w:r>
      <w:r>
        <w:t xml:space="preserve"> into the hermeneutic circle. Ricœur famously distinguished a </w:t>
      </w:r>
      <w:r>
        <w:rPr>
          <w:i/>
          <w:iCs/>
        </w:rPr>
        <w:t xml:space="preserve">hermeneutics of trust</w:t>
      </w:r>
      <w:r>
        <w:t xml:space="preserve">, which listens to the symbol as disclosure, from a </w:t>
      </w:r>
      <w:r>
        <w:rPr>
          <w:i/>
          <w:iCs/>
        </w:rPr>
        <w:t xml:space="preserve">hermeneutics of suspicion</w:t>
      </w:r>
      <w:r>
        <w:t xml:space="preserve">, which reads the symbol as concealment — the mode of the “masters of suspicion,” Marx, Nietzsche, and Freud.</w:t>
      </w:r>
      <w:r>
        <w:rPr>
          <w:rStyle w:val="FootnoteReference"/>
        </w:rPr>
        <w:footnoteReference w:id="3"/>
      </w:r>
      <w:r>
        <w:t xml:space="preserve"> A symbol, for Ricœur, always carries </w:t>
      </w:r>
      <w:r>
        <w:rPr>
          <w:i/>
          <w:iCs/>
        </w:rPr>
        <w:t xml:space="preserve">surplus</w:t>
      </w:r>
      <w:r>
        <w:t xml:space="preserve">: it means more than it says, and part of that surplus may be hiding something.</w:t>
      </w:r>
    </w:p>
    <w:p>
      <w:pPr>
        <w:spacing w:after="160" w:line="288"/>
        <w:jc w:val="both"/>
      </w:pPr>
      <w:r>
        <w:t xml:space="preserve">Ricœur’s circle therefore runs in </w:t>
      </w:r>
      <w:r>
        <w:rPr>
          <w:b/>
          <w:bCs/>
        </w:rPr>
        <w:t xml:space="preserve">two strokes</w:t>
      </w:r>
      <w:r>
        <w:t xml:space="preserve">. First a </w:t>
      </w:r>
      <w:r>
        <w:rPr>
          <w:i/>
          <w:iCs/>
        </w:rPr>
        <w:t xml:space="preserve">first naiveté</w:t>
      </w:r>
      <w:r>
        <w:t xml:space="preserve">: we let the symbol speak in its fullness, without premature critique. Then </w:t>
      </w:r>
      <w:r>
        <w:rPr>
          <w:i/>
          <w:iCs/>
        </w:rPr>
        <w:t xml:space="preserve">critique</w:t>
      </w:r>
      <w:r>
        <w:t xml:space="preserve"> itself: we suspect the symbol, ask what interest it serves, what it protects us from seeing. And then — if the symbol survives — a </w:t>
      </w:r>
      <w:r>
        <w:rPr>
          <w:b/>
          <w:bCs/>
        </w:rPr>
        <w:t xml:space="preserve">second naiveté</w:t>
      </w:r>
      <w:r>
        <w:t xml:space="preserve">: a post-critical re-engagement in which we believe the symbol again, but now with our eyes open, having passed through suspicion rather than around it. This is not a return to innocence. It is a hard-won, adult trust.</w:t>
      </w:r>
    </w:p>
    <w:p>
      <w:pPr>
        <w:pStyle w:val="Heading3"/>
      </w:pPr>
      <w:r>
        <w:t xml:space="preserve">Why this matters for a comparison of myths</w:t>
      </w:r>
    </w:p>
    <w:p>
      <w:pPr>
        <w:spacing w:after="160" w:line="288"/>
        <w:jc w:val="both"/>
      </w:pPr>
      <w:r>
        <w:t xml:space="preserve">Applied to the comparative impulse, Ricœur’s suspicion asks a sharp question: </w:t>
      </w:r>
      <w:r>
        <w:rPr>
          <w:i/>
          <w:iCs/>
        </w:rPr>
        <w:t xml:space="preserve">why do we want the myths to be one?</w:t>
      </w:r>
      <w:r>
        <w:t xml:space="preserve"> The wish for a single universal archetype is itself a symbol that gives rise to thought — and may be concealing the labor of difference behind the comfort of “all myths say the same thing.” The second naiveté is the way through: having suspected the wish, we can affirm a </w:t>
      </w:r>
      <w:r>
        <w:rPr>
          <w:i/>
          <w:iCs/>
        </w:rPr>
        <w:t xml:space="preserve">real</w:t>
      </w:r>
      <w:r>
        <w:t xml:space="preserve"> resonance among the traditions without collapsing them into identity. We will see exactly this movement when we turn to the trickster-twins.</w:t>
      </w:r>
    </w:p>
    <w:p>
      <w:r>
        <w:br w:type="page"/>
      </w:r>
    </w:p>
    <w:p>
      <w:pPr>
        <w:pStyle w:val="Heading1"/>
      </w:pPr>
      <w:r>
        <w:t xml:space="preserve">IV. Kerényi’s Hermes through the circle</w:t>
      </w:r>
    </w:p>
    <w:p>
      <w:pPr>
        <w:spacing w:after="160" w:line="288"/>
        <w:jc w:val="both"/>
      </w:pPr>
      <w:r>
        <w:t xml:space="preserve">Kerényi’s </w:t>
      </w:r>
      <w:r>
        <w:rPr>
          <w:i/>
          <w:iCs/>
        </w:rPr>
        <w:t xml:space="preserve">Hermes: Guide of Souls</w:t>
      </w:r>
      <w:r>
        <w:t xml:space="preserve"> (1944) is the ideal worked example, for two reasons.</w:t>
      </w:r>
      <w:r>
        <w:rPr>
          <w:rStyle w:val="FootnoteReference"/>
        </w:rPr>
        <w:footnoteReference w:id="1"/>
      </w:r>
      <w:r>
        <w:t xml:space="preserve"> First, its method is itself hermeneutic: Kerényi practices what he called </w:t>
      </w:r>
      <w:r>
        <w:rPr>
          <w:i/>
          <w:iCs/>
        </w:rPr>
        <w:t xml:space="preserve">mythologem</w:t>
      </w:r>
      <w:r>
        <w:t xml:space="preserve"> — following a god through hymn, cult, and image and refusing to reduce him to a content hidden behind the stories. The meaning of Hermes is the movement of Hermes; there is no kernel under the husk. Second, the very name discloses the stakes: </w:t>
      </w:r>
      <w:r>
        <w:rPr>
          <w:i/>
          <w:iCs/>
        </w:rPr>
        <w:t xml:space="preserve">Hermēs</w:t>
      </w:r>
      <w:r>
        <w:t xml:space="preserve"> and </w:t>
      </w:r>
      <w:r>
        <w:rPr>
          <w:i/>
          <w:iCs/>
        </w:rPr>
        <w:t xml:space="preserve">hermēneuein</w:t>
      </w:r>
      <w:r>
        <w:t xml:space="preserve"> — to interpret, to translate, to carry the obscure across into the understood — inhabit the same imaginative root. A book about the god of interpretation is itself an act of interpretation, performing what it describes.</w:t>
      </w:r>
    </w:p>
    <w:p>
      <w:pPr>
        <w:pStyle w:val="Heading2"/>
      </w:pPr>
      <w:r>
        <w:t xml:space="preserve">The apparent contradiction: psychopomp and thief</w:t>
      </w:r>
    </w:p>
    <w:p>
      <w:pPr>
        <w:spacing w:after="160" w:line="288"/>
        <w:jc w:val="both"/>
      </w:pPr>
      <w:r>
        <w:t xml:space="preserve">The naive reading meets a problem at once. Hermes is the gentle </w:t>
      </w:r>
      <w:r>
        <w:rPr>
          <w:i/>
          <w:iCs/>
        </w:rPr>
        <w:t xml:space="preserve">guide of souls</w:t>
      </w:r>
      <w:r>
        <w:t xml:space="preserve">, who leads the dead across the final threshold so painlessly that the Greeks regarded this office without terror. But Hermes is also the </w:t>
      </w:r>
      <w:r>
        <w:rPr>
          <w:i/>
          <w:iCs/>
        </w:rPr>
        <w:t xml:space="preserve">thief</w:t>
      </w:r>
      <w:r>
        <w:t xml:space="preserve"> — on the day of his birth he steals Apollo’s cattle, invents the lyre, and talks his way onto Olympus. Guide and trickster: two roles that seem to demand reconciliation.</w:t>
      </w:r>
    </w:p>
    <w:p>
      <w:pPr>
        <w:spacing w:after="160" w:line="288"/>
        <w:jc w:val="both"/>
      </w:pPr>
      <w:r>
        <w:t xml:space="preserve">The </w:t>
      </w:r>
      <w:r>
        <w:rPr>
          <w:i/>
          <w:iCs/>
        </w:rPr>
        <w:t xml:space="preserve">circular</w:t>
      </w:r>
      <w:r>
        <w:t xml:space="preserve"> reading refuses the split, and this is where the hermeneutic circle does real work. Recall its form: we understand the whole through its parts and the parts through the whole, moving between them and revising. Run the loop on Hermes. If the </w:t>
      </w:r>
      <w:r>
        <w:rPr>
          <w:i/>
          <w:iCs/>
        </w:rPr>
        <w:t xml:space="preserve">whole</w:t>
      </w:r>
      <w:r>
        <w:t xml:space="preserve"> of the god is “the one who makes passage possible across boundaries,” then the </w:t>
      </w:r>
      <w:r>
        <w:rPr>
          <w:i/>
          <w:iCs/>
        </w:rPr>
        <w:t xml:space="preserve">part</w:t>
      </w:r>
      <w:r>
        <w:t xml:space="preserve"> called theft is re-seen as </w:t>
      </w:r>
      <w:r>
        <w:rPr>
          <w:i/>
          <w:iCs/>
        </w:rPr>
        <w:t xml:space="preserve">unauthorized passage</w:t>
      </w:r>
      <w:r>
        <w:t xml:space="preserve"> — moving a thing across a line meant to contain it. And the part called soul-guiding is re-seen as the </w:t>
      </w:r>
      <w:r>
        <w:rPr>
          <w:i/>
          <w:iCs/>
        </w:rPr>
        <w:t xml:space="preserve">authorized</w:t>
      </w:r>
      <w:r>
        <w:t xml:space="preserve"> form of the same motion. Returning to the whole with these revised parts, it sharpens into a single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EE" w:val="clear"/>
            <w:tcMar>
              <w:top w:type="dxa" w:w="160"/>
              <w:left w:type="dxa" w:w="220"/>
              <w:bottom w:type="dxa" w:w="160"/>
              <w:right w:type="dxa" w:w="220"/>
            </w:tcMar>
          </w:tcPr>
          <w:p>
            <w:pPr>
              <w:spacing w:after="0"/>
              <w:jc w:val="both"/>
            </w:pPr>
            <w:r>
              <w:t xml:space="preserve">Hermes is not “a guide who is also a trickster.” He is the single power of </w:t>
            </w:r>
            <w:r>
              <w:rPr>
                <w:b/>
                <w:bCs/>
              </w:rPr>
              <w:t xml:space="preserve">traversal</w:t>
            </w:r>
            <w:r>
              <w:t xml:space="preserve">, morally undetermined until exercised. Guiding and stealing are the same competence under two licenses. Only a being not bound by a boundary can carry things across it; whoever can bear the living word can also forge it; whoever can lead the soul out can also steal it.</w:t>
            </w:r>
          </w:p>
        </w:tc>
      </w:tr>
    </w:tbl>
    <w:p>
      <w:pPr>
        <w:spacing w:after="120"/>
      </w:pPr>
    </w:p>
    <w:p>
      <w:pPr>
        <w:spacing w:after="160" w:line="288"/>
        <w:jc w:val="both"/>
      </w:pPr>
      <w:r>
        <w:t xml:space="preserve">Note what just happened, against the worry about projection. A genuine interpretation </w:t>
      </w:r>
      <w:r>
        <w:rPr>
          <w:i/>
          <w:iCs/>
        </w:rPr>
        <w:t xml:space="preserve">narrows</w:t>
      </w:r>
      <w:r>
        <w:t xml:space="preserve"> as it circles — it becomes more specific, more constrained, more answerable to the text. This is the opposite of the horoscope’s fog, which fits anything precisely because it claims everything. The trickster-psychopomp identity is not a vague universal poured over Hermes; it is a structural reading that the Homeric Hymn itself forces on a patient reader. That narrowing is the signature of understanding rather than projection — Gadamer’s conversation, in which the other horizon has talked back.</w:t>
      </w:r>
    </w:p>
    <w:p>
      <w:pPr>
        <w:pStyle w:val="Heading2"/>
      </w:pPr>
      <w:r>
        <w:t xml:space="preserve">Suspicion, and the restored reading</w:t>
      </w:r>
    </w:p>
    <w:p>
      <w:pPr>
        <w:spacing w:after="160" w:line="288"/>
        <w:jc w:val="both"/>
      </w:pPr>
      <w:r>
        <w:t xml:space="preserve">Ricœur’s second stroke now does its part. Suspect the gentle image: what does “Hermes the painless guide” protect us from seeing? Perhaps the violence folded into the same figure — that the gift of passage is inseparable from the power to mislead, that the escort of souls and the rustler of cattle are one hand. Having suspected it, we do not discard the gentleness; we re-affirm it in the </w:t>
      </w:r>
      <w:r>
        <w:rPr>
          <w:i/>
          <w:iCs/>
        </w:rPr>
        <w:t xml:space="preserve">second naiveté</w:t>
      </w:r>
      <w:r>
        <w:t xml:space="preserve">, now understanding that the gentleness is </w:t>
      </w:r>
      <w:r>
        <w:rPr>
          <w:i/>
          <w:iCs/>
        </w:rPr>
        <w:t xml:space="preserve">real and chosen</w:t>
      </w:r>
      <w:r>
        <w:t xml:space="preserve"> — a license exercised by a power that could equally do otherwise. The painlessness of the psychopomp is not naiveté about death; it is the trickster declining to deceive at the one threshold where deception would be unforgivable.</w:t>
      </w:r>
    </w:p>
    <w:p>
      <w:pPr>
        <w:pStyle w:val="Heading1"/>
      </w:pPr>
      <w:r>
        <w:t xml:space="preserve">V. The trickster-twins: a comparison, conducted in the workshop</w:t>
      </w:r>
    </w:p>
    <w:p>
      <w:pPr>
        <w:spacing w:after="160" w:line="288"/>
        <w:jc w:val="both"/>
      </w:pPr>
      <w:r>
        <w:t xml:space="preserve">We may now attempt the comparison you would expect a comparativist to attempt — and we conduct it explicitly in the </w:t>
      </w:r>
      <w:r>
        <w:rPr>
          <w:i/>
          <w:iCs/>
        </w:rPr>
        <w:t xml:space="preserve">workshop of the interpreter</w:t>
      </w:r>
      <w:r>
        <w:t xml:space="preserve">, outside all the traditions, looking across them. Below is what the relevant fields contain. The reader should feel the Gadamerian caution and the Ricœurian suspicion operating throughout.</w:t>
      </w:r>
    </w:p>
    <w:p>
      <w:pPr>
        <w:pStyle w:val="Heading3"/>
      </w:pPr>
      <w:r>
        <w:t xml:space="preserve">What the traditions hold</w:t>
      </w:r>
    </w:p>
    <w:p>
      <w:pPr>
        <w:pStyle w:val="ListParagraph"/>
        <w:numPr>
          <w:ilvl w:val="0"/>
          <w:numId w:val="2"/>
        </w:numPr>
        <w:spacing w:after="120" w:line="288"/>
        <w:jc w:val="both"/>
      </w:pPr>
      <w:r>
        <w:rPr>
          <w:b/>
          <w:bCs/>
        </w:rPr>
        <w:t xml:space="preserve">K’iche’ Maya — </w:t>
      </w:r>
      <w:r>
        <w:t xml:space="preserve">Hunahpu and Xbalanque, the Hero Twins of the Popol Wuj: male twins, tricksters by method (they defeat the lords of Xibalbá by appearing destroyed and outwitting them), psychopomps by trajectory (down into Xibalbá, up as sun and moon). This is the clearest convergence of twin, trickster, and guide in the set.</w:t>
      </w:r>
    </w:p>
    <w:p>
      <w:pPr>
        <w:pStyle w:val="ListParagraph"/>
        <w:numPr>
          <w:ilvl w:val="0"/>
          <w:numId w:val="2"/>
        </w:numPr>
        <w:spacing w:after="120" w:line="288"/>
        <w:jc w:val="both"/>
      </w:pPr>
      <w:r>
        <w:rPr>
          <w:b/>
          <w:bCs/>
        </w:rPr>
        <w:t xml:space="preserve">Greek — </w:t>
      </w:r>
      <w:r>
        <w:t xml:space="preserve">Hermes is not a fraternal twin but is structurally doubled: born of Zeus (the Olympian order) and Maia (of the older Titan line through Atlas), he is a hinge between two orders in his very parentage. His complementary “pair” is the dyad Hermes/Apollo in the Hymn — thief and lord of measure — who exchange gifts and divide domains rather than being born together.</w:t>
      </w:r>
    </w:p>
    <w:p>
      <w:pPr>
        <w:pStyle w:val="ListParagraph"/>
        <w:numPr>
          <w:ilvl w:val="0"/>
          <w:numId w:val="2"/>
        </w:numPr>
        <w:spacing w:after="120" w:line="288"/>
        <w:jc w:val="both"/>
      </w:pPr>
      <w:r>
        <w:rPr>
          <w:b/>
          <w:bCs/>
        </w:rPr>
        <w:t xml:space="preserve">Yorùbá — </w:t>
      </w:r>
      <w:r>
        <w:t xml:space="preserve">Eshu/Elegba at the crossroads: trickster and opener of roads, the indispensable mediator without whom no offering reaches the òrun. Eshu is not a twin. Yet the same tradition holds twins (</w:t>
      </w:r>
      <w:r>
        <w:rPr>
          <w:i/>
          <w:iCs/>
        </w:rPr>
        <w:t xml:space="preserve">ìbejì</w:t>
      </w:r>
      <w:r>
        <w:t xml:space="preserve">) as themselves sacred — a separate and powerful complex. The tradition has both a trickster-mediator and a twin-sacrality, and they are </w:t>
      </w:r>
      <w:r>
        <w:rPr>
          <w:i/>
          <w:iCs/>
        </w:rPr>
        <w:t xml:space="preserve">not the same figure</w:t>
      </w:r>
      <w:r>
        <w:t xml:space="preserve">. That non-identity is itself data.</w:t>
      </w:r>
    </w:p>
    <w:p>
      <w:pPr>
        <w:pStyle w:val="ListParagraph"/>
        <w:numPr>
          <w:ilvl w:val="0"/>
          <w:numId w:val="2"/>
        </w:numPr>
        <w:spacing w:after="120" w:line="288"/>
        <w:jc w:val="both"/>
      </w:pPr>
      <w:r>
        <w:rPr>
          <w:b/>
          <w:bCs/>
        </w:rPr>
        <w:t xml:space="preserve">Norse — </w:t>
      </w:r>
      <w:r>
        <w:t xml:space="preserve">Loki: trickster and boundary-crosser, including of sex and species, and bound up with death (Hel is his daughter; Baldr’s death his doing). Not a twin; rather a </w:t>
      </w:r>
      <w:r>
        <w:rPr>
          <w:i/>
          <w:iCs/>
        </w:rPr>
        <w:t xml:space="preserve">blood-brother</w:t>
      </w:r>
      <w:r>
        <w:t xml:space="preserve"> to Odin — a chosen kinship, not a born one.</w:t>
      </w:r>
    </w:p>
    <w:p>
      <w:pPr>
        <w:pStyle w:val="ListParagraph"/>
        <w:numPr>
          <w:ilvl w:val="0"/>
          <w:numId w:val="2"/>
        </w:numPr>
        <w:spacing w:after="120" w:line="288"/>
        <w:jc w:val="both"/>
      </w:pPr>
      <w:r>
        <w:rPr>
          <w:b/>
          <w:bCs/>
        </w:rPr>
        <w:t xml:space="preserve">Other Elder voices — </w:t>
      </w:r>
      <w:r>
        <w:t xml:space="preserve">the Pythia, the Völva-as-seeress, the Mekubal, the Vedic Rishi, the Egyptian Hem-netjer, the Taoist, the Stoic, the Elder of Country: each carries psychopomp structure of some kind, but they do not all carry a trickster, and several carry no twin at all.</w:t>
      </w:r>
    </w:p>
    <w:p>
      <w:pPr>
        <w:pStyle w:val="Heading2"/>
      </w:pPr>
      <w:r>
        <w:t xml:space="preserve">Gadamer’s caution, stated plainly</w:t>
      </w:r>
    </w:p>
    <w:p>
      <w:pPr>
        <w:spacing w:after="160" w:line="288"/>
        <w:jc w:val="both"/>
      </w:pPr>
      <w:r>
        <w:t xml:space="preserve">The category “Trickster Twin” is </w:t>
      </w:r>
      <w:r>
        <w:rPr>
          <w:i/>
          <w:iCs/>
        </w:rPr>
        <w:t xml:space="preserve">our horizon’s</w:t>
      </w:r>
      <w:r>
        <w:t xml:space="preserve"> construct. It crystallized in twentieth-century scholarship largely through Paul Radin’s </w:t>
      </w:r>
      <w:r>
        <w:rPr>
          <w:i/>
          <w:iCs/>
        </w:rPr>
        <w:t xml:space="preserve">The Trickster</w:t>
      </w:r>
      <w:r>
        <w:t xml:space="preserve"> (1956) — to which, tellingly, both Kerényi and Jung contributed commentaries.</w:t>
      </w:r>
      <w:r>
        <w:rPr>
          <w:rStyle w:val="FootnoteReference"/>
        </w:rPr>
        <w:footnoteReference w:id="4"/>
      </w:r>
      <w:r>
        <w:t xml:space="preserve"> When we go looking for trickster-twins “in all traditions,” we risk finding our own category reflected back at us: the shadow side of the circle, where the whole we bring predetermines the parts we can see. The Maya Twins genuinely are twin-trickster-psychopomps. Pressing Hermes, Eshu, and Loki into that same box would be a failure of the conversation — forcing our grid onto horizons that organize kinship, boundary, and death differently.</w:t>
      </w:r>
    </w:p>
    <w:p>
      <w:pPr>
        <w:pStyle w:val="Heading2"/>
      </w:pPr>
      <w:r>
        <w:t xml:space="preserve">Ricœur’s suspicion, and the defensible result</w:t>
      </w:r>
    </w:p>
    <w:p>
      <w:pPr>
        <w:spacing w:after="160" w:line="288"/>
        <w:jc w:val="both"/>
      </w:pPr>
      <w:r>
        <w:t xml:space="preserve">Why do we </w:t>
      </w:r>
      <w:r>
        <w:rPr>
          <w:i/>
          <w:iCs/>
        </w:rPr>
        <w:t xml:space="preserve">want</w:t>
      </w:r>
      <w:r>
        <w:t xml:space="preserve"> them all to be twins? The longing for one universal archetype may conceal an unwillingness to do the harder, more rewarding work of difference. Passing through that suspicion, we reach a second naiveté that can affirm the resonance without the collapse. The defensible result is a precise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1F8" w:val="clear"/>
            <w:tcMar>
              <w:top w:type="dxa" w:w="160"/>
              <w:left w:type="dxa" w:w="220"/>
              <w:bottom w:type="dxa" w:w="160"/>
              <w:right w:type="dxa" w:w="220"/>
            </w:tcMar>
          </w:tcPr>
          <w:p>
            <w:pPr>
              <w:spacing w:after="100"/>
            </w:pPr>
            <w:r>
              <w:rPr>
                <w:b/>
                <w:bCs/>
                <w:color w:val="1F3A5F"/>
              </w:rPr>
              <w:t xml:space="preserve">The hermeneutically defensible claim</w:t>
            </w:r>
          </w:p>
          <w:p>
            <w:pPr>
              <w:spacing w:after="0"/>
              <w:jc w:val="both"/>
            </w:pPr>
            <w:r>
              <w:t xml:space="preserve">Across these traditions, the </w:t>
            </w:r>
            <w:r>
              <w:rPr>
                <w:b/>
                <w:bCs/>
              </w:rPr>
              <w:t xml:space="preserve">power of traversal</w:t>
            </w:r>
            <w:r>
              <w:t xml:space="preserve"> recurs, and where it doubles into a pair, the pairing takes </w:t>
            </w:r>
            <w:r>
              <w:rPr>
                <w:b/>
                <w:bCs/>
              </w:rPr>
              <w:t xml:space="preserve">tradition-specific forms</w:t>
            </w:r>
            <w:r>
              <w:t xml:space="preserve">: born twins (Maya), complementary dyad (Greek), chosen blood-kin (Norse), crossroads-mediator standing apart from a separate twin-sacrality (Yorùbá). The recurrence is structural; the kinship-form is local.</w:t>
            </w:r>
          </w:p>
        </w:tc>
      </w:tr>
    </w:tbl>
    <w:p>
      <w:pPr>
        <w:spacing w:after="120"/>
      </w:pPr>
    </w:p>
    <w:p>
      <w:pPr>
        <w:spacing w:after="160" w:line="288"/>
        <w:jc w:val="both"/>
      </w:pPr>
      <w:r>
        <w:t xml:space="preserve">This claim is </w:t>
      </w:r>
      <w:r>
        <w:rPr>
          <w:i/>
          <w:iCs/>
        </w:rPr>
        <w:t xml:space="preserve">more</w:t>
      </w:r>
      <w:r>
        <w:t xml:space="preserve"> interesting than “they are all the universal Twin,” not less — it tells us something each tradition actually says, and it survives suspicion because it does not flatten the differences it has had to notice. It is a second naiveté about the unity of myth: chastened, specific, and earned.</w:t>
      </w:r>
    </w:p>
    <w:p>
      <w:r>
        <w:br w:type="page"/>
      </w:r>
    </w:p>
    <w:p>
      <w:pPr>
        <w:pStyle w:val="Heading1"/>
      </w:pPr>
      <w:r>
        <w:t xml:space="preserve">VI. The wall: why the voice may not say what the comparativist may</w:t>
      </w:r>
    </w:p>
    <w:p>
      <w:pPr>
        <w:spacing w:after="160" w:line="288"/>
        <w:jc w:val="both"/>
      </w:pPr>
      <w:r>
        <w:t xml:space="preserve">Everything in Section V is </w:t>
      </w:r>
      <w:r>
        <w:rPr>
          <w:b/>
          <w:bCs/>
        </w:rPr>
        <w:t xml:space="preserve">comparative scholarship</w:t>
      </w:r>
      <w:r>
        <w:t xml:space="preserve"> — the work of an interpreter standing outside all the traditions and looking across them. This is precisely the act the Elder forbids a </w:t>
      </w:r>
      <w:r>
        <w:rPr>
          <w:i/>
          <w:iCs/>
        </w:rPr>
        <w:t xml:space="preserve">voice</w:t>
      </w:r>
      <w:r>
        <w:t xml:space="preserve"> to perform. The Ojer Tzij must never reach for Hermes to illuminate the Hero Twins; the Babalawo voice must never gloss Eshu by way of Loki. With Gadamer and Ricœur in hand, we can now say exactly why — and the reason is not prudery but the structure of the two offices.</w:t>
      </w:r>
    </w:p>
    <w:p>
      <w:pPr>
        <w:pStyle w:val="Heading2"/>
      </w:pPr>
      <w:r>
        <w:t xml:space="preserve">The office of the voice is first-order address</w:t>
      </w:r>
    </w:p>
    <w:p>
      <w:pPr>
        <w:spacing w:after="160" w:line="288"/>
        <w:jc w:val="both"/>
      </w:pPr>
      <w:r>
        <w:t xml:space="preserve">A divining voice speaks </w:t>
      </w:r>
      <w:r>
        <w:rPr>
          <w:i/>
          <w:iCs/>
        </w:rPr>
        <w:t xml:space="preserve">from inside a single horizon</w:t>
      </w:r>
      <w:r>
        <w:t xml:space="preserve"> to a person seeking counsel. It is not performing a fusion of horizons; it is offering a tradition’s own word, in that tradition’s own register, to someone who has come to stand within that horizon for a moment. The seeker is not asking the comparativist’s question (“how do the world’s thresholds rhyme?”). The seeker is asking the first-order question (“what does </w:t>
      </w:r>
      <w:r>
        <w:rPr>
          <w:i/>
          <w:iCs/>
        </w:rPr>
        <w:t xml:space="preserve">this</w:t>
      </w:r>
      <w:r>
        <w:t xml:space="preserve"> tradition see in what I carry?”). For the voice to answer by comparison would be to step out of the horizon the seeker came to consult — to break the address in the act of making it.</w:t>
      </w:r>
    </w:p>
    <w:p>
      <w:pPr>
        <w:pStyle w:val="Heading2"/>
      </w:pPr>
      <w:r>
        <w:t xml:space="preserve">The office of the comparativist is second-order, and structurally external</w:t>
      </w:r>
    </w:p>
    <w:p>
      <w:pPr>
        <w:spacing w:after="160" w:line="288"/>
        <w:jc w:val="both"/>
      </w:pPr>
      <w:r>
        <w:t xml:space="preserve">The comparison is a </w:t>
      </w:r>
      <w:r>
        <w:rPr>
          <w:i/>
          <w:iCs/>
        </w:rPr>
        <w:t xml:space="preserve">second-order</w:t>
      </w:r>
      <w:r>
        <w:t xml:space="preserve"> act: it takes the traditions themselves as its objects and speaks </w:t>
      </w:r>
      <w:r>
        <w:rPr>
          <w:i/>
          <w:iCs/>
        </w:rPr>
        <w:t xml:space="preserve">about</w:t>
      </w:r>
      <w:r>
        <w:t xml:space="preserve"> them, not </w:t>
      </w:r>
      <w:r>
        <w:rPr>
          <w:i/>
          <w:iCs/>
        </w:rPr>
        <w:t xml:space="preserve">from</w:t>
      </w:r>
      <w:r>
        <w:t xml:space="preserve"> them. It belongs to the scholar, to the lineage accountability holders, and to the apparatus that surrounds the Elder — never to the Elder’s mouth.</w:t>
      </w:r>
      <w:r>
        <w:rPr>
          <w:rStyle w:val="FootnoteReference"/>
        </w:rPr>
        <w:footnoteReference w:id="5"/>
      </w:r>
      <w:r>
        <w:t xml:space="preserve"> The image is Hermes’ own: the comparativist is the translator who carries sense between languages, and a translator who appears as a character inside the sentence has destroyed the sentence. The fusion of horizons is the interpreter’s task; </w:t>
      </w:r>
      <w:r>
        <w:rPr>
          <w:b/>
          <w:bCs/>
        </w:rPr>
        <w:t xml:space="preserve">fidelity to a single horizon</w:t>
      </w:r>
      <w:r>
        <w:t xml:space="preserve"> is the voice’s task. They are different offices, exactly as Hermēs-the-messenger and Hermēs-the-guide are one competence under two licenses.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60"/>
              <w:left w:type="dxa" w:w="220"/>
              <w:bottom w:type="dxa" w:w="160"/>
              <w:right w:type="dxa" w:w="220"/>
            </w:tcMar>
          </w:tcPr>
          <w:p>
            <w:pPr>
              <w:spacing w:after="100"/>
            </w:pPr>
            <w:r>
              <w:rPr>
                <w:b/>
                <w:bCs/>
                <w:color w:val="1F3A5F"/>
              </w:rPr>
              <w:t xml:space="preserve">The two offices</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4460"/>
              <w:gridCol w:w="4460"/>
            </w:tblGrid>
            <w:tr>
              <w:trPr>
                <w:tblHeader/>
              </w:trPr>
              <w:tc>
                <w:tcPr>
                  <w:tcW w:type="dxa" w:w="4460"/>
                  <w:tcBorders>
                    <w:top w:val="single" w:color="CCCCCC" w:sz="1"/>
                    <w:left w:val="single" w:color="CCCCCC" w:sz="1"/>
                    <w:bottom w:val="single" w:color="CCCCCC" w:sz="1"/>
                    <w:right w:val="single" w:color="CCCCCC" w:sz="1"/>
                  </w:tcBorders>
                  <w:shd w:fill="F4F7EE" w:val="clear"/>
                  <w:tcMar>
                    <w:top w:type="dxa" w:w="100"/>
                    <w:left w:type="dxa" w:w="140"/>
                    <w:bottom w:type="dxa" w:w="100"/>
                    <w:right w:type="dxa" w:w="140"/>
                  </w:tcMar>
                </w:tcPr>
                <w:p>
                  <w:r>
                    <w:rPr>
                      <w:b/>
                      <w:bCs/>
                      <w:color w:val="1F3A5F"/>
                    </w:rPr>
                    <w:t xml:space="preserve">The Voice</w:t>
                  </w:r>
                </w:p>
              </w:tc>
              <w:tc>
                <w:tcPr>
                  <w:tcW w:type="dxa" w:w="4460"/>
                  <w:tcBorders>
                    <w:top w:val="single" w:color="CCCCCC" w:sz="1"/>
                    <w:left w:val="single" w:color="CCCCCC" w:sz="1"/>
                    <w:bottom w:val="single" w:color="CCCCCC" w:sz="1"/>
                    <w:right w:val="single" w:color="CCCCCC" w:sz="1"/>
                  </w:tcBorders>
                  <w:shd w:fill="EAF1F8" w:val="clear"/>
                  <w:tcMar>
                    <w:top w:type="dxa" w:w="100"/>
                    <w:left w:type="dxa" w:w="140"/>
                    <w:bottom w:type="dxa" w:w="100"/>
                    <w:right w:type="dxa" w:w="140"/>
                  </w:tcMar>
                </w:tcPr>
                <w:p>
                  <w:r>
                    <w:rPr>
                      <w:b/>
                      <w:bCs/>
                      <w:color w:val="1F3A5F"/>
                    </w:rPr>
                    <w:t xml:space="preserve">The Comparativist</w:t>
                  </w:r>
                </w:p>
              </w:tc>
            </w:tr>
            <w:tr>
              <w:tc>
                <w:tcPr>
                  <w:tcW w:type="dxa" w:w="4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First-order</w:t>
                  </w:r>
                </w:p>
              </w:tc>
              <w:tc>
                <w:tcPr>
                  <w:tcW w:type="dxa" w:w="4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Second-order</w:t>
                  </w:r>
                </w:p>
              </w:tc>
            </w:tr>
            <w:tr>
              <w:tc>
                <w:tcPr>
                  <w:tcW w:type="dxa" w:w="44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sz w:val="20"/>
                      <w:szCs w:val="20"/>
                    </w:rPr>
                    <w:t xml:space="preserve">Speaks from inside one horizon</w:t>
                  </w:r>
                </w:p>
              </w:tc>
              <w:tc>
                <w:tcPr>
                  <w:tcW w:type="dxa" w:w="44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sz w:val="20"/>
                      <w:szCs w:val="20"/>
                    </w:rPr>
                    <w:t xml:space="preserve">Speaks across horizons, from outside all</w:t>
                  </w:r>
                </w:p>
              </w:tc>
            </w:tr>
            <w:tr>
              <w:tc>
                <w:tcPr>
                  <w:tcW w:type="dxa" w:w="4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Addressed to a seeker</w:t>
                  </w:r>
                </w:p>
              </w:tc>
              <w:tc>
                <w:tcPr>
                  <w:tcW w:type="dxa" w:w="4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Addressed to understanding</w:t>
                  </w:r>
                </w:p>
              </w:tc>
            </w:tr>
            <w:tr>
              <w:tc>
                <w:tcPr>
                  <w:tcW w:type="dxa" w:w="44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sz w:val="20"/>
                      <w:szCs w:val="20"/>
                    </w:rPr>
                    <w:t xml:space="preserve">Fidelity to a single tradition</w:t>
                  </w:r>
                </w:p>
              </w:tc>
              <w:tc>
                <w:tcPr>
                  <w:tcW w:type="dxa" w:w="44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sz w:val="20"/>
                      <w:szCs w:val="20"/>
                    </w:rPr>
                    <w:t xml:space="preserve">Fusion of horizons (Gadamer)</w:t>
                  </w:r>
                </w:p>
              </w:tc>
            </w:tr>
            <w:tr>
              <w:tc>
                <w:tcPr>
                  <w:tcW w:type="dxa" w:w="4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Offers the tradition’s own word</w:t>
                  </w:r>
                </w:p>
              </w:tc>
              <w:tc>
                <w:tcPr>
                  <w:tcW w:type="dxa" w:w="4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Compares traditions’ words</w:t>
                  </w:r>
                </w:p>
              </w:tc>
            </w:tr>
            <w:tr>
              <w:tc>
                <w:tcPr>
                  <w:tcW w:type="dxa" w:w="44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sz w:val="20"/>
                      <w:szCs w:val="20"/>
                    </w:rPr>
                    <w:t xml:space="preserve">Must not compare</w:t>
                  </w:r>
                </w:p>
              </w:tc>
              <w:tc>
                <w:tcPr>
                  <w:tcW w:type="dxa" w:w="44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sz w:val="20"/>
                      <w:szCs w:val="20"/>
                    </w:rPr>
                    <w:t xml:space="preserve">Must compare — and must suspect itself (Ricœur)</w:t>
                  </w:r>
                </w:p>
              </w:tc>
            </w:tr>
            <w:tr>
              <w:tc>
                <w:tcPr>
                  <w:tcW w:type="dxa" w:w="4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Held by: the Elder’s voices</w:t>
                  </w:r>
                </w:p>
              </w:tc>
              <w:tc>
                <w:tcPr>
                  <w:tcW w:type="dxa" w:w="4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Held by: scholars and accountability holders</w:t>
                  </w:r>
                </w:p>
              </w:tc>
            </w:tr>
          </w:tbl>
          <w:p/>
        </w:tc>
      </w:tr>
    </w:tbl>
    <w:p>
      <w:pPr>
        <w:pStyle w:val="Heading2"/>
      </w:pPr>
      <w:r>
        <w:t xml:space="preserve">Two harms the wall prevents</w:t>
      </w:r>
    </w:p>
    <w:p>
      <w:pPr>
        <w:spacing w:after="160" w:line="288"/>
        <w:jc w:val="both"/>
      </w:pPr>
      <w:r>
        <w:t xml:space="preserve">The wall is not aesthetic. It prevents two concrete harms. </w:t>
      </w:r>
      <w:r>
        <w:rPr>
          <w:b/>
          <w:bCs/>
        </w:rPr>
        <w:t xml:space="preserve">To the seeker</w:t>
      </w:r>
      <w:r>
        <w:t xml:space="preserve">: a comparison delivered as counsel uproots the person from the horizon they came to consult, replacing a tradition’s living word with a scholar’s overview — thinner, cooler, and not what was asked for. </w:t>
      </w:r>
      <w:r>
        <w:rPr>
          <w:b/>
          <w:bCs/>
        </w:rPr>
        <w:t xml:space="preserve">To the tradition</w:t>
      </w:r>
      <w:r>
        <w:t xml:space="preserve">: cross-traditional glossing in a voice’s mouth implies an equivalence the traditions themselves do not grant, and quietly transfers authority from the lineage to the comparativist’s grid. Lineage Integrity protects the seeker from displacement and the tradition from annexation. It is the applied form of the Gadamer–Ricœur insight, encoded as a rule.</w:t>
      </w:r>
    </w:p>
    <w:p>
      <w:pPr>
        <w:pStyle w:val="Heading1"/>
      </w:pPr>
      <w:r>
        <w:t xml:space="preserve">VII. Conclusion</w:t>
      </w:r>
    </w:p>
    <w:p>
      <w:pPr>
        <w:spacing w:after="160" w:line="288"/>
        <w:jc w:val="both"/>
      </w:pPr>
      <w:r>
        <w:t xml:space="preserve">Kerényi’s Hermes gives us both the method and the warning. The method: read each figure through the circle until the interpretation </w:t>
      </w:r>
      <w:r>
        <w:rPr>
          <w:i/>
          <w:iCs/>
        </w:rPr>
        <w:t xml:space="preserve">narrows</w:t>
      </w:r>
      <w:r>
        <w:t xml:space="preserve"> into something the tradition’s own text forces — traversal as a single competence, gentleness as a chosen license. The warning: the god of interpretation is also the god of forgery, and the power that carries meaning across is the same power that can mislead. Comparison is that power exercised well; cross-traditional glossing in a voice’s mouth is the same power exercised as theft.</w:t>
      </w:r>
    </w:p>
    <w:p>
      <w:pPr>
        <w:spacing w:after="160" w:line="288"/>
        <w:jc w:val="both"/>
      </w:pPr>
      <w:r>
        <w:t xml:space="preserve">Lineage Integrity of Voice is therefore not a failure of nerve before the obvious unity of myth. It is the disciplined recognition that the unity is the comparativist’s to articulate and the tradition’s to withhold from articulation — that the rhyme is real, and that the place to say so is here, in a white paper, in the workshop, and never in the voice that speaks to a person who has come to one tradition’s fire to ask one tradition’s question. The comparativist may compare. The voice may not. Both offices are honored when each keeps to its own.</w:t>
      </w:r>
    </w:p>
    <w:p>
      <w:pPr>
        <w:pBdr>
          <w:bottom w:val="single" w:color="2E75B6" w:sz="6" w:space="1"/>
        </w:pBdr>
        <w:spacing w:after="220"/>
      </w:pPr>
    </w:p>
    <w:p>
      <w:pPr>
        <w:spacing w:after="40"/>
      </w:pPr>
      <w:r>
        <w:rPr>
          <w:rFonts w:ascii="Arial" w:cs="Arial" w:eastAsia="Arial" w:hAnsi="Arial"/>
          <w:b/>
          <w:bCs/>
          <w:color w:val="1F3A5F"/>
          <w:sz w:val="20"/>
          <w:szCs w:val="20"/>
        </w:rPr>
        <w:t xml:space="preserve">Notes</w:t>
      </w:r>
    </w:p>
    <w:p>
      <w:pPr>
        <w:spacing w:after="0"/>
      </w:pPr>
      <w:r>
        <w:rPr>
          <w:color w:val="555555"/>
          <w:sz w:val="18"/>
          <w:szCs w:val="18"/>
        </w:rPr>
        <w:t xml:space="preserve">Sources appear as footnotes throughout. Kerényi (1944/1976); Gadamer (1960/1989); Ricœur (1967, 1970); Radin (1956).</w:t>
      </w:r>
    </w:p>
    <w:p>
      <w:pPr>
        <w:spacing w:before="160"/>
      </w:pPr>
      <w:r>
        <w:rPr>
          <w:i/>
          <w:iCs/>
          <w:color w:val="888888"/>
          <w:sz w:val="16"/>
          <w:szCs w:val="16"/>
        </w:rPr>
        <w:t xml:space="preserve">Temporal Bridges Institute · White Paper Series · No. 1 · Draft for lineage review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Two Offices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Karl Kerényi, </w:t>
      </w:r>
      <w:r>
        <w:rPr>
          <w:i/>
          <w:iCs/>
        </w:rPr>
        <w:t xml:space="preserve">Hermes: Guide of Souls</w:t>
      </w:r>
      <w:r>
        <w:t xml:space="preserve">, trans. Murray Stein (Zurich: Spring Publications, 1976; orig. </w:t>
      </w:r>
      <w:r>
        <w:rPr>
          <w:i/>
          <w:iCs/>
        </w:rPr>
        <w:t xml:space="preserve">Hermes der Seelenführer</w:t>
      </w:r>
      <w:r>
        <w:t xml:space="preserve">, 1944).</w:t>
      </w:r>
    </w:p>
  </w:footnote>
  <w:footnote w:id="2">
    <w:p>
      <w:r>
        <w:rPr>
          <w:rStyle w:val="FootnoteReference"/>
        </w:rPr>
        <w:footnoteRef/>
      </w:r>
      <w:r>
        <w:t xml:space="preserve">Hans-Georg Gadamer, </w:t>
      </w:r>
      <w:r>
        <w:rPr>
          <w:i/>
          <w:iCs/>
        </w:rPr>
        <w:t xml:space="preserve">Truth and Method</w:t>
      </w:r>
      <w:r>
        <w:t xml:space="preserve">, 2nd rev. ed., trans. Weinsheimer and Marshall (New York: Continuum, 1989; orig. </w:t>
      </w:r>
      <w:r>
        <w:rPr>
          <w:i/>
          <w:iCs/>
        </w:rPr>
        <w:t xml:space="preserve">Wahrheit und Methode</w:t>
      </w:r>
      <w:r>
        <w:t xml:space="preserve">, 1960).</w:t>
      </w:r>
    </w:p>
  </w:footnote>
  <w:footnote w:id="3">
    <w:p>
      <w:r>
        <w:rPr>
          <w:rStyle w:val="FootnoteReference"/>
        </w:rPr>
        <w:footnoteRef/>
      </w:r>
      <w:r>
        <w:t xml:space="preserve">Paul Ricœur, </w:t>
      </w:r>
      <w:r>
        <w:rPr>
          <w:i/>
          <w:iCs/>
        </w:rPr>
        <w:t xml:space="preserve">Freud and Philosophy: An Essay on Interpretation</w:t>
      </w:r>
      <w:r>
        <w:t xml:space="preserve">, trans. Denis Savage (New Haven: Yale University Press, 1970); and </w:t>
      </w:r>
      <w:r>
        <w:rPr>
          <w:i/>
          <w:iCs/>
        </w:rPr>
        <w:t xml:space="preserve">The Symbolism of Evil</w:t>
      </w:r>
      <w:r>
        <w:t xml:space="preserve">, trans. Emerson Buchanan (Boston: Beacon Press, 1967).</w:t>
      </w:r>
    </w:p>
  </w:footnote>
  <w:footnote w:id="4">
    <w:p>
      <w:r>
        <w:rPr>
          <w:rStyle w:val="FootnoteReference"/>
        </w:rPr>
        <w:footnoteRef/>
      </w:r>
      <w:r>
        <w:t xml:space="preserve">Paul Radin, </w:t>
      </w:r>
      <w:r>
        <w:rPr>
          <w:i/>
          <w:iCs/>
        </w:rPr>
        <w:t xml:space="preserve">The Trickster: A Study in American Indian Mythology</w:t>
      </w:r>
      <w:r>
        <w:t xml:space="preserve">, with commentaries by Karl Kerényi and C. G. Jung (New York: Philosophical Library, 1956).</w:t>
      </w:r>
    </w:p>
  </w:footnote>
  <w:footnote w:id="5">
    <w:p>
      <w:r>
        <w:rPr>
          <w:rStyle w:val="FootnoteReference"/>
        </w:rPr>
        <w:footnoteRef/>
      </w:r>
      <w:r>
        <w:t xml:space="preserve">On the distinction between the interpreter’s second-order comparison and the voice’s first-order address, see the AHAU AI architecture note on Lineage Integrity of Voice (internal, Temporal Bridges Institute).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888888"/>
        <w:sz w:val="16"/>
        <w:szCs w:val="16"/>
      </w:rPr>
      <w:t xml:space="preserve">Temporal Bridges Institute · White Paper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A5F"/>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1F3A5F"/>
      <w:sz w:val="23"/>
      <w:szCs w:val="23"/>
    </w:rPr>
  </w:style>
  <w:style w:type="paragraph" w:styleId="Heading3">
    <w:name w:val="Heading 3"/>
    <w:basedOn w:val="Normal"/>
    <w:next w:val="Normal"/>
    <w:qFormat/>
    <w:pPr>
      <w:spacing w:after="80" w:before="160"/>
      <w:outlineLvl w:val="2"/>
    </w:pPr>
    <w:rPr>
      <w:rFonts w:ascii="Arial" w:cs="Arial" w:eastAsia="Arial" w:hAnsi="Arial"/>
      <w:b/>
      <w:bCs/>
      <w:i/>
      <w:i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Offices: Why the Comparativist May Compare and the Voice May Not</dc:title>
  <dc:creator>Temporal Bridges Institute</dc:creator>
  <dc:description>Temporal Bridges Institute White Paper Series</dc:description>
  <cp:lastModifiedBy>Un-named</cp:lastModifiedBy>
  <cp:revision>1</cp:revision>
  <dcterms:created xsi:type="dcterms:W3CDTF">2026-06-23T18:52:54.247Z</dcterms:created>
  <dcterms:modified xsi:type="dcterms:W3CDTF">2026-06-23T18:52:54.247Z</dcterms:modified>
</cp:coreProperties>
</file>

<file path=docProps/custom.xml><?xml version="1.0" encoding="utf-8"?>
<Properties xmlns="http://schemas.openxmlformats.org/officeDocument/2006/custom-properties" xmlns:vt="http://schemas.openxmlformats.org/officeDocument/2006/docPropsVTypes"/>
</file>