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64" w:lineRule="auto"/>
      </w:pPr>
      <w:r>
        <w:rPr>
          <w:rFonts w:ascii="Calibri" w:hAnsi="Calibri"/>
          <w:b/>
          <w:i w:val="0"/>
          <w:color w:val="4F9447"/>
          <w:sz w:val="22"/>
        </w:rPr>
        <w:t>INFORME METODOLÓGICO</w:t>
      </w:r>
    </w:p>
    <w:p>
      <w:pPr>
        <w:spacing w:before="0" w:after="80" w:line="240" w:lineRule="auto"/>
      </w:pPr>
      <w:r>
        <w:rPr>
          <w:rFonts w:ascii="Calibri" w:hAnsi="Calibri"/>
          <w:b/>
          <w:color w:val="222A1A"/>
          <w:sz w:val="48"/>
        </w:rPr>
        <w:t>Validación de cálculos de impacto</w:t>
      </w:r>
    </w:p>
    <w:p>
      <w:pPr>
        <w:spacing w:after="280"/>
      </w:pPr>
      <w:r>
        <w:rPr>
          <w:rFonts w:ascii="Calibri" w:hAnsi="Calibri"/>
          <w:b/>
          <w:color w:val="537358"/>
          <w:sz w:val="27"/>
        </w:rPr>
        <w:t>EcoGestos AHC - lógica científica, fuentes, límites y defensa del MVP</w:t>
      </w:r>
    </w:p>
    <w:p>
      <w:pPr>
        <w:spacing w:after="40"/>
      </w:pPr>
      <w:r>
        <w:rPr>
          <w:rFonts w:ascii="Calibri" w:hAnsi="Calibri"/>
          <w:b/>
          <w:color w:val="222A1A"/>
          <w:sz w:val="21"/>
        </w:rPr>
        <w:t xml:space="preserve">Cliente / proyecto: </w:t>
      </w:r>
      <w:r>
        <w:rPr>
          <w:rFonts w:ascii="Calibri" w:hAnsi="Calibri"/>
          <w:color w:val="222A1A"/>
          <w:sz w:val="21"/>
        </w:rPr>
        <w:t>Asociación Huella Cívica - EcoGestos AHC</w:t>
      </w:r>
    </w:p>
    <w:p>
      <w:pPr>
        <w:spacing w:after="40"/>
      </w:pPr>
      <w:r>
        <w:rPr>
          <w:rFonts w:ascii="Calibri" w:hAnsi="Calibri"/>
          <w:b/>
          <w:color w:val="222A1A"/>
          <w:sz w:val="21"/>
        </w:rPr>
        <w:t xml:space="preserve">Documento: </w:t>
      </w:r>
      <w:r>
        <w:rPr>
          <w:rFonts w:ascii="Calibri" w:hAnsi="Calibri"/>
          <w:color w:val="222A1A"/>
          <w:sz w:val="21"/>
        </w:rPr>
        <w:t>Informe de validación metodológica para presentación</w:t>
      </w:r>
    </w:p>
    <w:p>
      <w:pPr>
        <w:spacing w:after="40"/>
      </w:pPr>
      <w:r>
        <w:rPr>
          <w:rFonts w:ascii="Calibri" w:hAnsi="Calibri"/>
          <w:b/>
          <w:color w:val="222A1A"/>
          <w:sz w:val="21"/>
        </w:rPr>
        <w:t xml:space="preserve">Fecha: </w:t>
      </w:r>
      <w:r>
        <w:rPr>
          <w:rFonts w:ascii="Calibri" w:hAnsi="Calibri"/>
          <w:color w:val="222A1A"/>
          <w:sz w:val="21"/>
        </w:rPr>
        <w:t>18 de junio de 2026</w:t>
      </w:r>
    </w:p>
    <w:p>
      <w:pPr>
        <w:spacing w:after="40"/>
      </w:pPr>
      <w:r>
        <w:rPr>
          <w:rFonts w:ascii="Calibri" w:hAnsi="Calibri"/>
          <w:b/>
          <w:color w:val="222A1A"/>
          <w:sz w:val="21"/>
        </w:rPr>
        <w:t xml:space="preserve">Alcance: </w:t>
      </w:r>
      <w:r>
        <w:rPr>
          <w:rFonts w:ascii="Calibri" w:hAnsi="Calibri"/>
          <w:color w:val="222A1A"/>
          <w:sz w:val="21"/>
        </w:rPr>
        <w:t>50 EcoGestos, 8 categorías, matriz de cálculo y fuentes</w:t>
      </w:r>
    </w:p>
    <w:p>
      <w:pPr>
        <w:spacing w:after="40"/>
      </w:pPr>
      <w:r>
        <w:rPr>
          <w:rFonts w:ascii="Calibri" w:hAnsi="Calibri"/>
          <w:b/>
          <w:color w:val="222A1A"/>
          <w:sz w:val="21"/>
        </w:rPr>
        <w:t xml:space="preserve">Estado: </w:t>
      </w:r>
      <w:r>
        <w:rPr>
          <w:rFonts w:ascii="Calibri" w:hAnsi="Calibri"/>
          <w:color w:val="222A1A"/>
          <w:sz w:val="21"/>
        </w:rPr>
        <w:t>MVP completo con estimaciones operativas auditables</w:t>
      </w:r>
    </w:p>
    <w:p>
      <w:pPr>
        <w:pBdr>
          <w:bottom w:val="single" w:sz="14" w:space="4" w:color="4F9447"/>
        </w:pBdr>
        <w:spacing w:after="240"/>
      </w:pPr>
    </w:p>
    <w:p>
      <w:pPr>
        <w:spacing w:before="80" w:after="160" w:line="264" w:lineRule="auto"/>
        <w:ind w:left="120" w:right="120"/>
        <w:shd w:fill="EAF3E8"/>
      </w:pPr>
      <w:r>
        <w:rPr>
          <w:rFonts w:ascii="Calibri" w:hAnsi="Calibri"/>
          <w:b/>
          <w:color w:val="4F9447"/>
          <w:sz w:val="21"/>
        </w:rPr>
        <w:t xml:space="preserve">Tesis defendible: </w:t>
      </w:r>
      <w:r>
        <w:rPr>
          <w:rFonts w:ascii="Calibri" w:hAnsi="Calibri"/>
          <w:color w:val="222A1A"/>
          <w:sz w:val="21"/>
        </w:rPr>
        <w:t>El MVP no debe presentarse como certificación externa de huella de carbono. Sí puede presentarse como un sistema de estimación transparente, trazable y auditable: cada resultado separa unidades, indica fuente, conserva la fórmula/factor usado y distingue confianza alta, media, baja o pendiente.</w:t>
      </w:r>
    </w:p>
    <w:tbl>
      <w:tblGrid>
        <w:gridCol w:w="2600"/>
        <w:gridCol w:w="1300"/>
        <w:gridCol w:w="546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2600"/>
            <w:tcMar>
              <w:top w:w="80" w:type="dxa"/>
              <w:bottom w:w="80" w:type="dxa"/>
              <w:left w:w="120" w:type="dxa"/>
              <w:right w:w="120" w:type="dxa"/>
            </w:tcMar>
            <w:vAlign w:val="center"/>
            <w:shd w:fill="EAF3E8"/>
          </w:tcPr>
          <w:p>
            <w:pPr>
              <w:spacing w:after="0"/>
            </w:pPr>
            <w:r/>
            <w:r>
              <w:rPr>
                <w:rFonts w:ascii="Calibri" w:hAnsi="Calibri"/>
                <w:b/>
                <w:color w:val="222A1A"/>
                <w:sz w:val="19"/>
              </w:rPr>
              <w:t>Indicador</w:t>
            </w:r>
          </w:p>
        </w:tc>
        <w:tc>
          <w:tcPr>
            <w:tcW w:type="dxa" w:w="1300"/>
            <w:tcMar>
              <w:top w:w="80" w:type="dxa"/>
              <w:bottom w:w="80" w:type="dxa"/>
              <w:left w:w="120" w:type="dxa"/>
              <w:right w:w="120" w:type="dxa"/>
            </w:tcMar>
            <w:vAlign w:val="center"/>
            <w:shd w:fill="EAF3E8"/>
          </w:tcPr>
          <w:p>
            <w:pPr>
              <w:spacing w:after="0"/>
            </w:pPr>
            <w:r/>
            <w:r>
              <w:rPr>
                <w:rFonts w:ascii="Calibri" w:hAnsi="Calibri"/>
                <w:b/>
                <w:color w:val="222A1A"/>
                <w:sz w:val="19"/>
              </w:rPr>
              <w:t>Valor</w:t>
            </w:r>
          </w:p>
        </w:tc>
        <w:tc>
          <w:tcPr>
            <w:tcW w:type="dxa" w:w="5460"/>
            <w:tcMar>
              <w:top w:w="80" w:type="dxa"/>
              <w:bottom w:w="80" w:type="dxa"/>
              <w:left w:w="120" w:type="dxa"/>
              <w:right w:w="120" w:type="dxa"/>
            </w:tcMar>
            <w:vAlign w:val="center"/>
            <w:shd w:fill="EAF3E8"/>
          </w:tcPr>
          <w:p>
            <w:pPr>
              <w:spacing w:after="0"/>
            </w:pPr>
            <w:r/>
            <w:r>
              <w:rPr>
                <w:rFonts w:ascii="Calibri" w:hAnsi="Calibri"/>
                <w:b/>
                <w:color w:val="222A1A"/>
                <w:sz w:val="19"/>
              </w:rPr>
              <w:t>Lectura</w:t>
            </w:r>
          </w:p>
        </w:tc>
      </w:tr>
      <w:tr>
        <w:trPr>
          <w:cantSplit/>
        </w:trPr>
        <w:tc>
          <w:tcPr>
            <w:tcW w:type="dxa" w:w="2600"/>
            <w:tcMar>
              <w:top w:w="80" w:type="dxa"/>
              <w:bottom w:w="80" w:type="dxa"/>
              <w:left w:w="120" w:type="dxa"/>
              <w:right w:w="120" w:type="dxa"/>
            </w:tcMar>
            <w:vAlign w:val="center"/>
          </w:tcPr>
          <w:p>
            <w:pPr>
              <w:spacing w:before="0" w:after="0" w:line="252" w:lineRule="auto"/>
              <w:jc w:val="center"/>
            </w:pPr>
            <w:r/>
            <w:r>
              <w:rPr>
                <w:rFonts w:ascii="Calibri" w:hAnsi="Calibri"/>
                <w:color w:val="222A1A"/>
                <w:sz w:val="19"/>
              </w:rPr>
              <w:t>EcoGestos analizados</w:t>
            </w:r>
          </w:p>
        </w:tc>
        <w:tc>
          <w:tcPr>
            <w:tcW w:type="dxa" w:w="1300"/>
            <w:tcMar>
              <w:top w:w="80" w:type="dxa"/>
              <w:bottom w:w="80" w:type="dxa"/>
              <w:left w:w="120" w:type="dxa"/>
              <w:right w:w="120" w:type="dxa"/>
            </w:tcMar>
            <w:vAlign w:val="center"/>
          </w:tcPr>
          <w:p>
            <w:pPr>
              <w:spacing w:before="0" w:after="0" w:line="252" w:lineRule="auto"/>
            </w:pPr>
            <w:r/>
            <w:r>
              <w:rPr>
                <w:rFonts w:ascii="Calibri" w:hAnsi="Calibri"/>
                <w:color w:val="222A1A"/>
                <w:sz w:val="19"/>
              </w:rPr>
              <w:t>50</w:t>
            </w:r>
          </w:p>
        </w:tc>
        <w:tc>
          <w:tcPr>
            <w:tcW w:type="dxa" w:w="5460"/>
            <w:tcMar>
              <w:top w:w="80" w:type="dxa"/>
              <w:bottom w:w="80" w:type="dxa"/>
              <w:left w:w="120" w:type="dxa"/>
              <w:right w:w="120" w:type="dxa"/>
            </w:tcMar>
            <w:vAlign w:val="center"/>
          </w:tcPr>
          <w:p>
            <w:pPr>
              <w:spacing w:before="0" w:after="0" w:line="252" w:lineRule="auto"/>
            </w:pPr>
            <w:r/>
            <w:r>
              <w:rPr>
                <w:rFonts w:ascii="Calibri" w:hAnsi="Calibri"/>
                <w:color w:val="222A1A"/>
                <w:sz w:val="19"/>
              </w:rPr>
              <w:t>Inventario actual del MVP</w:t>
            </w:r>
          </w:p>
        </w:tc>
      </w:tr>
      <w:tr>
        <w:trPr>
          <w:cantSplit/>
        </w:trPr>
        <w:tc>
          <w:tcPr>
            <w:tcW w:type="dxa" w:w="2600"/>
            <w:tcMar>
              <w:top w:w="80" w:type="dxa"/>
              <w:bottom w:w="80" w:type="dxa"/>
              <w:left w:w="120" w:type="dxa"/>
              <w:right w:w="120" w:type="dxa"/>
            </w:tcMar>
            <w:vAlign w:val="center"/>
          </w:tcPr>
          <w:p>
            <w:pPr>
              <w:spacing w:before="0" w:after="0" w:line="252" w:lineRule="auto"/>
              <w:jc w:val="center"/>
            </w:pPr>
            <w:r/>
            <w:r>
              <w:rPr>
                <w:rFonts w:ascii="Calibri" w:hAnsi="Calibri"/>
                <w:color w:val="222A1A"/>
                <w:sz w:val="19"/>
              </w:rPr>
              <w:t>Categorías</w:t>
            </w:r>
          </w:p>
        </w:tc>
        <w:tc>
          <w:tcPr>
            <w:tcW w:type="dxa" w:w="1300"/>
            <w:tcMar>
              <w:top w:w="80" w:type="dxa"/>
              <w:bottom w:w="80" w:type="dxa"/>
              <w:left w:w="120" w:type="dxa"/>
              <w:right w:w="120" w:type="dxa"/>
            </w:tcMar>
            <w:vAlign w:val="center"/>
          </w:tcPr>
          <w:p>
            <w:pPr>
              <w:spacing w:before="0" w:after="0" w:line="252" w:lineRule="auto"/>
            </w:pPr>
            <w:r/>
            <w:r>
              <w:rPr>
                <w:rFonts w:ascii="Calibri" w:hAnsi="Calibri"/>
                <w:color w:val="222A1A"/>
                <w:sz w:val="19"/>
              </w:rPr>
              <w:t>8</w:t>
            </w:r>
          </w:p>
        </w:tc>
        <w:tc>
          <w:tcPr>
            <w:tcW w:type="dxa" w:w="5460"/>
            <w:tcMar>
              <w:top w:w="80" w:type="dxa"/>
              <w:bottom w:w="80" w:type="dxa"/>
              <w:left w:w="120" w:type="dxa"/>
              <w:right w:w="120" w:type="dxa"/>
            </w:tcMar>
            <w:vAlign w:val="center"/>
          </w:tcPr>
          <w:p>
            <w:pPr>
              <w:spacing w:before="0" w:after="0" w:line="252" w:lineRule="auto"/>
            </w:pPr>
            <w:r/>
            <w:r>
              <w:rPr>
                <w:rFonts w:ascii="Calibri" w:hAnsi="Calibri"/>
                <w:color w:val="222A1A"/>
                <w:sz w:val="19"/>
              </w:rPr>
              <w:t>Movilidad, energía, alimentación, consumo, residuos, agua, finanzas y comunidad</w:t>
            </w:r>
          </w:p>
        </w:tc>
      </w:tr>
      <w:tr>
        <w:trPr>
          <w:cantSplit/>
        </w:trPr>
        <w:tc>
          <w:tcPr>
            <w:tcW w:type="dxa" w:w="2600"/>
            <w:tcMar>
              <w:top w:w="80" w:type="dxa"/>
              <w:bottom w:w="80" w:type="dxa"/>
              <w:left w:w="120" w:type="dxa"/>
              <w:right w:w="120" w:type="dxa"/>
            </w:tcMar>
            <w:vAlign w:val="center"/>
          </w:tcPr>
          <w:p>
            <w:pPr>
              <w:spacing w:before="0" w:after="0" w:line="252" w:lineRule="auto"/>
              <w:jc w:val="center"/>
            </w:pPr>
            <w:r/>
            <w:r>
              <w:rPr>
                <w:rFonts w:ascii="Calibri" w:hAnsi="Calibri"/>
                <w:color w:val="222A1A"/>
                <w:sz w:val="19"/>
              </w:rPr>
              <w:t>Prioridad alta</w:t>
            </w:r>
          </w:p>
        </w:tc>
        <w:tc>
          <w:tcPr>
            <w:tcW w:type="dxa" w:w="1300"/>
            <w:tcMar>
              <w:top w:w="80" w:type="dxa"/>
              <w:bottom w:w="80" w:type="dxa"/>
              <w:left w:w="120" w:type="dxa"/>
              <w:right w:w="120" w:type="dxa"/>
            </w:tcMar>
            <w:vAlign w:val="center"/>
          </w:tcPr>
          <w:p>
            <w:pPr>
              <w:spacing w:before="0" w:after="0" w:line="252" w:lineRule="auto"/>
            </w:pPr>
            <w:r/>
            <w:r>
              <w:rPr>
                <w:rFonts w:ascii="Calibri" w:hAnsi="Calibri"/>
                <w:color w:val="222A1A"/>
                <w:sz w:val="19"/>
              </w:rPr>
              <w:t>13</w:t>
            </w:r>
          </w:p>
        </w:tc>
        <w:tc>
          <w:tcPr>
            <w:tcW w:type="dxa" w:w="5460"/>
            <w:tcMar>
              <w:top w:w="80" w:type="dxa"/>
              <w:bottom w:w="80" w:type="dxa"/>
              <w:left w:w="120" w:type="dxa"/>
              <w:right w:w="120" w:type="dxa"/>
            </w:tcMar>
            <w:vAlign w:val="center"/>
          </w:tcPr>
          <w:p>
            <w:pPr>
              <w:spacing w:before="0" w:after="0" w:line="252" w:lineRule="auto"/>
            </w:pPr>
            <w:r/>
            <w:r>
              <w:rPr>
                <w:rFonts w:ascii="Calibri" w:hAnsi="Calibri"/>
                <w:color w:val="222A1A"/>
                <w:sz w:val="19"/>
              </w:rPr>
              <w:t>Acciones donde conviene cerrar primero fórmula/factor</w:t>
            </w:r>
          </w:p>
        </w:tc>
      </w:tr>
      <w:tr>
        <w:trPr>
          <w:cantSplit/>
        </w:trPr>
        <w:tc>
          <w:tcPr>
            <w:tcW w:type="dxa" w:w="2600"/>
            <w:tcMar>
              <w:top w:w="80" w:type="dxa"/>
              <w:bottom w:w="80" w:type="dxa"/>
              <w:left w:w="120" w:type="dxa"/>
              <w:right w:w="120" w:type="dxa"/>
            </w:tcMar>
            <w:vAlign w:val="center"/>
          </w:tcPr>
          <w:p>
            <w:pPr>
              <w:spacing w:before="0" w:after="0" w:line="252" w:lineRule="auto"/>
            </w:pPr>
            <w:r/>
            <w:r>
              <w:rPr>
                <w:rFonts w:ascii="Calibri" w:hAnsi="Calibri"/>
                <w:color w:val="222A1A"/>
                <w:sz w:val="19"/>
              </w:rPr>
              <w:t>Validación profunda inicial</w:t>
            </w:r>
          </w:p>
        </w:tc>
        <w:tc>
          <w:tcPr>
            <w:tcW w:type="dxa" w:w="1300"/>
            <w:tcMar>
              <w:top w:w="80" w:type="dxa"/>
              <w:bottom w:w="80" w:type="dxa"/>
              <w:left w:w="120" w:type="dxa"/>
              <w:right w:w="120" w:type="dxa"/>
            </w:tcMar>
            <w:vAlign w:val="center"/>
          </w:tcPr>
          <w:p>
            <w:pPr>
              <w:spacing w:before="0" w:after="0" w:line="252" w:lineRule="auto"/>
            </w:pPr>
            <w:r/>
            <w:r>
              <w:rPr>
                <w:rFonts w:ascii="Calibri" w:hAnsi="Calibri"/>
                <w:color w:val="222A1A"/>
                <w:sz w:val="19"/>
              </w:rPr>
              <w:t>10</w:t>
            </w:r>
          </w:p>
        </w:tc>
        <w:tc>
          <w:tcPr>
            <w:tcW w:type="dxa" w:w="5460"/>
            <w:tcMar>
              <w:top w:w="80" w:type="dxa"/>
              <w:bottom w:w="80" w:type="dxa"/>
              <w:left w:w="120" w:type="dxa"/>
              <w:right w:w="120" w:type="dxa"/>
            </w:tcMar>
            <w:vAlign w:val="center"/>
          </w:tcPr>
          <w:p>
            <w:pPr>
              <w:spacing w:before="0" w:after="0" w:line="252" w:lineRule="auto"/>
            </w:pPr>
            <w:r/>
            <w:r>
              <w:rPr>
                <w:rFonts w:ascii="Calibri" w:hAnsi="Calibri"/>
                <w:color w:val="222A1A"/>
                <w:sz w:val="19"/>
              </w:rPr>
              <w:t>Top 10 recomendado en la metodología</w:t>
            </w:r>
          </w:p>
        </w:tc>
      </w:tr>
    </w:tbl>
    <w:p>
      <w:pPr>
        <w:spacing w:after="80"/>
      </w:pPr>
    </w:p>
    <w:p>
      <w:r>
        <w:br w:type="page"/>
      </w:r>
    </w:p>
    <w:p>
      <w:pPr>
        <w:pStyle w:val="Heading1"/>
        <w:keepNext/>
      </w:pPr>
      <w:r>
        <w:rPr>
          <w:rFonts w:ascii="Calibri" w:hAnsi="Calibri"/>
          <w:color w:val="4F9447"/>
        </w:rPr>
        <w:t>1. Resumen ejecutivo</w:t>
      </w:r>
    </w:p>
    <w:p>
      <w:pPr>
        <w:spacing w:before="0" w:after="120" w:line="264" w:lineRule="auto"/>
      </w:pPr>
      <w:r>
        <w:rPr>
          <w:rFonts w:ascii="Calibri" w:hAnsi="Calibri"/>
          <w:b w:val="0"/>
          <w:i w:val="0"/>
          <w:color w:val="222A1A"/>
          <w:sz w:val="22"/>
        </w:rPr>
        <w:t>El objetivo de este documento es dejar preparada la explicación técnica de los cálculos del MVP de EcoGestos AHC. La idea fuerte no es prometer exactitud absoluta, porque eso requeriría una auditoría externa o ACV completos por producto, sino demostrar que el sistema calcula con una metodología razonable, documentada y revisable.</w:t>
      </w:r>
    </w:p>
    <w:p>
      <w:pPr>
        <w:spacing w:before="0" w:after="120" w:line="264" w:lineRule="auto"/>
      </w:pPr>
      <w:r>
        <w:rPr>
          <w:rFonts w:ascii="Calibri" w:hAnsi="Calibri"/>
          <w:b w:val="0"/>
          <w:i w:val="0"/>
          <w:color w:val="222A1A"/>
          <w:sz w:val="22"/>
        </w:rPr>
        <w:t>La arquitectura actual funciona como una capa de estimación: toma un impacto base anual, clasifica la unidad afectada, aplica un porcentaje de ejecución y un multiplicador de frecuencia. Después comunica el resultado con nivel de confianza y tipo de impacto. Esta estructura es suficiente para un MVP educativo y de seguimiento siempre que se use el lenguaje adecuado.</w:t>
      </w:r>
    </w:p>
    <w:p>
      <w:pPr>
        <w:spacing w:before="80" w:after="160" w:line="264" w:lineRule="auto"/>
        <w:ind w:left="120" w:right="120"/>
        <w:shd w:fill="F6F8F5"/>
      </w:pPr>
      <w:r>
        <w:rPr>
          <w:rFonts w:ascii="Calibri" w:hAnsi="Calibri"/>
          <w:b/>
          <w:color w:val="4F9447"/>
          <w:sz w:val="21"/>
        </w:rPr>
        <w:t xml:space="preserve">Mensaje para presentación: </w:t>
      </w:r>
      <w:r>
        <w:rPr>
          <w:rFonts w:ascii="Calibri" w:hAnsi="Calibri"/>
          <w:color w:val="222A1A"/>
          <w:sz w:val="21"/>
        </w:rPr>
        <w:t>Los cálculos son estimaciones orientativas basadas en fuentes oficiales, literatura técnica y supuestos explícitos. No mezclamos CO2, agua, plástico y euros; los presentamos por separado para evitar conclusiones falsas.</w:t>
      </w:r>
    </w:p>
    <w:p>
      <w:pPr>
        <w:pStyle w:val="Heading2"/>
        <w:keepNext/>
      </w:pPr>
      <w:r>
        <w:rPr>
          <w:rFonts w:ascii="Calibri" w:hAnsi="Calibri"/>
          <w:color w:val="4F9447"/>
        </w:rPr>
        <w:t>Decisiones clave</w:t>
      </w:r>
    </w:p>
    <w:p>
      <w:pPr>
        <w:pStyle w:val="ListBullet"/>
        <w:spacing w:after="120" w:line="280" w:lineRule="auto"/>
      </w:pPr>
      <w:r>
        <w:rPr>
          <w:rFonts w:ascii="Calibri" w:hAnsi="Calibri"/>
          <w:color w:val="222A1A"/>
          <w:sz w:val="21"/>
        </w:rPr>
        <w:t>Usar fuentes oficiales españolas cuando el gesto depende del contexto local: MITECO, REE, IDAE, ACA y normativa BOE.</w:t>
      </w:r>
    </w:p>
    <w:p>
      <w:pPr>
        <w:pStyle w:val="ListBullet"/>
        <w:spacing w:after="120" w:line="280" w:lineRule="auto"/>
      </w:pPr>
      <w:r>
        <w:rPr>
          <w:rFonts w:ascii="Calibri" w:hAnsi="Calibri"/>
          <w:color w:val="222A1A"/>
          <w:sz w:val="21"/>
        </w:rPr>
        <w:t>Usar fuentes internacionales reconocidas cuando el gesto pertenece a cadenas de valor, vuelos o alimentación: GHG Protocol, ICAO, FAO y WRAP.</w:t>
      </w:r>
    </w:p>
    <w:p>
      <w:pPr>
        <w:pStyle w:val="ListBullet"/>
        <w:spacing w:after="120" w:line="280" w:lineRule="auto"/>
      </w:pPr>
      <w:r>
        <w:rPr>
          <w:rFonts w:ascii="Calibri" w:hAnsi="Calibri"/>
          <w:color w:val="222A1A"/>
          <w:sz w:val="21"/>
        </w:rPr>
        <w:t>Marcar los supuestos AHC como estimación hasta revisión técnica, aunque sean útiles para priorizar y educar.</w:t>
      </w:r>
    </w:p>
    <w:p>
      <w:pPr>
        <w:pStyle w:val="ListBullet"/>
        <w:spacing w:after="120" w:line="280" w:lineRule="auto"/>
      </w:pPr>
      <w:r>
        <w:rPr>
          <w:rFonts w:ascii="Calibri" w:hAnsi="Calibri"/>
          <w:color w:val="222A1A"/>
          <w:sz w:val="21"/>
        </w:rPr>
        <w:t>Evitar sumar impactos indirectos financieros o comunitarios con CO2 directo salvo que exista una fórmula y un factor validado.</w:t>
      </w:r>
    </w:p>
    <w:p>
      <w:pPr>
        <w:pStyle w:val="Heading1"/>
        <w:keepNext/>
      </w:pPr>
      <w:r>
        <w:rPr>
          <w:rFonts w:ascii="Calibri" w:hAnsi="Calibri"/>
          <w:color w:val="4F9447"/>
        </w:rPr>
        <w:t>2. Alcance y límites</w:t>
      </w:r>
    </w:p>
    <w:p>
      <w:pPr>
        <w:spacing w:before="0" w:after="120" w:line="264" w:lineRule="auto"/>
      </w:pPr>
      <w:r>
        <w:rPr>
          <w:rFonts w:ascii="Calibri" w:hAnsi="Calibri"/>
          <w:b w:val="0"/>
          <w:i w:val="0"/>
          <w:color w:val="222A1A"/>
          <w:sz w:val="22"/>
        </w:rPr>
        <w:t>El alcance cubierto es el catálogo de 50 EcoGestos del MVP, la lógica de cálculo implementada, la matriz de validación y el discurso técnico para defenderlo. Quedan fuera la certificación externa, una auditoría ACV completa por EcoGesto, la conexión a mediciones reales de consumo y cualquier inscripción formal en registros oficiales de huella.</w:t>
      </w:r>
    </w:p>
    <w:tbl>
      <w:tblGrid>
        <w:gridCol w:w="4680"/>
        <w:gridCol w:w="468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4680"/>
            <w:tcMar>
              <w:top w:w="80" w:type="dxa"/>
              <w:bottom w:w="80" w:type="dxa"/>
              <w:left w:w="120" w:type="dxa"/>
              <w:right w:w="120" w:type="dxa"/>
            </w:tcMar>
            <w:vAlign w:val="center"/>
            <w:shd w:fill="F2F4F7"/>
          </w:tcPr>
          <w:p>
            <w:pPr>
              <w:spacing w:after="0"/>
            </w:pPr>
            <w:r/>
            <w:r>
              <w:rPr>
                <w:rFonts w:ascii="Calibri" w:hAnsi="Calibri"/>
                <w:b/>
                <w:color w:val="222A1A"/>
                <w:sz w:val="18"/>
              </w:rPr>
              <w:t>Dentro del MVP</w:t>
            </w:r>
          </w:p>
        </w:tc>
        <w:tc>
          <w:tcPr>
            <w:tcW w:type="dxa" w:w="4680"/>
            <w:tcMar>
              <w:top w:w="80" w:type="dxa"/>
              <w:bottom w:w="80" w:type="dxa"/>
              <w:left w:w="120" w:type="dxa"/>
              <w:right w:w="120" w:type="dxa"/>
            </w:tcMar>
            <w:vAlign w:val="center"/>
            <w:shd w:fill="F2F4F7"/>
          </w:tcPr>
          <w:p>
            <w:pPr>
              <w:spacing w:after="0"/>
            </w:pPr>
            <w:r/>
            <w:r>
              <w:rPr>
                <w:rFonts w:ascii="Calibri" w:hAnsi="Calibri"/>
                <w:b/>
                <w:color w:val="222A1A"/>
                <w:sz w:val="18"/>
              </w:rPr>
              <w:t>Fuera del MVP</w:t>
            </w:r>
          </w:p>
        </w:tc>
      </w:tr>
      <w:tr>
        <w:trPr>
          <w:cantSplit/>
        </w:trPr>
        <w:tc>
          <w:tcPr>
            <w:tcW w:type="dxa" w:w="4680"/>
            <w:tcMar>
              <w:top w:w="80" w:type="dxa"/>
              <w:bottom w:w="80" w:type="dxa"/>
              <w:left w:w="120" w:type="dxa"/>
              <w:right w:w="120" w:type="dxa"/>
            </w:tcMar>
            <w:vAlign w:val="center"/>
          </w:tcPr>
          <w:p>
            <w:pPr>
              <w:spacing w:before="0" w:after="0" w:line="252" w:lineRule="auto"/>
            </w:pPr>
            <w:r/>
            <w:r>
              <w:rPr>
                <w:rFonts w:ascii="Calibri" w:hAnsi="Calibri"/>
                <w:color w:val="222A1A"/>
                <w:sz w:val="18"/>
              </w:rPr>
              <w:t>Estimaciones de impacto por EcoGesto con fuente y confianza.</w:t>
            </w:r>
          </w:p>
        </w:tc>
        <w:tc>
          <w:tcPr>
            <w:tcW w:type="dxa" w:w="4680"/>
            <w:tcMar>
              <w:top w:w="80" w:type="dxa"/>
              <w:bottom w:w="80" w:type="dxa"/>
              <w:left w:w="120" w:type="dxa"/>
              <w:right w:w="120" w:type="dxa"/>
            </w:tcMar>
            <w:vAlign w:val="center"/>
          </w:tcPr>
          <w:p>
            <w:pPr>
              <w:spacing w:before="0" w:after="0" w:line="252" w:lineRule="auto"/>
            </w:pPr>
            <w:r/>
            <w:r>
              <w:rPr>
                <w:rFonts w:ascii="Calibri" w:hAnsi="Calibri"/>
                <w:color w:val="222A1A"/>
                <w:sz w:val="18"/>
              </w:rPr>
              <w:t>Certificación externa de huella de carbono.</w:t>
            </w:r>
          </w:p>
        </w:tc>
      </w:tr>
      <w:tr>
        <w:trPr>
          <w:cantSplit/>
        </w:trPr>
        <w:tc>
          <w:tcPr>
            <w:tcW w:type="dxa" w:w="4680"/>
            <w:tcMar>
              <w:top w:w="80" w:type="dxa"/>
              <w:bottom w:w="80" w:type="dxa"/>
              <w:left w:w="120" w:type="dxa"/>
              <w:right w:w="120" w:type="dxa"/>
            </w:tcMar>
            <w:vAlign w:val="center"/>
          </w:tcPr>
          <w:p>
            <w:pPr>
              <w:spacing w:before="0" w:after="0" w:line="252" w:lineRule="auto"/>
            </w:pPr>
            <w:r/>
            <w:r>
              <w:rPr>
                <w:rFonts w:ascii="Calibri" w:hAnsi="Calibri"/>
                <w:color w:val="222A1A"/>
                <w:sz w:val="18"/>
              </w:rPr>
              <w:t>Separación de CO2e, agua, plástico y euros.</w:t>
            </w:r>
          </w:p>
        </w:tc>
        <w:tc>
          <w:tcPr>
            <w:tcW w:type="dxa" w:w="4680"/>
            <w:tcMar>
              <w:top w:w="80" w:type="dxa"/>
              <w:bottom w:w="80" w:type="dxa"/>
              <w:left w:w="120" w:type="dxa"/>
              <w:right w:w="120" w:type="dxa"/>
            </w:tcMar>
            <w:vAlign w:val="center"/>
          </w:tcPr>
          <w:p>
            <w:pPr>
              <w:spacing w:before="0" w:after="0" w:line="252" w:lineRule="auto"/>
            </w:pPr>
            <w:r/>
            <w:r>
              <w:rPr>
                <w:rFonts w:ascii="Calibri" w:hAnsi="Calibri"/>
                <w:color w:val="222A1A"/>
                <w:sz w:val="18"/>
              </w:rPr>
              <w:t>ACV completo de cada producto o servicio sustituido.</w:t>
            </w:r>
          </w:p>
        </w:tc>
      </w:tr>
      <w:tr>
        <w:trPr>
          <w:cantSplit/>
        </w:trPr>
        <w:tc>
          <w:tcPr>
            <w:tcW w:type="dxa" w:w="4680"/>
            <w:tcMar>
              <w:top w:w="80" w:type="dxa"/>
              <w:bottom w:w="80" w:type="dxa"/>
              <w:left w:w="120" w:type="dxa"/>
              <w:right w:w="120" w:type="dxa"/>
            </w:tcMar>
            <w:vAlign w:val="center"/>
          </w:tcPr>
          <w:p>
            <w:pPr>
              <w:spacing w:before="0" w:after="0" w:line="252" w:lineRule="auto"/>
            </w:pPr>
            <w:r/>
            <w:r>
              <w:rPr>
                <w:rFonts w:ascii="Calibri" w:hAnsi="Calibri"/>
                <w:color w:val="222A1A"/>
                <w:sz w:val="18"/>
              </w:rPr>
              <w:t>Fórmula visible y snapshot del factor usado en resultados.</w:t>
            </w:r>
          </w:p>
        </w:tc>
        <w:tc>
          <w:tcPr>
            <w:tcW w:type="dxa" w:w="4680"/>
            <w:tcMar>
              <w:top w:w="80" w:type="dxa"/>
              <w:bottom w:w="80" w:type="dxa"/>
              <w:left w:w="120" w:type="dxa"/>
              <w:right w:w="120" w:type="dxa"/>
            </w:tcMar>
            <w:vAlign w:val="center"/>
          </w:tcPr>
          <w:p>
            <w:pPr>
              <w:spacing w:before="0" w:after="0" w:line="252" w:lineRule="auto"/>
            </w:pPr>
            <w:r/>
            <w:r>
              <w:rPr>
                <w:rFonts w:ascii="Calibri" w:hAnsi="Calibri"/>
                <w:color w:val="222A1A"/>
                <w:sz w:val="18"/>
              </w:rPr>
              <w:t>Medición real automática de consumo de cada persona.</w:t>
            </w:r>
          </w:p>
        </w:tc>
      </w:tr>
      <w:tr>
        <w:trPr>
          <w:cantSplit/>
        </w:trPr>
        <w:tc>
          <w:tcPr>
            <w:tcW w:type="dxa" w:w="4680"/>
            <w:tcMar>
              <w:top w:w="80" w:type="dxa"/>
              <w:bottom w:w="80" w:type="dxa"/>
              <w:left w:w="120" w:type="dxa"/>
              <w:right w:w="120" w:type="dxa"/>
            </w:tcMar>
            <w:vAlign w:val="center"/>
          </w:tcPr>
          <w:p>
            <w:pPr>
              <w:spacing w:before="0" w:after="0" w:line="252" w:lineRule="auto"/>
            </w:pPr>
            <w:r/>
            <w:r>
              <w:rPr>
                <w:rFonts w:ascii="Calibri" w:hAnsi="Calibri"/>
                <w:color w:val="222A1A"/>
                <w:sz w:val="18"/>
              </w:rPr>
              <w:t>Matriz de prioridades para revisión profesional.</w:t>
            </w:r>
          </w:p>
        </w:tc>
        <w:tc>
          <w:tcPr>
            <w:tcW w:type="dxa" w:w="4680"/>
            <w:tcMar>
              <w:top w:w="80" w:type="dxa"/>
              <w:bottom w:w="80" w:type="dxa"/>
              <w:left w:w="120" w:type="dxa"/>
              <w:right w:w="120" w:type="dxa"/>
            </w:tcMar>
            <w:vAlign w:val="center"/>
          </w:tcPr>
          <w:p>
            <w:pPr>
              <w:spacing w:before="0" w:after="0" w:line="252" w:lineRule="auto"/>
            </w:pPr>
            <w:r/>
            <w:r>
              <w:rPr>
                <w:rFonts w:ascii="Calibri" w:hAnsi="Calibri"/>
                <w:color w:val="222A1A"/>
                <w:sz w:val="18"/>
              </w:rPr>
              <w:t>Validación legal o científica emitida por tercero independiente.</w:t>
            </w:r>
          </w:p>
        </w:tc>
      </w:tr>
    </w:tbl>
    <w:p>
      <w:pPr>
        <w:spacing w:after="80"/>
      </w:pPr>
    </w:p>
    <w:p>
      <w:pPr>
        <w:pStyle w:val="Heading1"/>
        <w:keepNext/>
      </w:pPr>
      <w:r>
        <w:rPr>
          <w:rFonts w:ascii="Calibri" w:hAnsi="Calibri"/>
          <w:color w:val="4F9447"/>
        </w:rPr>
        <w:t>3. Arquitectura de cálculo</w:t>
      </w:r>
    </w:p>
    <w:p>
      <w:pPr>
        <w:spacing w:before="0" w:after="120" w:line="264" w:lineRule="auto"/>
      </w:pPr>
      <w:r>
        <w:rPr>
          <w:rFonts w:ascii="Calibri" w:hAnsi="Calibri"/>
          <w:b w:val="0"/>
          <w:i w:val="0"/>
          <w:color w:val="222A1A"/>
          <w:sz w:val="22"/>
        </w:rPr>
        <w:t>La lógica operativa implementada en el paquete compartido del MVP sigue una estructura simple y auditable. Primero extrae o recibe un impacto base anual. Después infiere la métrica principal del texto o campos estructurados: CO2e, agua, plástico, euros, mixto, indirecto o pendiente. Por último escala ese valor por el porcentaje de aplicación y la frecuencia declarada.</w:t>
      </w:r>
    </w:p>
    <w:p>
      <w:pPr>
        <w:spacing w:before="80" w:after="160" w:line="264" w:lineRule="auto"/>
        <w:ind w:left="120" w:right="120"/>
        <w:shd w:fill="F8FBF7"/>
      </w:pPr>
      <w:r>
        <w:rPr>
          <w:rFonts w:ascii="Calibri" w:hAnsi="Calibri"/>
          <w:b/>
          <w:color w:val="4F9447"/>
          <w:sz w:val="21"/>
        </w:rPr>
        <w:t xml:space="preserve">Fórmula visible: </w:t>
      </w:r>
      <w:r>
        <w:rPr>
          <w:rFonts w:ascii="Calibri" w:hAnsi="Calibri"/>
          <w:color w:val="222A1A"/>
          <w:sz w:val="21"/>
        </w:rPr>
        <w:t>impacto_anual = impacto_base_anual x porcentaje_aplicacion x multiplicador_frecuencia</w:t>
      </w:r>
    </w:p>
    <w:tbl>
      <w:tblGrid>
        <w:gridCol w:w="1150"/>
        <w:gridCol w:w="3900"/>
        <w:gridCol w:w="431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1150"/>
            <w:tcMar>
              <w:top w:w="80" w:type="dxa"/>
              <w:bottom w:w="80" w:type="dxa"/>
              <w:left w:w="120" w:type="dxa"/>
              <w:right w:w="120" w:type="dxa"/>
            </w:tcMar>
            <w:vAlign w:val="center"/>
            <w:shd w:fill="EAF3E8"/>
          </w:tcPr>
          <w:p>
            <w:pPr>
              <w:spacing w:after="0"/>
            </w:pPr>
            <w:r/>
            <w:r>
              <w:rPr>
                <w:rFonts w:ascii="Calibri" w:hAnsi="Calibri"/>
                <w:b/>
                <w:color w:val="222A1A"/>
                <w:sz w:val="18"/>
              </w:rPr>
              <w:t>Paso</w:t>
            </w:r>
          </w:p>
        </w:tc>
        <w:tc>
          <w:tcPr>
            <w:tcW w:type="dxa" w:w="3900"/>
            <w:tcMar>
              <w:top w:w="80" w:type="dxa"/>
              <w:bottom w:w="80" w:type="dxa"/>
              <w:left w:w="120" w:type="dxa"/>
              <w:right w:w="120" w:type="dxa"/>
            </w:tcMar>
            <w:vAlign w:val="center"/>
            <w:shd w:fill="EAF3E8"/>
          </w:tcPr>
          <w:p>
            <w:pPr>
              <w:spacing w:after="0"/>
            </w:pPr>
            <w:r/>
            <w:r>
              <w:rPr>
                <w:rFonts w:ascii="Calibri" w:hAnsi="Calibri"/>
                <w:b/>
                <w:color w:val="222A1A"/>
                <w:sz w:val="18"/>
              </w:rPr>
              <w:t>Qué hace</w:t>
            </w:r>
          </w:p>
        </w:tc>
        <w:tc>
          <w:tcPr>
            <w:tcW w:type="dxa" w:w="4310"/>
            <w:tcMar>
              <w:top w:w="80" w:type="dxa"/>
              <w:bottom w:w="80" w:type="dxa"/>
              <w:left w:w="120" w:type="dxa"/>
              <w:right w:w="120" w:type="dxa"/>
            </w:tcMar>
            <w:vAlign w:val="center"/>
            <w:shd w:fill="EAF3E8"/>
          </w:tcPr>
          <w:p>
            <w:pPr>
              <w:spacing w:after="0"/>
            </w:pPr>
            <w:r/>
            <w:r>
              <w:rPr>
                <w:rFonts w:ascii="Calibri" w:hAnsi="Calibri"/>
                <w:b/>
                <w:color w:val="222A1A"/>
                <w:sz w:val="18"/>
              </w:rPr>
              <w:t>Por qué es defendible</w:t>
            </w:r>
          </w:p>
        </w:tc>
      </w:tr>
      <w:tr>
        <w:trPr>
          <w:cantSplit/>
        </w:trPr>
        <w:tc>
          <w:tcPr>
            <w:tcW w:type="dxa" w:w="115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1. Valor base</w:t>
            </w:r>
          </w:p>
        </w:tc>
        <w:tc>
          <w:tcPr>
            <w:tcW w:type="dxa" w:w="3900"/>
            <w:tcMar>
              <w:top w:w="80" w:type="dxa"/>
              <w:bottom w:w="80" w:type="dxa"/>
              <w:left w:w="120" w:type="dxa"/>
              <w:right w:w="120" w:type="dxa"/>
            </w:tcMar>
            <w:vAlign w:val="center"/>
          </w:tcPr>
          <w:p>
            <w:pPr>
              <w:spacing w:before="0" w:after="0" w:line="252" w:lineRule="auto"/>
            </w:pPr>
            <w:r/>
            <w:r>
              <w:rPr>
                <w:rFonts w:ascii="Calibri" w:hAnsi="Calibri"/>
                <w:color w:val="222A1A"/>
                <w:sz w:val="18"/>
              </w:rPr>
              <w:t>Extrae un número o rango del impacto estimado y usa el punto medio.</w:t>
            </w:r>
          </w:p>
        </w:tc>
        <w:tc>
          <w:tcPr>
            <w:tcW w:type="dxa" w:w="4310"/>
            <w:tcMar>
              <w:top w:w="80" w:type="dxa"/>
              <w:bottom w:w="80" w:type="dxa"/>
              <w:left w:w="120" w:type="dxa"/>
              <w:right w:w="120" w:type="dxa"/>
            </w:tcMar>
            <w:vAlign w:val="center"/>
          </w:tcPr>
          <w:p>
            <w:pPr>
              <w:spacing w:before="0" w:after="0" w:line="252" w:lineRule="auto"/>
            </w:pPr>
            <w:r/>
            <w:r>
              <w:rPr>
                <w:rFonts w:ascii="Calibri" w:hAnsi="Calibri"/>
                <w:color w:val="222A1A"/>
                <w:sz w:val="18"/>
              </w:rPr>
              <w:t>Permite trabajar con rangos sin inventar precisión falsa.</w:t>
            </w:r>
          </w:p>
        </w:tc>
      </w:tr>
      <w:tr>
        <w:trPr>
          <w:cantSplit/>
        </w:trPr>
        <w:tc>
          <w:tcPr>
            <w:tcW w:type="dxa" w:w="115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2. Métrica</w:t>
            </w:r>
          </w:p>
        </w:tc>
        <w:tc>
          <w:tcPr>
            <w:tcW w:type="dxa" w:w="3900"/>
            <w:tcMar>
              <w:top w:w="80" w:type="dxa"/>
              <w:bottom w:w="80" w:type="dxa"/>
              <w:left w:w="120" w:type="dxa"/>
              <w:right w:w="120" w:type="dxa"/>
            </w:tcMar>
            <w:vAlign w:val="center"/>
          </w:tcPr>
          <w:p>
            <w:pPr>
              <w:spacing w:before="0" w:after="0" w:line="252" w:lineRule="auto"/>
            </w:pPr>
            <w:r/>
            <w:r>
              <w:rPr>
                <w:rFonts w:ascii="Calibri" w:hAnsi="Calibri"/>
                <w:color w:val="222A1A"/>
                <w:sz w:val="18"/>
              </w:rPr>
              <w:t>Clasifica CO2e, agua, plástico, euros, mixto, indirecto o pendiente.</w:t>
            </w:r>
          </w:p>
        </w:tc>
        <w:tc>
          <w:tcPr>
            <w:tcW w:type="dxa" w:w="4310"/>
            <w:tcMar>
              <w:top w:w="80" w:type="dxa"/>
              <w:bottom w:w="80" w:type="dxa"/>
              <w:left w:w="120" w:type="dxa"/>
              <w:right w:w="120" w:type="dxa"/>
            </w:tcMar>
            <w:vAlign w:val="center"/>
          </w:tcPr>
          <w:p>
            <w:pPr>
              <w:spacing w:before="0" w:after="0" w:line="252" w:lineRule="auto"/>
            </w:pPr>
            <w:r/>
            <w:r>
              <w:rPr>
                <w:rFonts w:ascii="Calibri" w:hAnsi="Calibri"/>
                <w:color w:val="222A1A"/>
                <w:sz w:val="18"/>
              </w:rPr>
              <w:t>Evita sumar unidades incompatibles.</w:t>
            </w:r>
          </w:p>
        </w:tc>
      </w:tr>
      <w:tr>
        <w:trPr>
          <w:cantSplit/>
        </w:trPr>
        <w:tc>
          <w:tcPr>
            <w:tcW w:type="dxa" w:w="115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3. Confianza</w:t>
            </w:r>
          </w:p>
        </w:tc>
        <w:tc>
          <w:tcPr>
            <w:tcW w:type="dxa" w:w="3900"/>
            <w:tcMar>
              <w:top w:w="80" w:type="dxa"/>
              <w:bottom w:w="80" w:type="dxa"/>
              <w:left w:w="120" w:type="dxa"/>
              <w:right w:w="120" w:type="dxa"/>
            </w:tcMar>
            <w:vAlign w:val="center"/>
          </w:tcPr>
          <w:p>
            <w:pPr>
              <w:spacing w:before="0" w:after="0" w:line="252" w:lineRule="auto"/>
            </w:pPr>
            <w:r/>
            <w:r>
              <w:rPr>
                <w:rFonts w:ascii="Calibri" w:hAnsi="Calibri"/>
                <w:color w:val="222A1A"/>
                <w:sz w:val="18"/>
              </w:rPr>
              <w:t>Evalúa la fuente: oficial/técnica, literatura, AHC o indirecta.</w:t>
            </w:r>
          </w:p>
        </w:tc>
        <w:tc>
          <w:tcPr>
            <w:tcW w:type="dxa" w:w="4310"/>
            <w:tcMar>
              <w:top w:w="80" w:type="dxa"/>
              <w:bottom w:w="80" w:type="dxa"/>
              <w:left w:w="120" w:type="dxa"/>
              <w:right w:w="120" w:type="dxa"/>
            </w:tcMar>
            <w:vAlign w:val="center"/>
          </w:tcPr>
          <w:p>
            <w:pPr>
              <w:spacing w:before="0" w:after="0" w:line="252" w:lineRule="auto"/>
            </w:pPr>
            <w:r/>
            <w:r>
              <w:rPr>
                <w:rFonts w:ascii="Calibri" w:hAnsi="Calibri"/>
                <w:color w:val="222A1A"/>
                <w:sz w:val="18"/>
              </w:rPr>
              <w:t>Comunica incertidumbre de forma visible.</w:t>
            </w:r>
          </w:p>
        </w:tc>
      </w:tr>
      <w:tr>
        <w:trPr>
          <w:cantSplit/>
        </w:trPr>
        <w:tc>
          <w:tcPr>
            <w:tcW w:type="dxa" w:w="115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4. Escalado</w:t>
            </w:r>
          </w:p>
        </w:tc>
        <w:tc>
          <w:tcPr>
            <w:tcW w:type="dxa" w:w="3900"/>
            <w:tcMar>
              <w:top w:w="80" w:type="dxa"/>
              <w:bottom w:w="80" w:type="dxa"/>
              <w:left w:w="120" w:type="dxa"/>
              <w:right w:w="120" w:type="dxa"/>
            </w:tcMar>
            <w:vAlign w:val="center"/>
          </w:tcPr>
          <w:p>
            <w:pPr>
              <w:spacing w:before="0" w:after="0" w:line="252" w:lineRule="auto"/>
            </w:pPr>
            <w:r/>
            <w:r>
              <w:rPr>
                <w:rFonts w:ascii="Calibri" w:hAnsi="Calibri"/>
                <w:color w:val="222A1A"/>
                <w:sz w:val="18"/>
              </w:rPr>
              <w:t>Aplica porcentaje y frecuencia del plan personal.</w:t>
            </w:r>
          </w:p>
        </w:tc>
        <w:tc>
          <w:tcPr>
            <w:tcW w:type="dxa" w:w="4310"/>
            <w:tcMar>
              <w:top w:w="80" w:type="dxa"/>
              <w:bottom w:w="80" w:type="dxa"/>
              <w:left w:w="120" w:type="dxa"/>
              <w:right w:w="120" w:type="dxa"/>
            </w:tcMar>
            <w:vAlign w:val="center"/>
          </w:tcPr>
          <w:p>
            <w:pPr>
              <w:spacing w:before="0" w:after="0" w:line="252" w:lineRule="auto"/>
            </w:pPr>
            <w:r/>
            <w:r>
              <w:rPr>
                <w:rFonts w:ascii="Calibri" w:hAnsi="Calibri"/>
                <w:color w:val="222A1A"/>
                <w:sz w:val="18"/>
              </w:rPr>
              <w:t>Adapta el cálculo a la ejecución real de la persona.</w:t>
            </w:r>
          </w:p>
        </w:tc>
      </w:tr>
      <w:tr>
        <w:trPr>
          <w:cantSplit/>
        </w:trPr>
        <w:tc>
          <w:tcPr>
            <w:tcW w:type="dxa" w:w="115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5. Snapshot</w:t>
            </w:r>
          </w:p>
        </w:tc>
        <w:tc>
          <w:tcPr>
            <w:tcW w:type="dxa" w:w="3900"/>
            <w:tcMar>
              <w:top w:w="80" w:type="dxa"/>
              <w:bottom w:w="80" w:type="dxa"/>
              <w:left w:w="120" w:type="dxa"/>
              <w:right w:w="120" w:type="dxa"/>
            </w:tcMar>
            <w:vAlign w:val="center"/>
          </w:tcPr>
          <w:p>
            <w:pPr>
              <w:spacing w:before="0" w:after="0" w:line="252" w:lineRule="auto"/>
            </w:pPr>
            <w:r/>
            <w:r>
              <w:rPr>
                <w:rFonts w:ascii="Calibri" w:hAnsi="Calibri"/>
                <w:color w:val="222A1A"/>
                <w:sz w:val="18"/>
              </w:rPr>
              <w:t>Guarda factor y fórmula usados en el resultado.</w:t>
            </w:r>
          </w:p>
        </w:tc>
        <w:tc>
          <w:tcPr>
            <w:tcW w:type="dxa" w:w="4310"/>
            <w:tcMar>
              <w:top w:w="80" w:type="dxa"/>
              <w:bottom w:w="80" w:type="dxa"/>
              <w:left w:w="120" w:type="dxa"/>
              <w:right w:w="120" w:type="dxa"/>
            </w:tcMar>
            <w:vAlign w:val="center"/>
          </w:tcPr>
          <w:p>
            <w:pPr>
              <w:spacing w:before="0" w:after="0" w:line="252" w:lineRule="auto"/>
            </w:pPr>
            <w:r/>
            <w:r>
              <w:rPr>
                <w:rFonts w:ascii="Calibri" w:hAnsi="Calibri"/>
                <w:color w:val="222A1A"/>
                <w:sz w:val="18"/>
              </w:rPr>
              <w:t>El histórico no cambia si la ficha se edita después.</w:t>
            </w:r>
          </w:p>
        </w:tc>
      </w:tr>
    </w:tbl>
    <w:p>
      <w:pPr>
        <w:spacing w:after="80"/>
      </w:pPr>
    </w:p>
    <w:p>
      <w:pPr>
        <w:pStyle w:val="Heading2"/>
        <w:keepNext/>
      </w:pPr>
      <w:r>
        <w:rPr>
          <w:rFonts w:ascii="Calibri" w:hAnsi="Calibri"/>
          <w:color w:val="4F9447"/>
        </w:rPr>
        <w:t>Multiplicadores de frecuencia</w:t>
      </w:r>
    </w:p>
    <w:tbl>
      <w:tblGrid>
        <w:gridCol w:w="2500"/>
        <w:gridCol w:w="1800"/>
        <w:gridCol w:w="506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2500"/>
            <w:tcMar>
              <w:top w:w="80" w:type="dxa"/>
              <w:bottom w:w="80" w:type="dxa"/>
              <w:left w:w="120" w:type="dxa"/>
              <w:right w:w="120" w:type="dxa"/>
            </w:tcMar>
            <w:vAlign w:val="center"/>
            <w:shd w:fill="F2F4F7"/>
          </w:tcPr>
          <w:p>
            <w:pPr>
              <w:spacing w:after="0"/>
            </w:pPr>
            <w:r/>
            <w:r>
              <w:rPr>
                <w:rFonts w:ascii="Calibri" w:hAnsi="Calibri"/>
                <w:b/>
                <w:color w:val="222A1A"/>
                <w:sz w:val="18"/>
              </w:rPr>
              <w:t>Frecuencia</w:t>
            </w:r>
          </w:p>
        </w:tc>
        <w:tc>
          <w:tcPr>
            <w:tcW w:type="dxa" w:w="1800"/>
            <w:tcMar>
              <w:top w:w="80" w:type="dxa"/>
              <w:bottom w:w="80" w:type="dxa"/>
              <w:left w:w="120" w:type="dxa"/>
              <w:right w:w="120" w:type="dxa"/>
            </w:tcMar>
            <w:vAlign w:val="center"/>
            <w:shd w:fill="F2F4F7"/>
          </w:tcPr>
          <w:p>
            <w:pPr>
              <w:spacing w:after="0"/>
            </w:pPr>
            <w:r/>
            <w:r>
              <w:rPr>
                <w:rFonts w:ascii="Calibri" w:hAnsi="Calibri"/>
                <w:b/>
                <w:color w:val="222A1A"/>
                <w:sz w:val="18"/>
              </w:rPr>
              <w:t>Multiplicador</w:t>
            </w:r>
          </w:p>
        </w:tc>
        <w:tc>
          <w:tcPr>
            <w:tcW w:type="dxa" w:w="5060"/>
            <w:tcMar>
              <w:top w:w="80" w:type="dxa"/>
              <w:bottom w:w="80" w:type="dxa"/>
              <w:left w:w="120" w:type="dxa"/>
              <w:right w:w="120" w:type="dxa"/>
            </w:tcMar>
            <w:vAlign w:val="center"/>
            <w:shd w:fill="F2F4F7"/>
          </w:tcPr>
          <w:p>
            <w:pPr>
              <w:spacing w:after="0"/>
            </w:pPr>
            <w:r/>
            <w:r>
              <w:rPr>
                <w:rFonts w:ascii="Calibri" w:hAnsi="Calibri"/>
                <w:b/>
                <w:color w:val="222A1A"/>
                <w:sz w:val="18"/>
              </w:rPr>
              <w:t>Uso previsto</w:t>
            </w:r>
          </w:p>
        </w:tc>
      </w:tr>
      <w:tr>
        <w:trPr>
          <w:cantSplit/>
        </w:trPr>
        <w:tc>
          <w:tcPr>
            <w:tcW w:type="dxa" w:w="250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Única</w:t>
            </w:r>
          </w:p>
        </w:tc>
        <w:tc>
          <w:tcPr>
            <w:tcW w:type="dxa" w:w="1800"/>
            <w:tcMar>
              <w:top w:w="80" w:type="dxa"/>
              <w:bottom w:w="80" w:type="dxa"/>
              <w:left w:w="120" w:type="dxa"/>
              <w:right w:w="120" w:type="dxa"/>
            </w:tcMar>
            <w:vAlign w:val="center"/>
          </w:tcPr>
          <w:p>
            <w:pPr>
              <w:spacing w:before="0" w:after="0" w:line="252" w:lineRule="auto"/>
            </w:pPr>
            <w:r/>
            <w:r>
              <w:rPr>
                <w:rFonts w:ascii="Calibri" w:hAnsi="Calibri"/>
                <w:color w:val="222A1A"/>
                <w:sz w:val="18"/>
              </w:rPr>
              <w:t>0,25</w:t>
            </w:r>
          </w:p>
        </w:tc>
        <w:tc>
          <w:tcPr>
            <w:tcW w:type="dxa" w:w="5060"/>
            <w:tcMar>
              <w:top w:w="80" w:type="dxa"/>
              <w:bottom w:w="80" w:type="dxa"/>
              <w:left w:w="120" w:type="dxa"/>
              <w:right w:w="120" w:type="dxa"/>
            </w:tcMar>
            <w:vAlign w:val="center"/>
          </w:tcPr>
          <w:p>
            <w:pPr>
              <w:spacing w:before="0" w:after="0" w:line="252" w:lineRule="auto"/>
            </w:pPr>
            <w:r/>
            <w:r>
              <w:rPr>
                <w:rFonts w:ascii="Calibri" w:hAnsi="Calibri"/>
                <w:color w:val="222A1A"/>
                <w:sz w:val="18"/>
              </w:rPr>
              <w:t>Acciones puntuales con efecto anual parcial.</w:t>
            </w:r>
          </w:p>
        </w:tc>
      </w:tr>
      <w:tr>
        <w:trPr>
          <w:cantSplit/>
        </w:trPr>
        <w:tc>
          <w:tcPr>
            <w:tcW w:type="dxa" w:w="250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Diaria</w:t>
            </w:r>
          </w:p>
        </w:tc>
        <w:tc>
          <w:tcPr>
            <w:tcW w:type="dxa" w:w="1800"/>
            <w:tcMar>
              <w:top w:w="80" w:type="dxa"/>
              <w:bottom w:w="80" w:type="dxa"/>
              <w:left w:w="120" w:type="dxa"/>
              <w:right w:w="120" w:type="dxa"/>
            </w:tcMar>
            <w:vAlign w:val="center"/>
          </w:tcPr>
          <w:p>
            <w:pPr>
              <w:spacing w:before="0" w:after="0" w:line="252" w:lineRule="auto"/>
            </w:pPr>
            <w:r/>
            <w:r>
              <w:rPr>
                <w:rFonts w:ascii="Calibri" w:hAnsi="Calibri"/>
                <w:color w:val="222A1A"/>
                <w:sz w:val="18"/>
              </w:rPr>
              <w:t>1,25</w:t>
            </w:r>
          </w:p>
        </w:tc>
        <w:tc>
          <w:tcPr>
            <w:tcW w:type="dxa" w:w="5060"/>
            <w:tcMar>
              <w:top w:w="80" w:type="dxa"/>
              <w:bottom w:w="80" w:type="dxa"/>
              <w:left w:w="120" w:type="dxa"/>
              <w:right w:w="120" w:type="dxa"/>
            </w:tcMar>
            <w:vAlign w:val="center"/>
          </w:tcPr>
          <w:p>
            <w:pPr>
              <w:spacing w:before="0" w:after="0" w:line="252" w:lineRule="auto"/>
            </w:pPr>
            <w:r/>
            <w:r>
              <w:rPr>
                <w:rFonts w:ascii="Calibri" w:hAnsi="Calibri"/>
                <w:color w:val="222A1A"/>
                <w:sz w:val="18"/>
              </w:rPr>
              <w:t>Hábitos muy repetidos o con intensidad superior a semanal.</w:t>
            </w:r>
          </w:p>
        </w:tc>
      </w:tr>
      <w:tr>
        <w:trPr>
          <w:cantSplit/>
        </w:trPr>
        <w:tc>
          <w:tcPr>
            <w:tcW w:type="dxa" w:w="250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Semanal</w:t>
            </w:r>
          </w:p>
        </w:tc>
        <w:tc>
          <w:tcPr>
            <w:tcW w:type="dxa" w:w="1800"/>
            <w:tcMar>
              <w:top w:w="80" w:type="dxa"/>
              <w:bottom w:w="80" w:type="dxa"/>
              <w:left w:w="120" w:type="dxa"/>
              <w:right w:w="120" w:type="dxa"/>
            </w:tcMar>
            <w:vAlign w:val="center"/>
          </w:tcPr>
          <w:p>
            <w:pPr>
              <w:spacing w:before="0" w:after="0" w:line="252" w:lineRule="auto"/>
            </w:pPr>
            <w:r/>
            <w:r>
              <w:rPr>
                <w:rFonts w:ascii="Calibri" w:hAnsi="Calibri"/>
                <w:color w:val="222A1A"/>
                <w:sz w:val="18"/>
              </w:rPr>
              <w:t>1,00</w:t>
            </w:r>
          </w:p>
        </w:tc>
        <w:tc>
          <w:tcPr>
            <w:tcW w:type="dxa" w:w="5060"/>
            <w:tcMar>
              <w:top w:w="80" w:type="dxa"/>
              <w:bottom w:w="80" w:type="dxa"/>
              <w:left w:w="120" w:type="dxa"/>
              <w:right w:w="120" w:type="dxa"/>
            </w:tcMar>
            <w:vAlign w:val="center"/>
          </w:tcPr>
          <w:p>
            <w:pPr>
              <w:spacing w:before="0" w:after="0" w:line="252" w:lineRule="auto"/>
            </w:pPr>
            <w:r/>
            <w:r>
              <w:rPr>
                <w:rFonts w:ascii="Calibri" w:hAnsi="Calibri"/>
                <w:color w:val="222A1A"/>
                <w:sz w:val="18"/>
              </w:rPr>
              <w:t>Base estándar de comparación del MVP.</w:t>
            </w:r>
          </w:p>
        </w:tc>
      </w:tr>
      <w:tr>
        <w:trPr>
          <w:cantSplit/>
        </w:trPr>
        <w:tc>
          <w:tcPr>
            <w:tcW w:type="dxa" w:w="250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Mensual</w:t>
            </w:r>
          </w:p>
        </w:tc>
        <w:tc>
          <w:tcPr>
            <w:tcW w:type="dxa" w:w="1800"/>
            <w:tcMar>
              <w:top w:w="80" w:type="dxa"/>
              <w:bottom w:w="80" w:type="dxa"/>
              <w:left w:w="120" w:type="dxa"/>
              <w:right w:w="120" w:type="dxa"/>
            </w:tcMar>
            <w:vAlign w:val="center"/>
          </w:tcPr>
          <w:p>
            <w:pPr>
              <w:spacing w:before="0" w:after="0" w:line="252" w:lineRule="auto"/>
            </w:pPr>
            <w:r/>
            <w:r>
              <w:rPr>
                <w:rFonts w:ascii="Calibri" w:hAnsi="Calibri"/>
                <w:color w:val="222A1A"/>
                <w:sz w:val="18"/>
              </w:rPr>
              <w:t>0,50</w:t>
            </w:r>
          </w:p>
        </w:tc>
        <w:tc>
          <w:tcPr>
            <w:tcW w:type="dxa" w:w="5060"/>
            <w:tcMar>
              <w:top w:w="80" w:type="dxa"/>
              <w:bottom w:w="80" w:type="dxa"/>
              <w:left w:w="120" w:type="dxa"/>
              <w:right w:w="120" w:type="dxa"/>
            </w:tcMar>
            <w:vAlign w:val="center"/>
          </w:tcPr>
          <w:p>
            <w:pPr>
              <w:spacing w:before="0" w:after="0" w:line="252" w:lineRule="auto"/>
            </w:pPr>
            <w:r/>
            <w:r>
              <w:rPr>
                <w:rFonts w:ascii="Calibri" w:hAnsi="Calibri"/>
                <w:color w:val="222A1A"/>
                <w:sz w:val="18"/>
              </w:rPr>
              <w:t>Acciones recurrentes pero menos intensas.</w:t>
            </w:r>
          </w:p>
        </w:tc>
      </w:tr>
    </w:tbl>
    <w:p>
      <w:pPr>
        <w:spacing w:after="80"/>
      </w:pPr>
    </w:p>
    <w:p>
      <w:pPr>
        <w:pStyle w:val="Heading1"/>
        <w:keepNext/>
      </w:pPr>
      <w:r>
        <w:rPr>
          <w:rFonts w:ascii="Calibri" w:hAnsi="Calibri"/>
          <w:color w:val="4F9447"/>
        </w:rPr>
        <w:t>4. Jerarquía de fuentes</w:t>
      </w:r>
    </w:p>
    <w:p>
      <w:pPr>
        <w:spacing w:before="0" w:after="120" w:line="264" w:lineRule="auto"/>
      </w:pPr>
      <w:r>
        <w:rPr>
          <w:rFonts w:ascii="Calibri" w:hAnsi="Calibri"/>
          <w:b w:val="0"/>
          <w:i w:val="0"/>
          <w:color w:val="222A1A"/>
          <w:sz w:val="22"/>
        </w:rPr>
        <w:t>La defensa científica del MVP no depende de una sola fuente, sino de una jerarquía. En España, los factores de electricidad, movilidad y energía deben apoyarse primero en organismos oficiales. Para categorías con alta variabilidad, como alimentación o cadena de valor, conviene usar literatura y guías internacionales y mantener rangos.</w:t>
      </w:r>
    </w:p>
    <w:tbl>
      <w:tblGrid>
        <w:gridCol w:w="900"/>
        <w:gridCol w:w="3300"/>
        <w:gridCol w:w="2920"/>
        <w:gridCol w:w="224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900"/>
            <w:tcMar>
              <w:top w:w="80" w:type="dxa"/>
              <w:bottom w:w="80" w:type="dxa"/>
              <w:left w:w="120" w:type="dxa"/>
              <w:right w:w="120" w:type="dxa"/>
            </w:tcMar>
            <w:vAlign w:val="center"/>
            <w:shd w:fill="EAF3E8"/>
          </w:tcPr>
          <w:p>
            <w:pPr>
              <w:spacing w:after="0"/>
            </w:pPr>
            <w:r/>
            <w:r>
              <w:rPr>
                <w:rFonts w:ascii="Calibri" w:hAnsi="Calibri"/>
                <w:b/>
                <w:color w:val="222A1A"/>
                <w:sz w:val="17"/>
              </w:rPr>
              <w:t>Nivel</w:t>
            </w:r>
          </w:p>
        </w:tc>
        <w:tc>
          <w:tcPr>
            <w:tcW w:type="dxa" w:w="3300"/>
            <w:tcMar>
              <w:top w:w="80" w:type="dxa"/>
              <w:bottom w:w="80" w:type="dxa"/>
              <w:left w:w="120" w:type="dxa"/>
              <w:right w:w="120" w:type="dxa"/>
            </w:tcMar>
            <w:vAlign w:val="center"/>
            <w:shd w:fill="EAF3E8"/>
          </w:tcPr>
          <w:p>
            <w:pPr>
              <w:spacing w:after="0"/>
            </w:pPr>
            <w:r/>
            <w:r>
              <w:rPr>
                <w:rFonts w:ascii="Calibri" w:hAnsi="Calibri"/>
                <w:b/>
                <w:color w:val="222A1A"/>
                <w:sz w:val="17"/>
              </w:rPr>
              <w:t>Fuente tipo</w:t>
            </w:r>
          </w:p>
        </w:tc>
        <w:tc>
          <w:tcPr>
            <w:tcW w:type="dxa" w:w="2920"/>
            <w:tcMar>
              <w:top w:w="80" w:type="dxa"/>
              <w:bottom w:w="80" w:type="dxa"/>
              <w:left w:w="120" w:type="dxa"/>
              <w:right w:w="120" w:type="dxa"/>
            </w:tcMar>
            <w:vAlign w:val="center"/>
            <w:shd w:fill="EAF3E8"/>
          </w:tcPr>
          <w:p>
            <w:pPr>
              <w:spacing w:after="0"/>
            </w:pPr>
            <w:r/>
            <w:r>
              <w:rPr>
                <w:rFonts w:ascii="Calibri" w:hAnsi="Calibri"/>
                <w:b/>
                <w:color w:val="222A1A"/>
                <w:sz w:val="17"/>
              </w:rPr>
              <w:t>Uso en EcoGestos</w:t>
            </w:r>
          </w:p>
        </w:tc>
        <w:tc>
          <w:tcPr>
            <w:tcW w:type="dxa" w:w="2240"/>
            <w:tcMar>
              <w:top w:w="80" w:type="dxa"/>
              <w:bottom w:w="80" w:type="dxa"/>
              <w:left w:w="120" w:type="dxa"/>
              <w:right w:w="120" w:type="dxa"/>
            </w:tcMar>
            <w:vAlign w:val="center"/>
            <w:shd w:fill="EAF3E8"/>
          </w:tcPr>
          <w:p>
            <w:pPr>
              <w:spacing w:after="0"/>
            </w:pPr>
            <w:r/>
            <w:r>
              <w:rPr>
                <w:rFonts w:ascii="Calibri" w:hAnsi="Calibri"/>
                <w:b/>
                <w:color w:val="222A1A"/>
                <w:sz w:val="17"/>
              </w:rPr>
              <w:t>Cómo se comunica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7"/>
              </w:rPr>
              <w:t>A</w:t>
            </w:r>
          </w:p>
        </w:tc>
        <w:tc>
          <w:tcPr>
            <w:tcW w:type="dxa" w:w="3300"/>
            <w:tcMar>
              <w:top w:w="80" w:type="dxa"/>
              <w:bottom w:w="80" w:type="dxa"/>
              <w:left w:w="120" w:type="dxa"/>
              <w:right w:w="120" w:type="dxa"/>
            </w:tcMar>
            <w:vAlign w:val="center"/>
          </w:tcPr>
          <w:p>
            <w:pPr>
              <w:spacing w:before="0" w:after="0" w:line="252" w:lineRule="auto"/>
            </w:pPr>
            <w:r/>
            <w:r>
              <w:rPr>
                <w:rFonts w:ascii="Calibri" w:hAnsi="Calibri"/>
                <w:color w:val="222A1A"/>
                <w:sz w:val="17"/>
              </w:rPr>
              <w:t>Organismos oficiales o metodologías reconocidas: MITECO, REE, IDAE, ACA, BOE, ICAO, GHG Protocol.</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7"/>
              </w:rPr>
              <w:t>Movilidad, energía, electricidad, agua, residuos, vuelos y marco de alcance 3.</w:t>
            </w:r>
          </w:p>
        </w:tc>
        <w:tc>
          <w:tcPr>
            <w:tcW w:type="dxa" w:w="2240"/>
            <w:tcMar>
              <w:top w:w="80" w:type="dxa"/>
              <w:bottom w:w="80" w:type="dxa"/>
              <w:left w:w="120" w:type="dxa"/>
              <w:right w:w="120" w:type="dxa"/>
            </w:tcMar>
            <w:vAlign w:val="center"/>
          </w:tcPr>
          <w:p>
            <w:pPr>
              <w:spacing w:before="0" w:after="0" w:line="252" w:lineRule="auto"/>
            </w:pPr>
            <w:r/>
            <w:r>
              <w:rPr>
                <w:rFonts w:ascii="Calibri" w:hAnsi="Calibri"/>
                <w:color w:val="222A1A"/>
                <w:sz w:val="17"/>
              </w:rPr>
              <w:t>Cálculo validable o estimación con fuente oficial.</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7"/>
              </w:rPr>
              <w:t>B</w:t>
            </w:r>
          </w:p>
        </w:tc>
        <w:tc>
          <w:tcPr>
            <w:tcW w:type="dxa" w:w="3300"/>
            <w:tcMar>
              <w:top w:w="80" w:type="dxa"/>
              <w:bottom w:w="80" w:type="dxa"/>
              <w:left w:w="120" w:type="dxa"/>
              <w:right w:w="120" w:type="dxa"/>
            </w:tcMar>
            <w:vAlign w:val="center"/>
          </w:tcPr>
          <w:p>
            <w:pPr>
              <w:spacing w:before="0" w:after="0" w:line="252" w:lineRule="auto"/>
            </w:pPr>
            <w:r/>
            <w:r>
              <w:rPr>
                <w:rFonts w:ascii="Calibri" w:hAnsi="Calibri"/>
                <w:color w:val="222A1A"/>
                <w:sz w:val="17"/>
              </w:rPr>
              <w:t>Literatura científica y entidades sectoriales reconocidas: FAO, WRAP, Oxford/Poore &amp; Nemecek, Ellen MacArthur, Ecoembes, OCU.</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7"/>
              </w:rPr>
              <w:t>Alimentación, desperdicio, moda, envases, consumo y reparación.</w:t>
            </w:r>
          </w:p>
        </w:tc>
        <w:tc>
          <w:tcPr>
            <w:tcW w:type="dxa" w:w="2240"/>
            <w:tcMar>
              <w:top w:w="80" w:type="dxa"/>
              <w:bottom w:w="80" w:type="dxa"/>
              <w:left w:w="120" w:type="dxa"/>
              <w:right w:w="120" w:type="dxa"/>
            </w:tcMar>
            <w:vAlign w:val="center"/>
          </w:tcPr>
          <w:p>
            <w:pPr>
              <w:spacing w:before="0" w:after="0" w:line="252" w:lineRule="auto"/>
            </w:pPr>
            <w:r/>
            <w:r>
              <w:rPr>
                <w:rFonts w:ascii="Calibri" w:hAnsi="Calibri"/>
                <w:color w:val="222A1A"/>
                <w:sz w:val="17"/>
              </w:rPr>
              <w:t>Estimación técnica con rango y supuestos.</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7"/>
              </w:rPr>
              <w:t>C</w:t>
            </w:r>
          </w:p>
        </w:tc>
        <w:tc>
          <w:tcPr>
            <w:tcW w:type="dxa" w:w="3300"/>
            <w:tcMar>
              <w:top w:w="80" w:type="dxa"/>
              <w:bottom w:w="80" w:type="dxa"/>
              <w:left w:w="120" w:type="dxa"/>
              <w:right w:w="120" w:type="dxa"/>
            </w:tcMar>
            <w:vAlign w:val="center"/>
          </w:tcPr>
          <w:p>
            <w:pPr>
              <w:spacing w:before="0" w:after="0" w:line="252" w:lineRule="auto"/>
            </w:pPr>
            <w:r/>
            <w:r>
              <w:rPr>
                <w:rFonts w:ascii="Calibri" w:hAnsi="Calibri"/>
                <w:color w:val="222A1A"/>
                <w:sz w:val="17"/>
              </w:rPr>
              <w:t>Supuestos AHC, fuentes divulgativas o impactos indirectos.</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7"/>
              </w:rPr>
              <w:t>Hábitos, organización, comunidad y finanzas sostenibles.</w:t>
            </w:r>
          </w:p>
        </w:tc>
        <w:tc>
          <w:tcPr>
            <w:tcW w:type="dxa" w:w="2240"/>
            <w:tcMar>
              <w:top w:w="80" w:type="dxa"/>
              <w:bottom w:w="80" w:type="dxa"/>
              <w:left w:w="120" w:type="dxa"/>
              <w:right w:w="120" w:type="dxa"/>
            </w:tcMar>
            <w:vAlign w:val="center"/>
          </w:tcPr>
          <w:p>
            <w:pPr>
              <w:spacing w:before="0" w:after="0" w:line="252" w:lineRule="auto"/>
            </w:pPr>
            <w:r/>
            <w:r>
              <w:rPr>
                <w:rFonts w:ascii="Calibri" w:hAnsi="Calibri"/>
                <w:color w:val="222A1A"/>
                <w:sz w:val="17"/>
              </w:rPr>
              <w:t>Estimación orientativa o impacto cualitativo.</w:t>
            </w:r>
          </w:p>
        </w:tc>
      </w:tr>
    </w:tbl>
    <w:p>
      <w:pPr>
        <w:spacing w:after="80"/>
      </w:pPr>
    </w:p>
    <w:p>
      <w:pPr>
        <w:pStyle w:val="Heading2"/>
        <w:keepNext/>
      </w:pPr>
      <w:r>
        <w:rPr>
          <w:rFonts w:ascii="Calibri" w:hAnsi="Calibri"/>
          <w:color w:val="4F9447"/>
        </w:rPr>
        <w:t>Regla de oro de agregación</w:t>
      </w:r>
    </w:p>
    <w:p>
      <w:pPr>
        <w:pStyle w:val="ListBullet"/>
        <w:spacing w:after="120" w:line="280" w:lineRule="auto"/>
      </w:pPr>
      <w:r>
        <w:rPr>
          <w:rFonts w:ascii="Calibri" w:hAnsi="Calibri"/>
          <w:color w:val="222A1A"/>
          <w:sz w:val="21"/>
        </w:rPr>
        <w:t>Solo se suma lo que comparte unidad, periodo y calidad metodológica suficiente.</w:t>
      </w:r>
    </w:p>
    <w:p>
      <w:pPr>
        <w:pStyle w:val="ListBullet"/>
        <w:spacing w:after="120" w:line="280" w:lineRule="auto"/>
      </w:pPr>
      <w:r>
        <w:rPr>
          <w:rFonts w:ascii="Calibri" w:hAnsi="Calibri"/>
          <w:color w:val="222A1A"/>
          <w:sz w:val="21"/>
        </w:rPr>
        <w:t>kg CO2e/año se puede sumar con kg CO2e/año; litros de agua, kg de plástico y euros se agregan por separado.</w:t>
      </w:r>
    </w:p>
    <w:p>
      <w:pPr>
        <w:pStyle w:val="ListBullet"/>
        <w:spacing w:after="120" w:line="280" w:lineRule="auto"/>
      </w:pPr>
      <w:r>
        <w:rPr>
          <w:rFonts w:ascii="Calibri" w:hAnsi="Calibri"/>
          <w:color w:val="222A1A"/>
          <w:sz w:val="21"/>
        </w:rPr>
        <w:t>Los impactos indirectos se muestran como señales educativas o cualitativas, no como CO2 directo del plan.</w:t>
      </w:r>
    </w:p>
    <w:p>
      <w:pPr>
        <w:pStyle w:val="ListBullet"/>
        <w:spacing w:after="120" w:line="280" w:lineRule="auto"/>
      </w:pPr>
      <w:r>
        <w:rPr>
          <w:rFonts w:ascii="Calibri" w:hAnsi="Calibri"/>
          <w:color w:val="222A1A"/>
          <w:sz w:val="21"/>
        </w:rPr>
        <w:t>Cuando una ficha mezcla varios efectos, el informe debe mostrar desglose y no convertir todo a una unidad común sin factor explícito.</w:t>
      </w:r>
    </w:p>
    <w:p>
      <w:pPr>
        <w:pStyle w:val="Heading2"/>
        <w:keepNext/>
      </w:pPr>
      <w:r>
        <w:rPr>
          <w:rFonts w:ascii="Calibri" w:hAnsi="Calibri"/>
          <w:color w:val="4F9447"/>
        </w:rPr>
        <w:t>Niveles de confianza</w:t>
      </w:r>
    </w:p>
    <w:tbl>
      <w:tblGrid>
        <w:gridCol w:w="1200"/>
        <w:gridCol w:w="4300"/>
        <w:gridCol w:w="386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1200"/>
            <w:tcMar>
              <w:top w:w="80" w:type="dxa"/>
              <w:bottom w:w="80" w:type="dxa"/>
              <w:left w:w="120" w:type="dxa"/>
              <w:right w:w="120" w:type="dxa"/>
            </w:tcMar>
            <w:vAlign w:val="center"/>
            <w:shd w:fill="F2F4F7"/>
          </w:tcPr>
          <w:p>
            <w:pPr>
              <w:spacing w:after="0"/>
            </w:pPr>
            <w:r/>
            <w:r>
              <w:rPr>
                <w:rFonts w:ascii="Calibri" w:hAnsi="Calibri"/>
                <w:b/>
                <w:color w:val="222A1A"/>
                <w:sz w:val="18"/>
              </w:rPr>
              <w:t>Nivel</w:t>
            </w:r>
          </w:p>
        </w:tc>
        <w:tc>
          <w:tcPr>
            <w:tcW w:type="dxa" w:w="4300"/>
            <w:tcMar>
              <w:top w:w="80" w:type="dxa"/>
              <w:bottom w:w="80" w:type="dxa"/>
              <w:left w:w="120" w:type="dxa"/>
              <w:right w:w="120" w:type="dxa"/>
            </w:tcMar>
            <w:vAlign w:val="center"/>
            <w:shd w:fill="F2F4F7"/>
          </w:tcPr>
          <w:p>
            <w:pPr>
              <w:spacing w:after="0"/>
            </w:pPr>
            <w:r/>
            <w:r>
              <w:rPr>
                <w:rFonts w:ascii="Calibri" w:hAnsi="Calibri"/>
                <w:b/>
                <w:color w:val="222A1A"/>
                <w:sz w:val="18"/>
              </w:rPr>
              <w:t>Criterio</w:t>
            </w:r>
          </w:p>
        </w:tc>
        <w:tc>
          <w:tcPr>
            <w:tcW w:type="dxa" w:w="3860"/>
            <w:tcMar>
              <w:top w:w="80" w:type="dxa"/>
              <w:bottom w:w="80" w:type="dxa"/>
              <w:left w:w="120" w:type="dxa"/>
              <w:right w:w="120" w:type="dxa"/>
            </w:tcMar>
            <w:vAlign w:val="center"/>
            <w:shd w:fill="F2F4F7"/>
          </w:tcPr>
          <w:p>
            <w:pPr>
              <w:spacing w:after="0"/>
            </w:pPr>
            <w:r/>
            <w:r>
              <w:rPr>
                <w:rFonts w:ascii="Calibri" w:hAnsi="Calibri"/>
                <w:b/>
                <w:color w:val="222A1A"/>
                <w:sz w:val="18"/>
              </w:rPr>
              <w:t>Frase segura para enseñar</w:t>
            </w:r>
          </w:p>
        </w:tc>
      </w:tr>
      <w:tr>
        <w:trPr>
          <w:cantSplit/>
        </w:trPr>
        <w:tc>
          <w:tcPr>
            <w:tcW w:type="dxa" w:w="120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Alta</w:t>
            </w:r>
          </w:p>
        </w:tc>
        <w:tc>
          <w:tcPr>
            <w:tcW w:type="dxa" w:w="4300"/>
            <w:tcMar>
              <w:top w:w="80" w:type="dxa"/>
              <w:bottom w:w="80" w:type="dxa"/>
              <w:left w:w="120" w:type="dxa"/>
              <w:right w:w="120" w:type="dxa"/>
            </w:tcMar>
            <w:vAlign w:val="center"/>
          </w:tcPr>
          <w:p>
            <w:pPr>
              <w:spacing w:before="0" w:after="0" w:line="252" w:lineRule="auto"/>
            </w:pPr>
            <w:r/>
            <w:r>
              <w:rPr>
                <w:rFonts w:ascii="Calibri" w:hAnsi="Calibri"/>
                <w:color w:val="222A1A"/>
                <w:sz w:val="18"/>
              </w:rPr>
              <w:t>Fuente oficial o técnica reconocida, fórmula simple y revisable.</w:t>
            </w:r>
          </w:p>
        </w:tc>
        <w:tc>
          <w:tcPr>
            <w:tcW w:type="dxa" w:w="3860"/>
            <w:tcMar>
              <w:top w:w="80" w:type="dxa"/>
              <w:bottom w:w="80" w:type="dxa"/>
              <w:left w:w="120" w:type="dxa"/>
              <w:right w:w="120" w:type="dxa"/>
            </w:tcMar>
            <w:vAlign w:val="center"/>
          </w:tcPr>
          <w:p>
            <w:pPr>
              <w:spacing w:before="0" w:after="0" w:line="252" w:lineRule="auto"/>
            </w:pPr>
            <w:r/>
            <w:r>
              <w:rPr>
                <w:rFonts w:ascii="Calibri" w:hAnsi="Calibri"/>
                <w:color w:val="222A1A"/>
                <w:sz w:val="18"/>
              </w:rPr>
              <w:t>Cálculo validable con fuente identificada.</w:t>
            </w:r>
          </w:p>
        </w:tc>
      </w:tr>
      <w:tr>
        <w:trPr>
          <w:cantSplit/>
        </w:trPr>
        <w:tc>
          <w:tcPr>
            <w:tcW w:type="dxa" w:w="120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Media</w:t>
            </w:r>
          </w:p>
        </w:tc>
        <w:tc>
          <w:tcPr>
            <w:tcW w:type="dxa" w:w="4300"/>
            <w:tcMar>
              <w:top w:w="80" w:type="dxa"/>
              <w:bottom w:w="80" w:type="dxa"/>
              <w:left w:w="120" w:type="dxa"/>
              <w:right w:w="120" w:type="dxa"/>
            </w:tcMar>
            <w:vAlign w:val="center"/>
          </w:tcPr>
          <w:p>
            <w:pPr>
              <w:spacing w:before="0" w:after="0" w:line="252" w:lineRule="auto"/>
            </w:pPr>
            <w:r/>
            <w:r>
              <w:rPr>
                <w:rFonts w:ascii="Calibri" w:hAnsi="Calibri"/>
                <w:color w:val="222A1A"/>
                <w:sz w:val="18"/>
              </w:rPr>
              <w:t>Fuente razonable o supuesto AHC con base técnica pendiente de cierre.</w:t>
            </w:r>
          </w:p>
        </w:tc>
        <w:tc>
          <w:tcPr>
            <w:tcW w:type="dxa" w:w="3860"/>
            <w:tcMar>
              <w:top w:w="80" w:type="dxa"/>
              <w:bottom w:w="80" w:type="dxa"/>
              <w:left w:w="120" w:type="dxa"/>
              <w:right w:w="120" w:type="dxa"/>
            </w:tcMar>
            <w:vAlign w:val="center"/>
          </w:tcPr>
          <w:p>
            <w:pPr>
              <w:spacing w:before="0" w:after="0" w:line="252" w:lineRule="auto"/>
            </w:pPr>
            <w:r/>
            <w:r>
              <w:rPr>
                <w:rFonts w:ascii="Calibri" w:hAnsi="Calibri"/>
                <w:color w:val="222A1A"/>
                <w:sz w:val="18"/>
              </w:rPr>
              <w:t>Estimación con supuestos documentados.</w:t>
            </w:r>
          </w:p>
        </w:tc>
      </w:tr>
      <w:tr>
        <w:trPr>
          <w:cantSplit/>
        </w:trPr>
        <w:tc>
          <w:tcPr>
            <w:tcW w:type="dxa" w:w="120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Baja</w:t>
            </w:r>
          </w:p>
        </w:tc>
        <w:tc>
          <w:tcPr>
            <w:tcW w:type="dxa" w:w="4300"/>
            <w:tcMar>
              <w:top w:w="80" w:type="dxa"/>
              <w:bottom w:w="80" w:type="dxa"/>
              <w:left w:w="120" w:type="dxa"/>
              <w:right w:w="120" w:type="dxa"/>
            </w:tcMar>
            <w:vAlign w:val="center"/>
          </w:tcPr>
          <w:p>
            <w:pPr>
              <w:spacing w:before="0" w:after="0" w:line="252" w:lineRule="auto"/>
            </w:pPr>
            <w:r/>
            <w:r>
              <w:rPr>
                <w:rFonts w:ascii="Calibri" w:hAnsi="Calibri"/>
                <w:color w:val="222A1A"/>
                <w:sz w:val="18"/>
              </w:rPr>
              <w:t>Impacto indirecto o variabilidad demasiado alta para sumar.</w:t>
            </w:r>
          </w:p>
        </w:tc>
        <w:tc>
          <w:tcPr>
            <w:tcW w:type="dxa" w:w="3860"/>
            <w:tcMar>
              <w:top w:w="80" w:type="dxa"/>
              <w:bottom w:w="80" w:type="dxa"/>
              <w:left w:w="120" w:type="dxa"/>
              <w:right w:w="120" w:type="dxa"/>
            </w:tcMar>
            <w:vAlign w:val="center"/>
          </w:tcPr>
          <w:p>
            <w:pPr>
              <w:spacing w:before="0" w:after="0" w:line="252" w:lineRule="auto"/>
            </w:pPr>
            <w:r/>
            <w:r>
              <w:rPr>
                <w:rFonts w:ascii="Calibri" w:hAnsi="Calibri"/>
                <w:color w:val="222A1A"/>
                <w:sz w:val="18"/>
              </w:rPr>
              <w:t>Impacto orientativo no agregable.</w:t>
            </w:r>
          </w:p>
        </w:tc>
      </w:tr>
      <w:tr>
        <w:trPr>
          <w:cantSplit/>
        </w:trPr>
        <w:tc>
          <w:tcPr>
            <w:tcW w:type="dxa" w:w="120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Pendiente</w:t>
            </w:r>
          </w:p>
        </w:tc>
        <w:tc>
          <w:tcPr>
            <w:tcW w:type="dxa" w:w="4300"/>
            <w:tcMar>
              <w:top w:w="80" w:type="dxa"/>
              <w:bottom w:w="80" w:type="dxa"/>
              <w:left w:w="120" w:type="dxa"/>
              <w:right w:w="120" w:type="dxa"/>
            </w:tcMar>
            <w:vAlign w:val="center"/>
          </w:tcPr>
          <w:p>
            <w:pPr>
              <w:spacing w:before="0" w:after="0" w:line="252" w:lineRule="auto"/>
            </w:pPr>
            <w:r/>
            <w:r>
              <w:rPr>
                <w:rFonts w:ascii="Calibri" w:hAnsi="Calibri"/>
                <w:color w:val="222A1A"/>
                <w:sz w:val="18"/>
              </w:rPr>
              <w:t>Falta factor, fórmula o fuente suficiente.</w:t>
            </w:r>
          </w:p>
        </w:tc>
        <w:tc>
          <w:tcPr>
            <w:tcW w:type="dxa" w:w="3860"/>
            <w:tcMar>
              <w:top w:w="80" w:type="dxa"/>
              <w:bottom w:w="80" w:type="dxa"/>
              <w:left w:w="120" w:type="dxa"/>
              <w:right w:w="120" w:type="dxa"/>
            </w:tcMar>
            <w:vAlign w:val="center"/>
          </w:tcPr>
          <w:p>
            <w:pPr>
              <w:spacing w:before="0" w:after="0" w:line="252" w:lineRule="auto"/>
            </w:pPr>
            <w:r/>
            <w:r>
              <w:rPr>
                <w:rFonts w:ascii="Calibri" w:hAnsi="Calibri"/>
                <w:color w:val="222A1A"/>
                <w:sz w:val="18"/>
              </w:rPr>
              <w:t>Impacto pendiente de cálculo.</w:t>
            </w:r>
          </w:p>
        </w:tc>
      </w:tr>
    </w:tbl>
    <w:p>
      <w:pPr>
        <w:spacing w:after="80"/>
      </w:pPr>
    </w:p>
    <w:p>
      <w:pPr>
        <w:pStyle w:val="Heading1"/>
        <w:keepNext/>
      </w:pPr>
      <w:r>
        <w:rPr>
          <w:rFonts w:ascii="Calibri" w:hAnsi="Calibri"/>
          <w:color w:val="4F9447"/>
        </w:rPr>
        <w:t>5. Lógica por categoría</w:t>
      </w:r>
    </w:p>
    <w:tbl>
      <w:tblGrid>
        <w:gridCol w:w="1600"/>
        <w:gridCol w:w="3800"/>
        <w:gridCol w:w="2200"/>
        <w:gridCol w:w="176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1600"/>
            <w:tcMar>
              <w:top w:w="80" w:type="dxa"/>
              <w:bottom w:w="80" w:type="dxa"/>
              <w:left w:w="120" w:type="dxa"/>
              <w:right w:w="120" w:type="dxa"/>
            </w:tcMar>
            <w:vAlign w:val="center"/>
            <w:shd w:fill="EAF3E8"/>
          </w:tcPr>
          <w:p>
            <w:pPr>
              <w:spacing w:after="0"/>
            </w:pPr>
            <w:r/>
            <w:r>
              <w:rPr>
                <w:rFonts w:ascii="Calibri" w:hAnsi="Calibri"/>
                <w:b/>
                <w:color w:val="222A1A"/>
                <w:sz w:val="16"/>
              </w:rPr>
              <w:t>Categoría</w:t>
            </w:r>
          </w:p>
        </w:tc>
        <w:tc>
          <w:tcPr>
            <w:tcW w:type="dxa" w:w="3800"/>
            <w:tcMar>
              <w:top w:w="80" w:type="dxa"/>
              <w:bottom w:w="80" w:type="dxa"/>
              <w:left w:w="120" w:type="dxa"/>
              <w:right w:w="120" w:type="dxa"/>
            </w:tcMar>
            <w:vAlign w:val="center"/>
            <w:shd w:fill="EAF3E8"/>
          </w:tcPr>
          <w:p>
            <w:pPr>
              <w:spacing w:after="0"/>
            </w:pPr>
            <w:r/>
            <w:r>
              <w:rPr>
                <w:rFonts w:ascii="Calibri" w:hAnsi="Calibri"/>
                <w:b/>
                <w:color w:val="222A1A"/>
                <w:sz w:val="16"/>
              </w:rPr>
              <w:t>Lógica</w:t>
            </w:r>
          </w:p>
        </w:tc>
        <w:tc>
          <w:tcPr>
            <w:tcW w:type="dxa" w:w="2200"/>
            <w:tcMar>
              <w:top w:w="80" w:type="dxa"/>
              <w:bottom w:w="80" w:type="dxa"/>
              <w:left w:w="120" w:type="dxa"/>
              <w:right w:w="120" w:type="dxa"/>
            </w:tcMar>
            <w:vAlign w:val="center"/>
            <w:shd w:fill="EAF3E8"/>
          </w:tcPr>
          <w:p>
            <w:pPr>
              <w:spacing w:after="0"/>
            </w:pPr>
            <w:r/>
            <w:r>
              <w:rPr>
                <w:rFonts w:ascii="Calibri" w:hAnsi="Calibri"/>
                <w:b/>
                <w:color w:val="222A1A"/>
                <w:sz w:val="16"/>
              </w:rPr>
              <w:t>Fórmula orientativa</w:t>
            </w:r>
          </w:p>
        </w:tc>
        <w:tc>
          <w:tcPr>
            <w:tcW w:type="dxa" w:w="1760"/>
            <w:tcMar>
              <w:top w:w="80" w:type="dxa"/>
              <w:bottom w:w="80" w:type="dxa"/>
              <w:left w:w="120" w:type="dxa"/>
              <w:right w:w="120" w:type="dxa"/>
            </w:tcMar>
            <w:vAlign w:val="center"/>
            <w:shd w:fill="EAF3E8"/>
          </w:tcPr>
          <w:p>
            <w:pPr>
              <w:spacing w:after="0"/>
            </w:pPr>
            <w:r/>
            <w:r>
              <w:rPr>
                <w:rFonts w:ascii="Calibri" w:hAnsi="Calibri"/>
                <w:b/>
                <w:color w:val="222A1A"/>
                <w:sz w:val="16"/>
              </w:rPr>
              <w:t>Fuentes</w:t>
            </w:r>
          </w:p>
        </w:tc>
      </w:tr>
      <w:tr>
        <w:trPr>
          <w:cantSplit/>
        </w:trPr>
        <w:tc>
          <w:tcPr>
            <w:tcW w:type="dxa" w:w="1600"/>
            <w:tcMar>
              <w:top w:w="80" w:type="dxa"/>
              <w:bottom w:w="80" w:type="dxa"/>
              <w:left w:w="120" w:type="dxa"/>
              <w:right w:w="120" w:type="dxa"/>
            </w:tcMar>
            <w:vAlign w:val="center"/>
          </w:tcPr>
          <w:p>
            <w:pPr>
              <w:spacing w:before="0" w:after="0" w:line="252" w:lineRule="auto"/>
              <w:jc w:val="center"/>
            </w:pPr>
            <w:r/>
            <w:r>
              <w:rPr>
                <w:rFonts w:ascii="Calibri" w:hAnsi="Calibri"/>
                <w:color w:val="222A1A"/>
                <w:sz w:val="16"/>
              </w:rPr>
              <w:t>Movilidad y transporte</w:t>
            </w:r>
          </w:p>
        </w:tc>
        <w:tc>
          <w:tcPr>
            <w:tcW w:type="dxa" w:w="3800"/>
            <w:tcMar>
              <w:top w:w="80" w:type="dxa"/>
              <w:bottom w:w="80" w:type="dxa"/>
              <w:left w:w="120" w:type="dxa"/>
              <w:right w:w="120" w:type="dxa"/>
            </w:tcMar>
            <w:vAlign w:val="center"/>
          </w:tcPr>
          <w:p>
            <w:pPr>
              <w:spacing w:before="0" w:after="0" w:line="252" w:lineRule="auto"/>
            </w:pPr>
            <w:r/>
            <w:r>
              <w:rPr>
                <w:rFonts w:ascii="Calibri" w:hAnsi="Calibri"/>
                <w:color w:val="222A1A"/>
                <w:sz w:val="16"/>
              </w:rPr>
              <w:t>La fórmula base es distancia evitada o compartida multiplicada por un factor de emisión del vehículo sustituido. Para vuelos se debe usar calculadora/metodología específica, porque la distancia, cabina y operación del vuelo cambian mucho el resultado.</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6"/>
              </w:rPr>
              <w:t>km evitados x factor kg CO2e/km x frecuencia anual</w:t>
            </w:r>
          </w:p>
        </w:tc>
        <w:tc>
          <w:tcPr>
            <w:tcW w:type="dxa" w:w="1760"/>
            <w:tcMar>
              <w:top w:w="80" w:type="dxa"/>
              <w:bottom w:w="80" w:type="dxa"/>
              <w:left w:w="120" w:type="dxa"/>
              <w:right w:w="120" w:type="dxa"/>
            </w:tcMar>
            <w:vAlign w:val="center"/>
          </w:tcPr>
          <w:p>
            <w:pPr>
              <w:spacing w:before="0" w:after="0" w:line="252" w:lineRule="auto"/>
            </w:pPr>
            <w:r/>
            <w:r>
              <w:rPr>
                <w:rFonts w:ascii="Calibri" w:hAnsi="Calibri"/>
                <w:color w:val="222A1A"/>
                <w:sz w:val="16"/>
              </w:rPr>
              <w:t>MITECO, IDAE, ICAO y GHG Protocol.</w:t>
            </w:r>
          </w:p>
        </w:tc>
      </w:tr>
      <w:tr>
        <w:trPr>
          <w:cantSplit/>
        </w:trPr>
        <w:tc>
          <w:tcPr>
            <w:tcW w:type="dxa" w:w="1600"/>
            <w:tcMar>
              <w:top w:w="80" w:type="dxa"/>
              <w:bottom w:w="80" w:type="dxa"/>
              <w:left w:w="120" w:type="dxa"/>
              <w:right w:w="120" w:type="dxa"/>
            </w:tcMar>
            <w:vAlign w:val="center"/>
          </w:tcPr>
          <w:p>
            <w:pPr>
              <w:spacing w:before="0" w:after="0" w:line="252" w:lineRule="auto"/>
              <w:jc w:val="center"/>
            </w:pPr>
            <w:r/>
            <w:r>
              <w:rPr>
                <w:rFonts w:ascii="Calibri" w:hAnsi="Calibri"/>
                <w:color w:val="222A1A"/>
                <w:sz w:val="16"/>
              </w:rPr>
              <w:t>Energía y vivienda</w:t>
            </w:r>
          </w:p>
        </w:tc>
        <w:tc>
          <w:tcPr>
            <w:tcW w:type="dxa" w:w="3800"/>
            <w:tcMar>
              <w:top w:w="80" w:type="dxa"/>
              <w:bottom w:w="80" w:type="dxa"/>
              <w:left w:w="120" w:type="dxa"/>
              <w:right w:w="120" w:type="dxa"/>
            </w:tcMar>
            <w:vAlign w:val="center"/>
          </w:tcPr>
          <w:p>
            <w:pPr>
              <w:spacing w:before="0" w:after="0" w:line="252" w:lineRule="auto"/>
            </w:pPr>
            <w:r/>
            <w:r>
              <w:rPr>
                <w:rFonts w:ascii="Calibri" w:hAnsi="Calibri"/>
                <w:color w:val="222A1A"/>
                <w:sz w:val="16"/>
              </w:rPr>
              <w:t>Los gestos de electricidad o climatización se calculan con kWh evitados por factor de emisión eléctrico o energético. Si el gesto es de comportamiento, se usa rango y se documenta el supuesto.</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6"/>
              </w:rPr>
              <w:t>kWh evitados x factor kg CO2e/kWh</w:t>
            </w:r>
          </w:p>
        </w:tc>
        <w:tc>
          <w:tcPr>
            <w:tcW w:type="dxa" w:w="1760"/>
            <w:tcMar>
              <w:top w:w="80" w:type="dxa"/>
              <w:bottom w:w="80" w:type="dxa"/>
              <w:left w:w="120" w:type="dxa"/>
              <w:right w:w="120" w:type="dxa"/>
            </w:tcMar>
            <w:vAlign w:val="center"/>
          </w:tcPr>
          <w:p>
            <w:pPr>
              <w:spacing w:before="0" w:after="0" w:line="252" w:lineRule="auto"/>
            </w:pPr>
            <w:r/>
            <w:r>
              <w:rPr>
                <w:rFonts w:ascii="Calibri" w:hAnsi="Calibri"/>
                <w:color w:val="222A1A"/>
                <w:sz w:val="16"/>
              </w:rPr>
              <w:t>REE, MITECO e IDAE.</w:t>
            </w:r>
          </w:p>
        </w:tc>
      </w:tr>
      <w:tr>
        <w:trPr>
          <w:cantSplit/>
        </w:trPr>
        <w:tc>
          <w:tcPr>
            <w:tcW w:type="dxa" w:w="1600"/>
            <w:tcMar>
              <w:top w:w="80" w:type="dxa"/>
              <w:bottom w:w="80" w:type="dxa"/>
              <w:left w:w="120" w:type="dxa"/>
              <w:right w:w="120" w:type="dxa"/>
            </w:tcMar>
            <w:vAlign w:val="center"/>
          </w:tcPr>
          <w:p>
            <w:pPr>
              <w:spacing w:before="0" w:after="0" w:line="252" w:lineRule="auto"/>
              <w:jc w:val="center"/>
            </w:pPr>
            <w:r/>
            <w:r>
              <w:rPr>
                <w:rFonts w:ascii="Calibri" w:hAnsi="Calibri"/>
                <w:color w:val="222A1A"/>
                <w:sz w:val="16"/>
              </w:rPr>
              <w:t>Alimentación</w:t>
            </w:r>
          </w:p>
        </w:tc>
        <w:tc>
          <w:tcPr>
            <w:tcW w:type="dxa" w:w="3800"/>
            <w:tcMar>
              <w:top w:w="80" w:type="dxa"/>
              <w:bottom w:w="80" w:type="dxa"/>
              <w:left w:w="120" w:type="dxa"/>
              <w:right w:w="120" w:type="dxa"/>
            </w:tcMar>
            <w:vAlign w:val="center"/>
          </w:tcPr>
          <w:p>
            <w:pPr>
              <w:spacing w:before="0" w:after="0" w:line="252" w:lineRule="auto"/>
            </w:pPr>
            <w:r/>
            <w:r>
              <w:rPr>
                <w:rFonts w:ascii="Calibri" w:hAnsi="Calibri"/>
                <w:color w:val="222A1A"/>
                <w:sz w:val="16"/>
              </w:rPr>
              <w:t>Debe tratarse con rangos. Dieta, desperdicio alimentario, carne de vacuno y opciones vegetales dependen de producto, origen y hábito previo. Aquí la precisión falsa sería un riesgo.</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6"/>
              </w:rPr>
              <w:t>ración o kg evitado x factor comparativo x frecuencia anual</w:t>
            </w:r>
          </w:p>
        </w:tc>
        <w:tc>
          <w:tcPr>
            <w:tcW w:type="dxa" w:w="1760"/>
            <w:tcMar>
              <w:top w:w="80" w:type="dxa"/>
              <w:bottom w:w="80" w:type="dxa"/>
              <w:left w:w="120" w:type="dxa"/>
              <w:right w:w="120" w:type="dxa"/>
            </w:tcMar>
            <w:vAlign w:val="center"/>
          </w:tcPr>
          <w:p>
            <w:pPr>
              <w:spacing w:before="0" w:after="0" w:line="252" w:lineRule="auto"/>
            </w:pPr>
            <w:r/>
            <w:r>
              <w:rPr>
                <w:rFonts w:ascii="Calibri" w:hAnsi="Calibri"/>
                <w:color w:val="222A1A"/>
                <w:sz w:val="16"/>
              </w:rPr>
              <w:t>FAO, WRAP y literatura científica.</w:t>
            </w:r>
          </w:p>
        </w:tc>
      </w:tr>
      <w:tr>
        <w:trPr>
          <w:cantSplit/>
        </w:trPr>
        <w:tc>
          <w:tcPr>
            <w:tcW w:type="dxa" w:w="1600"/>
            <w:tcMar>
              <w:top w:w="80" w:type="dxa"/>
              <w:bottom w:w="80" w:type="dxa"/>
              <w:left w:w="120" w:type="dxa"/>
              <w:right w:w="120" w:type="dxa"/>
            </w:tcMar>
            <w:vAlign w:val="center"/>
          </w:tcPr>
          <w:p>
            <w:pPr>
              <w:spacing w:before="0" w:after="0" w:line="252" w:lineRule="auto"/>
              <w:jc w:val="center"/>
            </w:pPr>
            <w:r/>
            <w:r>
              <w:rPr>
                <w:rFonts w:ascii="Calibri" w:hAnsi="Calibri"/>
                <w:color w:val="222A1A"/>
                <w:sz w:val="16"/>
              </w:rPr>
              <w:t>Consumo y compras</w:t>
            </w:r>
          </w:p>
        </w:tc>
        <w:tc>
          <w:tcPr>
            <w:tcW w:type="dxa" w:w="3800"/>
            <w:tcMar>
              <w:top w:w="80" w:type="dxa"/>
              <w:bottom w:w="80" w:type="dxa"/>
              <w:left w:w="120" w:type="dxa"/>
              <w:right w:w="120" w:type="dxa"/>
            </w:tcMar>
            <w:vAlign w:val="center"/>
          </w:tcPr>
          <w:p>
            <w:pPr>
              <w:spacing w:before="0" w:after="0" w:line="252" w:lineRule="auto"/>
            </w:pPr>
            <w:r/>
            <w:r>
              <w:rPr>
                <w:rFonts w:ascii="Calibri" w:hAnsi="Calibri"/>
                <w:color w:val="222A1A"/>
                <w:sz w:val="16"/>
              </w:rPr>
              <w:t>Suele ser categoría de sustitución: compra evitada, reparación, segunda mano o préstamo. La variabilidad de producto obliga a trabajar con rangos o señales cualitativas.</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6"/>
              </w:rPr>
              <w:t>unidades evitadas x factor de producto o rango de referencia</w:t>
            </w:r>
          </w:p>
        </w:tc>
        <w:tc>
          <w:tcPr>
            <w:tcW w:type="dxa" w:w="1760"/>
            <w:tcMar>
              <w:top w:w="80" w:type="dxa"/>
              <w:bottom w:w="80" w:type="dxa"/>
              <w:left w:w="120" w:type="dxa"/>
              <w:right w:w="120" w:type="dxa"/>
            </w:tcMar>
            <w:vAlign w:val="center"/>
          </w:tcPr>
          <w:p>
            <w:pPr>
              <w:spacing w:before="0" w:after="0" w:line="252" w:lineRule="auto"/>
            </w:pPr>
            <w:r/>
            <w:r>
              <w:rPr>
                <w:rFonts w:ascii="Calibri" w:hAnsi="Calibri"/>
                <w:color w:val="222A1A"/>
                <w:sz w:val="16"/>
              </w:rPr>
              <w:t>Literatura sectorial, economía circular y supuestos documentados.</w:t>
            </w:r>
          </w:p>
        </w:tc>
      </w:tr>
      <w:tr>
        <w:trPr>
          <w:cantSplit/>
        </w:trPr>
        <w:tc>
          <w:tcPr>
            <w:tcW w:type="dxa" w:w="1600"/>
            <w:tcMar>
              <w:top w:w="80" w:type="dxa"/>
              <w:bottom w:w="80" w:type="dxa"/>
              <w:left w:w="120" w:type="dxa"/>
              <w:right w:w="120" w:type="dxa"/>
            </w:tcMar>
            <w:vAlign w:val="center"/>
          </w:tcPr>
          <w:p>
            <w:pPr>
              <w:spacing w:before="0" w:after="0" w:line="252" w:lineRule="auto"/>
              <w:jc w:val="center"/>
            </w:pPr>
            <w:r/>
            <w:r>
              <w:rPr>
                <w:rFonts w:ascii="Calibri" w:hAnsi="Calibri"/>
                <w:color w:val="222A1A"/>
                <w:sz w:val="16"/>
              </w:rPr>
              <w:t>Residuos y plásticos</w:t>
            </w:r>
          </w:p>
        </w:tc>
        <w:tc>
          <w:tcPr>
            <w:tcW w:type="dxa" w:w="3800"/>
            <w:tcMar>
              <w:top w:w="80" w:type="dxa"/>
              <w:bottom w:w="80" w:type="dxa"/>
              <w:left w:w="120" w:type="dxa"/>
              <w:right w:w="120" w:type="dxa"/>
            </w:tcMar>
            <w:vAlign w:val="center"/>
          </w:tcPr>
          <w:p>
            <w:pPr>
              <w:spacing w:before="0" w:after="0" w:line="252" w:lineRule="auto"/>
            </w:pPr>
            <w:r/>
            <w:r>
              <w:rPr>
                <w:rFonts w:ascii="Calibri" w:hAnsi="Calibri"/>
                <w:color w:val="222A1A"/>
                <w:sz w:val="16"/>
              </w:rPr>
              <w:t>Conviene separar kg de plástico evitado, CO2e de gestión de residuos y evidencia de prevención. La normativa española respalda la prevención y reducción, pero no da por sí sola un factor universal.</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6"/>
              </w:rPr>
              <w:t>kg plástico evitado o kg residuo separado x factor específico</w:t>
            </w:r>
          </w:p>
        </w:tc>
        <w:tc>
          <w:tcPr>
            <w:tcW w:type="dxa" w:w="1760"/>
            <w:tcMar>
              <w:top w:w="80" w:type="dxa"/>
              <w:bottom w:w="80" w:type="dxa"/>
              <w:left w:w="120" w:type="dxa"/>
              <w:right w:w="120" w:type="dxa"/>
            </w:tcMar>
            <w:vAlign w:val="center"/>
          </w:tcPr>
          <w:p>
            <w:pPr>
              <w:spacing w:before="0" w:after="0" w:line="252" w:lineRule="auto"/>
            </w:pPr>
            <w:r/>
            <w:r>
              <w:rPr>
                <w:rFonts w:ascii="Calibri" w:hAnsi="Calibri"/>
                <w:color w:val="222A1A"/>
                <w:sz w:val="16"/>
              </w:rPr>
              <w:t>BOE Ley 7/2022, MITECO y entidades sectoriales.</w:t>
            </w:r>
          </w:p>
        </w:tc>
      </w:tr>
      <w:tr>
        <w:trPr>
          <w:cantSplit/>
        </w:trPr>
        <w:tc>
          <w:tcPr>
            <w:tcW w:type="dxa" w:w="1600"/>
            <w:tcMar>
              <w:top w:w="80" w:type="dxa"/>
              <w:bottom w:w="80" w:type="dxa"/>
              <w:left w:w="120" w:type="dxa"/>
              <w:right w:w="120" w:type="dxa"/>
            </w:tcMar>
            <w:vAlign w:val="center"/>
          </w:tcPr>
          <w:p>
            <w:pPr>
              <w:spacing w:before="0" w:after="0" w:line="252" w:lineRule="auto"/>
              <w:jc w:val="center"/>
            </w:pPr>
            <w:r/>
            <w:r>
              <w:rPr>
                <w:rFonts w:ascii="Calibri" w:hAnsi="Calibri"/>
                <w:color w:val="222A1A"/>
                <w:sz w:val="16"/>
              </w:rPr>
              <w:t>Agua</w:t>
            </w:r>
          </w:p>
        </w:tc>
        <w:tc>
          <w:tcPr>
            <w:tcW w:type="dxa" w:w="3800"/>
            <w:tcMar>
              <w:top w:w="80" w:type="dxa"/>
              <w:bottom w:w="80" w:type="dxa"/>
              <w:left w:w="120" w:type="dxa"/>
              <w:right w:w="120" w:type="dxa"/>
            </w:tcMar>
            <w:vAlign w:val="center"/>
          </w:tcPr>
          <w:p>
            <w:pPr>
              <w:spacing w:before="0" w:after="0" w:line="252" w:lineRule="auto"/>
            </w:pPr>
            <w:r/>
            <w:r>
              <w:rPr>
                <w:rFonts w:ascii="Calibri" w:hAnsi="Calibri"/>
                <w:color w:val="222A1A"/>
                <w:sz w:val="16"/>
              </w:rPr>
              <w:t>El agua se muestra como litros/año. Solo debe convertirse a CO2e si se conoce energía asociada al calentamiento, bombeo o tratamiento, y se declara el supuesto.</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6"/>
              </w:rPr>
              <w:t>litros evitados por uso x usos anuales</w:t>
            </w:r>
          </w:p>
        </w:tc>
        <w:tc>
          <w:tcPr>
            <w:tcW w:type="dxa" w:w="1760"/>
            <w:tcMar>
              <w:top w:w="80" w:type="dxa"/>
              <w:bottom w:w="80" w:type="dxa"/>
              <w:left w:w="120" w:type="dxa"/>
              <w:right w:w="120" w:type="dxa"/>
            </w:tcMar>
            <w:vAlign w:val="center"/>
          </w:tcPr>
          <w:p>
            <w:pPr>
              <w:spacing w:before="0" w:after="0" w:line="252" w:lineRule="auto"/>
            </w:pPr>
            <w:r/>
            <w:r>
              <w:rPr>
                <w:rFonts w:ascii="Calibri" w:hAnsi="Calibri"/>
                <w:color w:val="222A1A"/>
                <w:sz w:val="16"/>
              </w:rPr>
              <w:t>ACA, MITECO, AEMET y referencias de consumo doméstico.</w:t>
            </w:r>
          </w:p>
        </w:tc>
      </w:tr>
      <w:tr>
        <w:trPr>
          <w:cantSplit/>
        </w:trPr>
        <w:tc>
          <w:tcPr>
            <w:tcW w:type="dxa" w:w="1600"/>
            <w:tcMar>
              <w:top w:w="80" w:type="dxa"/>
              <w:bottom w:w="80" w:type="dxa"/>
              <w:left w:w="120" w:type="dxa"/>
              <w:right w:w="120" w:type="dxa"/>
            </w:tcMar>
            <w:vAlign w:val="center"/>
          </w:tcPr>
          <w:p>
            <w:pPr>
              <w:spacing w:before="0" w:after="0" w:line="252" w:lineRule="auto"/>
            </w:pPr>
            <w:r/>
            <w:r>
              <w:rPr>
                <w:rFonts w:ascii="Calibri" w:hAnsi="Calibri"/>
                <w:color w:val="222A1A"/>
                <w:sz w:val="16"/>
              </w:rPr>
              <w:t>Finanzas sostenibles y comunidad</w:t>
            </w:r>
          </w:p>
        </w:tc>
        <w:tc>
          <w:tcPr>
            <w:tcW w:type="dxa" w:w="3800"/>
            <w:tcMar>
              <w:top w:w="80" w:type="dxa"/>
              <w:bottom w:w="80" w:type="dxa"/>
              <w:left w:w="120" w:type="dxa"/>
              <w:right w:w="120" w:type="dxa"/>
            </w:tcMar>
            <w:vAlign w:val="center"/>
          </w:tcPr>
          <w:p>
            <w:pPr>
              <w:spacing w:before="0" w:after="0" w:line="252" w:lineRule="auto"/>
            </w:pPr>
            <w:r/>
            <w:r>
              <w:rPr>
                <w:rFonts w:ascii="Calibri" w:hAnsi="Calibri"/>
                <w:color w:val="222A1A"/>
                <w:sz w:val="16"/>
              </w:rPr>
              <w:t>Son efectos indirectos. Pueden ser muy potentes narrativamente, pero no deben mezclarse con la huella directa individual si no hay metodología financiera específica y auditable.</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6"/>
              </w:rPr>
              <w:t>indicador indirecto o cualitativo; no agregable por defecto</w:t>
            </w:r>
          </w:p>
        </w:tc>
        <w:tc>
          <w:tcPr>
            <w:tcW w:type="dxa" w:w="1760"/>
            <w:tcMar>
              <w:top w:w="80" w:type="dxa"/>
              <w:bottom w:w="80" w:type="dxa"/>
              <w:left w:w="120" w:type="dxa"/>
              <w:right w:w="120" w:type="dxa"/>
            </w:tcMar>
            <w:vAlign w:val="center"/>
          </w:tcPr>
          <w:p>
            <w:pPr>
              <w:spacing w:before="0" w:after="0" w:line="252" w:lineRule="auto"/>
            </w:pPr>
            <w:r/>
            <w:r>
              <w:rPr>
                <w:rFonts w:ascii="Calibri" w:hAnsi="Calibri"/>
                <w:color w:val="222A1A"/>
                <w:sz w:val="16"/>
              </w:rPr>
              <w:t>GHG Protocol como marco; fuentes financieras bajo revisión.</w:t>
            </w:r>
          </w:p>
        </w:tc>
      </w:tr>
    </w:tbl>
    <w:p>
      <w:pPr>
        <w:spacing w:after="80"/>
      </w:pPr>
    </w:p>
    <w:p>
      <w:pPr>
        <w:pStyle w:val="Heading1"/>
        <w:keepNext/>
      </w:pPr>
      <w:r>
        <w:rPr>
          <w:rFonts w:ascii="Calibri" w:hAnsi="Calibri"/>
          <w:color w:val="4F9447"/>
        </w:rPr>
        <w:t>6. Estado de la matriz</w:t>
      </w:r>
    </w:p>
    <w:p>
      <w:pPr>
        <w:spacing w:before="0" w:after="120" w:line="264" w:lineRule="auto"/>
      </w:pPr>
      <w:r>
        <w:rPr>
          <w:rFonts w:ascii="Calibri" w:hAnsi="Calibri"/>
          <w:b w:val="0"/>
          <w:i w:val="0"/>
          <w:color w:val="222A1A"/>
          <w:sz w:val="22"/>
        </w:rPr>
        <w:t>La matriz actual contiene 50 EcoGestos. Todos mantienen estado editorial de revisión o pendiente de cálculo final, lo cual es correcto para no sobreprometer. Aun así, la app ya puede usar una confianza inferida por fuente para enseñar el MVP: alta cuando hay fuente oficial/técnica, media cuando hay supuesto razonable y baja cuando el impacto es indirecto.</w:t>
      </w:r>
    </w:p>
    <w:tbl>
      <w:tblGrid>
        <w:gridCol w:w="3300"/>
        <w:gridCol w:w="606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3300"/>
            <w:tcMar>
              <w:top w:w="80" w:type="dxa"/>
              <w:bottom w:w="80" w:type="dxa"/>
              <w:left w:w="120" w:type="dxa"/>
              <w:right w:w="120" w:type="dxa"/>
            </w:tcMar>
            <w:vAlign w:val="center"/>
            <w:shd w:fill="EAF3E8"/>
          </w:tcPr>
          <w:p>
            <w:pPr>
              <w:spacing w:after="0"/>
            </w:pPr>
            <w:r/>
            <w:r>
              <w:rPr>
                <w:rFonts w:ascii="Calibri" w:hAnsi="Calibri"/>
                <w:b/>
                <w:color w:val="222A1A"/>
                <w:sz w:val="18"/>
              </w:rPr>
              <w:t>Lectura</w:t>
            </w:r>
          </w:p>
        </w:tc>
        <w:tc>
          <w:tcPr>
            <w:tcW w:type="dxa" w:w="6060"/>
            <w:tcMar>
              <w:top w:w="80" w:type="dxa"/>
              <w:bottom w:w="80" w:type="dxa"/>
              <w:left w:w="120" w:type="dxa"/>
              <w:right w:w="120" w:type="dxa"/>
            </w:tcMar>
            <w:vAlign w:val="center"/>
            <w:shd w:fill="EAF3E8"/>
          </w:tcPr>
          <w:p>
            <w:pPr>
              <w:spacing w:after="0"/>
            </w:pPr>
            <w:r/>
            <w:r>
              <w:rPr>
                <w:rFonts w:ascii="Calibri" w:hAnsi="Calibri"/>
                <w:b/>
                <w:color w:val="222A1A"/>
                <w:sz w:val="18"/>
              </w:rPr>
              <w:t>Resultado</w:t>
            </w:r>
          </w:p>
        </w:tc>
      </w:tr>
      <w:tr>
        <w:trPr>
          <w:cantSplit/>
        </w:trPr>
        <w:tc>
          <w:tcPr>
            <w:tcW w:type="dxa" w:w="330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EcoGestos totales</w:t>
            </w:r>
          </w:p>
        </w:tc>
        <w:tc>
          <w:tcPr>
            <w:tcW w:type="dxa" w:w="6060"/>
            <w:tcMar>
              <w:top w:w="80" w:type="dxa"/>
              <w:bottom w:w="80" w:type="dxa"/>
              <w:left w:w="120" w:type="dxa"/>
              <w:right w:w="120" w:type="dxa"/>
            </w:tcMar>
            <w:vAlign w:val="center"/>
          </w:tcPr>
          <w:p>
            <w:pPr>
              <w:spacing w:before="0" w:after="0" w:line="252" w:lineRule="auto"/>
            </w:pPr>
            <w:r/>
            <w:r>
              <w:rPr>
                <w:rFonts w:ascii="Calibri" w:hAnsi="Calibri"/>
                <w:color w:val="222A1A"/>
                <w:sz w:val="18"/>
              </w:rPr>
              <w:t>50</w:t>
            </w:r>
          </w:p>
        </w:tc>
      </w:tr>
      <w:tr>
        <w:trPr>
          <w:cantSplit/>
        </w:trPr>
        <w:tc>
          <w:tcPr>
            <w:tcW w:type="dxa" w:w="330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Categorías cubiertas</w:t>
            </w:r>
          </w:p>
        </w:tc>
        <w:tc>
          <w:tcPr>
            <w:tcW w:type="dxa" w:w="6060"/>
            <w:tcMar>
              <w:top w:w="80" w:type="dxa"/>
              <w:bottom w:w="80" w:type="dxa"/>
              <w:left w:w="120" w:type="dxa"/>
              <w:right w:w="120" w:type="dxa"/>
            </w:tcMar>
            <w:vAlign w:val="center"/>
          </w:tcPr>
          <w:p>
            <w:pPr>
              <w:spacing w:before="0" w:after="0" w:line="252" w:lineRule="auto"/>
            </w:pPr>
            <w:r/>
            <w:r>
              <w:rPr>
                <w:rFonts w:ascii="Calibri" w:hAnsi="Calibri"/>
                <w:color w:val="222A1A"/>
                <w:sz w:val="18"/>
              </w:rPr>
              <w:t>8</w:t>
            </w:r>
          </w:p>
        </w:tc>
      </w:tr>
      <w:tr>
        <w:trPr>
          <w:cantSplit/>
        </w:trPr>
        <w:tc>
          <w:tcPr>
            <w:tcW w:type="dxa" w:w="3300"/>
            <w:tcMar>
              <w:top w:w="80" w:type="dxa"/>
              <w:bottom w:w="80" w:type="dxa"/>
              <w:left w:w="120" w:type="dxa"/>
              <w:right w:w="120" w:type="dxa"/>
            </w:tcMar>
            <w:vAlign w:val="center"/>
          </w:tcPr>
          <w:p>
            <w:pPr>
              <w:spacing w:before="0" w:after="0" w:line="252" w:lineRule="auto"/>
            </w:pPr>
            <w:r/>
            <w:r>
              <w:rPr>
                <w:rFonts w:ascii="Calibri" w:hAnsi="Calibri"/>
                <w:color w:val="222A1A"/>
                <w:sz w:val="18"/>
              </w:rPr>
              <w:t>EcoGestos con prioridad alta de validación</w:t>
            </w:r>
          </w:p>
        </w:tc>
        <w:tc>
          <w:tcPr>
            <w:tcW w:type="dxa" w:w="6060"/>
            <w:tcMar>
              <w:top w:w="80" w:type="dxa"/>
              <w:bottom w:w="80" w:type="dxa"/>
              <w:left w:w="120" w:type="dxa"/>
              <w:right w:w="120" w:type="dxa"/>
            </w:tcMar>
            <w:vAlign w:val="center"/>
          </w:tcPr>
          <w:p>
            <w:pPr>
              <w:spacing w:before="0" w:after="0" w:line="252" w:lineRule="auto"/>
            </w:pPr>
            <w:r/>
            <w:r>
              <w:rPr>
                <w:rFonts w:ascii="Calibri" w:hAnsi="Calibri"/>
                <w:color w:val="222A1A"/>
                <w:sz w:val="18"/>
              </w:rPr>
              <w:t>13</w:t>
            </w:r>
          </w:p>
        </w:tc>
      </w:tr>
      <w:tr>
        <w:trPr>
          <w:cantSplit/>
        </w:trPr>
        <w:tc>
          <w:tcPr>
            <w:tcW w:type="dxa" w:w="330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Métricas principales</w:t>
            </w:r>
          </w:p>
        </w:tc>
        <w:tc>
          <w:tcPr>
            <w:tcW w:type="dxa" w:w="6060"/>
            <w:tcMar>
              <w:top w:w="80" w:type="dxa"/>
              <w:bottom w:w="80" w:type="dxa"/>
              <w:left w:w="120" w:type="dxa"/>
              <w:right w:w="120" w:type="dxa"/>
            </w:tcMar>
            <w:vAlign w:val="center"/>
          </w:tcPr>
          <w:p>
            <w:pPr>
              <w:spacing w:before="0" w:after="0" w:line="252" w:lineRule="auto"/>
            </w:pPr>
            <w:r/>
            <w:r>
              <w:rPr>
                <w:rFonts w:ascii="Calibri" w:hAnsi="Calibri"/>
                <w:color w:val="222A1A"/>
                <w:sz w:val="18"/>
              </w:rPr>
              <w:t>CO2e: 32, Mixto: 11, Agua: 4, Indirecto: 3</w:t>
            </w:r>
          </w:p>
        </w:tc>
      </w:tr>
      <w:tr>
        <w:trPr>
          <w:cantSplit/>
        </w:trPr>
        <w:tc>
          <w:tcPr>
            <w:tcW w:type="dxa" w:w="330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Confianza inferida</w:t>
            </w:r>
          </w:p>
        </w:tc>
        <w:tc>
          <w:tcPr>
            <w:tcW w:type="dxa" w:w="6060"/>
            <w:tcMar>
              <w:top w:w="80" w:type="dxa"/>
              <w:bottom w:w="80" w:type="dxa"/>
              <w:left w:w="120" w:type="dxa"/>
              <w:right w:w="120" w:type="dxa"/>
            </w:tcMar>
            <w:vAlign w:val="center"/>
          </w:tcPr>
          <w:p>
            <w:pPr>
              <w:spacing w:before="0" w:after="0" w:line="252" w:lineRule="auto"/>
            </w:pPr>
            <w:r/>
            <w:r>
              <w:rPr>
                <w:rFonts w:ascii="Calibri" w:hAnsi="Calibri"/>
                <w:color w:val="222A1A"/>
                <w:sz w:val="18"/>
              </w:rPr>
              <w:t>Alta: 37, Media: 10, Baja: 3</w:t>
            </w:r>
          </w:p>
        </w:tc>
      </w:tr>
      <w:tr>
        <w:trPr>
          <w:cantSplit/>
        </w:trPr>
        <w:tc>
          <w:tcPr>
            <w:tcW w:type="dxa" w:w="3300"/>
            <w:tcMar>
              <w:top w:w="80" w:type="dxa"/>
              <w:bottom w:w="80" w:type="dxa"/>
              <w:left w:w="120" w:type="dxa"/>
              <w:right w:w="120" w:type="dxa"/>
            </w:tcMar>
            <w:vAlign w:val="center"/>
          </w:tcPr>
          <w:p>
            <w:pPr>
              <w:spacing w:before="0" w:after="0" w:line="252" w:lineRule="auto"/>
              <w:jc w:val="center"/>
            </w:pPr>
            <w:r/>
            <w:r>
              <w:rPr>
                <w:rFonts w:ascii="Calibri" w:hAnsi="Calibri"/>
                <w:color w:val="222A1A"/>
                <w:sz w:val="18"/>
              </w:rPr>
              <w:t>Familia de fuentes</w:t>
            </w:r>
          </w:p>
        </w:tc>
        <w:tc>
          <w:tcPr>
            <w:tcW w:type="dxa" w:w="6060"/>
            <w:tcMar>
              <w:top w:w="80" w:type="dxa"/>
              <w:bottom w:w="80" w:type="dxa"/>
              <w:left w:w="120" w:type="dxa"/>
              <w:right w:w="120" w:type="dxa"/>
            </w:tcMar>
            <w:vAlign w:val="center"/>
          </w:tcPr>
          <w:p>
            <w:pPr>
              <w:spacing w:before="0" w:after="0" w:line="252" w:lineRule="auto"/>
            </w:pPr>
            <w:r/>
            <w:r>
              <w:rPr>
                <w:rFonts w:ascii="Calibri" w:hAnsi="Calibri"/>
                <w:color w:val="222A1A"/>
                <w:sz w:val="18"/>
              </w:rPr>
              <w:t>A - oficial/técnica: 33, C - supuesto AHC: 10, B - literatura/sector: 5, C - pendiente/mixta: 2</w:t>
            </w:r>
          </w:p>
        </w:tc>
      </w:tr>
    </w:tbl>
    <w:p>
      <w:pPr>
        <w:spacing w:after="80"/>
      </w:pPr>
    </w:p>
    <w:p>
      <w:pPr>
        <w:pStyle w:val="Heading2"/>
        <w:keepNext/>
      </w:pPr>
      <w:r>
        <w:rPr>
          <w:rFonts w:ascii="Calibri" w:hAnsi="Calibri"/>
          <w:color w:val="4F9447"/>
        </w:rPr>
        <w:t>Top 10 para validación profunda</w:t>
      </w:r>
    </w:p>
    <w:p>
      <w:pPr>
        <w:spacing w:before="0" w:after="120" w:line="264" w:lineRule="auto"/>
      </w:pPr>
      <w:r>
        <w:rPr>
          <w:rFonts w:ascii="Calibri" w:hAnsi="Calibri"/>
          <w:b w:val="0"/>
          <w:i w:val="0"/>
          <w:color w:val="222A1A"/>
          <w:sz w:val="22"/>
        </w:rPr>
        <w:t>Estos son los gestos que conviene cerrar primero porque combinan impacto, claridad de medición y valor pedagógico.</w:t>
      </w:r>
    </w:p>
    <w:tbl>
      <w:tblGrid>
        <w:gridCol w:w="520"/>
        <w:gridCol w:w="1150"/>
        <w:gridCol w:w="2780"/>
        <w:gridCol w:w="1050"/>
        <w:gridCol w:w="2200"/>
        <w:gridCol w:w="166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520"/>
            <w:tcMar>
              <w:top w:w="80" w:type="dxa"/>
              <w:bottom w:w="80" w:type="dxa"/>
              <w:left w:w="120" w:type="dxa"/>
              <w:right w:w="120" w:type="dxa"/>
            </w:tcMar>
            <w:vAlign w:val="center"/>
            <w:shd w:fill="F2F4F7"/>
          </w:tcPr>
          <w:p>
            <w:pPr>
              <w:spacing w:after="0"/>
            </w:pPr>
            <w:r/>
            <w:r>
              <w:rPr>
                <w:rFonts w:ascii="Calibri" w:hAnsi="Calibri"/>
                <w:b/>
                <w:color w:val="222A1A"/>
                <w:sz w:val="15"/>
              </w:rPr>
              <w:t>#</w:t>
            </w:r>
          </w:p>
        </w:tc>
        <w:tc>
          <w:tcPr>
            <w:tcW w:type="dxa" w:w="1150"/>
            <w:tcMar>
              <w:top w:w="80" w:type="dxa"/>
              <w:bottom w:w="80" w:type="dxa"/>
              <w:left w:w="120" w:type="dxa"/>
              <w:right w:w="120" w:type="dxa"/>
            </w:tcMar>
            <w:vAlign w:val="center"/>
            <w:shd w:fill="F2F4F7"/>
          </w:tcPr>
          <w:p>
            <w:pPr>
              <w:spacing w:after="0"/>
            </w:pPr>
            <w:r/>
            <w:r>
              <w:rPr>
                <w:rFonts w:ascii="Calibri" w:hAnsi="Calibri"/>
                <w:b/>
                <w:color w:val="222A1A"/>
                <w:sz w:val="15"/>
              </w:rPr>
              <w:t>Código</w:t>
            </w:r>
          </w:p>
        </w:tc>
        <w:tc>
          <w:tcPr>
            <w:tcW w:type="dxa" w:w="2780"/>
            <w:tcMar>
              <w:top w:w="80" w:type="dxa"/>
              <w:bottom w:w="80" w:type="dxa"/>
              <w:left w:w="120" w:type="dxa"/>
              <w:right w:w="120" w:type="dxa"/>
            </w:tcMar>
            <w:vAlign w:val="center"/>
            <w:shd w:fill="F2F4F7"/>
          </w:tcPr>
          <w:p>
            <w:pPr>
              <w:spacing w:after="0"/>
            </w:pPr>
            <w:r/>
            <w:r>
              <w:rPr>
                <w:rFonts w:ascii="Calibri" w:hAnsi="Calibri"/>
                <w:b/>
                <w:color w:val="222A1A"/>
                <w:sz w:val="15"/>
              </w:rPr>
              <w:t>EcoGesto</w:t>
            </w:r>
          </w:p>
        </w:tc>
        <w:tc>
          <w:tcPr>
            <w:tcW w:type="dxa" w:w="1050"/>
            <w:tcMar>
              <w:top w:w="80" w:type="dxa"/>
              <w:bottom w:w="80" w:type="dxa"/>
              <w:left w:w="120" w:type="dxa"/>
              <w:right w:w="120" w:type="dxa"/>
            </w:tcMar>
            <w:vAlign w:val="center"/>
            <w:shd w:fill="F2F4F7"/>
          </w:tcPr>
          <w:p>
            <w:pPr>
              <w:spacing w:after="0"/>
            </w:pPr>
            <w:r/>
            <w:r>
              <w:rPr>
                <w:rFonts w:ascii="Calibri" w:hAnsi="Calibri"/>
                <w:b/>
                <w:color w:val="222A1A"/>
                <w:sz w:val="15"/>
              </w:rPr>
              <w:t>Métrica</w:t>
            </w:r>
          </w:p>
        </w:tc>
        <w:tc>
          <w:tcPr>
            <w:tcW w:type="dxa" w:w="2200"/>
            <w:tcMar>
              <w:top w:w="80" w:type="dxa"/>
              <w:bottom w:w="80" w:type="dxa"/>
              <w:left w:w="120" w:type="dxa"/>
              <w:right w:w="120" w:type="dxa"/>
            </w:tcMar>
            <w:vAlign w:val="center"/>
            <w:shd w:fill="F2F4F7"/>
          </w:tcPr>
          <w:p>
            <w:pPr>
              <w:spacing w:after="0"/>
            </w:pPr>
            <w:r/>
            <w:r>
              <w:rPr>
                <w:rFonts w:ascii="Calibri" w:hAnsi="Calibri"/>
                <w:b/>
                <w:color w:val="222A1A"/>
                <w:sz w:val="15"/>
              </w:rPr>
              <w:t>Fuente</w:t>
            </w:r>
          </w:p>
        </w:tc>
        <w:tc>
          <w:tcPr>
            <w:tcW w:type="dxa" w:w="1660"/>
            <w:tcMar>
              <w:top w:w="80" w:type="dxa"/>
              <w:bottom w:w="80" w:type="dxa"/>
              <w:left w:w="120" w:type="dxa"/>
              <w:right w:w="120" w:type="dxa"/>
            </w:tcMar>
            <w:vAlign w:val="center"/>
            <w:shd w:fill="F2F4F7"/>
          </w:tcPr>
          <w:p>
            <w:pPr>
              <w:spacing w:after="0"/>
            </w:pPr>
            <w:r/>
            <w:r>
              <w:rPr>
                <w:rFonts w:ascii="Calibri" w:hAnsi="Calibri"/>
                <w:b/>
                <w:color w:val="222A1A"/>
                <w:sz w:val="15"/>
              </w:rPr>
              <w:t>Siguiente paso</w:t>
            </w:r>
          </w:p>
        </w:tc>
      </w:tr>
      <w:tr>
        <w:trPr>
          <w:cantSplit/>
        </w:trPr>
        <w:tc>
          <w:tcPr>
            <w:tcW w:type="dxa" w:w="52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1</w:t>
            </w:r>
          </w:p>
        </w:tc>
        <w:tc>
          <w:tcPr>
            <w:tcW w:type="dxa" w:w="1150"/>
            <w:tcMar>
              <w:top w:w="80" w:type="dxa"/>
              <w:bottom w:w="80" w:type="dxa"/>
              <w:left w:w="120" w:type="dxa"/>
              <w:right w:w="120" w:type="dxa"/>
            </w:tcMar>
            <w:vAlign w:val="center"/>
          </w:tcPr>
          <w:p>
            <w:pPr>
              <w:spacing w:before="0" w:after="0" w:line="252" w:lineRule="auto"/>
            </w:pPr>
            <w:r/>
            <w:r>
              <w:rPr>
                <w:rFonts w:ascii="Calibri" w:hAnsi="Calibri"/>
                <w:color w:val="222A1A"/>
                <w:sz w:val="15"/>
              </w:rPr>
              <w:t>ECO-MOV-002</w:t>
            </w:r>
          </w:p>
        </w:tc>
        <w:tc>
          <w:tcPr>
            <w:tcW w:type="dxa" w:w="2780"/>
            <w:tcMar>
              <w:top w:w="80" w:type="dxa"/>
              <w:bottom w:w="80" w:type="dxa"/>
              <w:left w:w="120" w:type="dxa"/>
              <w:right w:w="120" w:type="dxa"/>
            </w:tcMar>
            <w:vAlign w:val="center"/>
          </w:tcPr>
          <w:p>
            <w:pPr>
              <w:spacing w:before="0" w:after="0" w:line="252" w:lineRule="auto"/>
            </w:pPr>
            <w:r/>
            <w:r>
              <w:rPr>
                <w:rFonts w:ascii="Calibri" w:hAnsi="Calibri"/>
                <w:color w:val="222A1A"/>
                <w:sz w:val="15"/>
              </w:rPr>
              <w:t>Usar transporte público en trayectos urbanos diarios</w:t>
            </w:r>
          </w:p>
        </w:tc>
        <w:tc>
          <w:tcPr>
            <w:tcW w:type="dxa" w:w="1050"/>
            <w:tcMar>
              <w:top w:w="80" w:type="dxa"/>
              <w:bottom w:w="80" w:type="dxa"/>
              <w:left w:w="120" w:type="dxa"/>
              <w:right w:w="120" w:type="dxa"/>
            </w:tcMar>
            <w:vAlign w:val="center"/>
          </w:tcPr>
          <w:p>
            <w:pPr>
              <w:spacing w:before="0" w:after="0" w:line="252" w:lineRule="auto"/>
            </w:pPr>
            <w:r/>
            <w:r>
              <w:rPr>
                <w:rFonts w:ascii="Calibri" w:hAnsi="Calibri"/>
                <w:color w:val="222A1A"/>
                <w:sz w:val="15"/>
              </w:rPr>
              <w:t>CO2e</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5"/>
              </w:rPr>
              <w:t>MITECO - Factor emisión coche convencional 0,17 kg CO2/km</w:t>
            </w:r>
          </w:p>
        </w:tc>
        <w:tc>
          <w:tcPr>
            <w:tcW w:type="dxa" w:w="166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52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2</w:t>
            </w:r>
          </w:p>
        </w:tc>
        <w:tc>
          <w:tcPr>
            <w:tcW w:type="dxa" w:w="1150"/>
            <w:tcMar>
              <w:top w:w="80" w:type="dxa"/>
              <w:bottom w:w="80" w:type="dxa"/>
              <w:left w:w="120" w:type="dxa"/>
              <w:right w:w="120" w:type="dxa"/>
            </w:tcMar>
            <w:vAlign w:val="center"/>
          </w:tcPr>
          <w:p>
            <w:pPr>
              <w:spacing w:before="0" w:after="0" w:line="252" w:lineRule="auto"/>
            </w:pPr>
            <w:r/>
            <w:r>
              <w:rPr>
                <w:rFonts w:ascii="Calibri" w:hAnsi="Calibri"/>
                <w:color w:val="222A1A"/>
                <w:sz w:val="15"/>
              </w:rPr>
              <w:t>ECO-MOV-003</w:t>
            </w:r>
          </w:p>
        </w:tc>
        <w:tc>
          <w:tcPr>
            <w:tcW w:type="dxa" w:w="2780"/>
            <w:tcMar>
              <w:top w:w="80" w:type="dxa"/>
              <w:bottom w:w="80" w:type="dxa"/>
              <w:left w:w="120" w:type="dxa"/>
              <w:right w:w="120" w:type="dxa"/>
            </w:tcMar>
            <w:vAlign w:val="center"/>
          </w:tcPr>
          <w:p>
            <w:pPr>
              <w:spacing w:before="0" w:after="0" w:line="252" w:lineRule="auto"/>
            </w:pPr>
            <w:r/>
            <w:r>
              <w:rPr>
                <w:rFonts w:ascii="Calibri" w:hAnsi="Calibri"/>
                <w:color w:val="222A1A"/>
                <w:sz w:val="15"/>
              </w:rPr>
              <w:t>Compartir coche al trabajo con compañeros (carpooling)</w:t>
            </w:r>
          </w:p>
        </w:tc>
        <w:tc>
          <w:tcPr>
            <w:tcW w:type="dxa" w:w="1050"/>
            <w:tcMar>
              <w:top w:w="80" w:type="dxa"/>
              <w:bottom w:w="80" w:type="dxa"/>
              <w:left w:w="120" w:type="dxa"/>
              <w:right w:w="120" w:type="dxa"/>
            </w:tcMar>
            <w:vAlign w:val="center"/>
          </w:tcPr>
          <w:p>
            <w:pPr>
              <w:spacing w:before="0" w:after="0" w:line="252" w:lineRule="auto"/>
            </w:pPr>
            <w:r/>
            <w:r>
              <w:rPr>
                <w:rFonts w:ascii="Calibri" w:hAnsi="Calibri"/>
                <w:color w:val="222A1A"/>
                <w:sz w:val="15"/>
              </w:rPr>
              <w:t>CO2e</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5"/>
              </w:rPr>
              <w:t>estimación AHC basada en factor MITECO 0,17 kg CO2/km</w:t>
            </w:r>
          </w:p>
        </w:tc>
        <w:tc>
          <w:tcPr>
            <w:tcW w:type="dxa" w:w="166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52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3</w:t>
            </w:r>
          </w:p>
        </w:tc>
        <w:tc>
          <w:tcPr>
            <w:tcW w:type="dxa" w:w="1150"/>
            <w:tcMar>
              <w:top w:w="80" w:type="dxa"/>
              <w:bottom w:w="80" w:type="dxa"/>
              <w:left w:w="120" w:type="dxa"/>
              <w:right w:w="120" w:type="dxa"/>
            </w:tcMar>
            <w:vAlign w:val="center"/>
          </w:tcPr>
          <w:p>
            <w:pPr>
              <w:spacing w:before="0" w:after="0" w:line="252" w:lineRule="auto"/>
            </w:pPr>
            <w:r/>
            <w:r>
              <w:rPr>
                <w:rFonts w:ascii="Calibri" w:hAnsi="Calibri"/>
                <w:color w:val="222A1A"/>
                <w:sz w:val="15"/>
              </w:rPr>
              <w:t>ECO-MOV-004</w:t>
            </w:r>
          </w:p>
        </w:tc>
        <w:tc>
          <w:tcPr>
            <w:tcW w:type="dxa" w:w="2780"/>
            <w:tcMar>
              <w:top w:w="80" w:type="dxa"/>
              <w:bottom w:w="80" w:type="dxa"/>
              <w:left w:w="120" w:type="dxa"/>
              <w:right w:w="120" w:type="dxa"/>
            </w:tcMar>
            <w:vAlign w:val="center"/>
          </w:tcPr>
          <w:p>
            <w:pPr>
              <w:spacing w:before="0" w:after="0" w:line="252" w:lineRule="auto"/>
            </w:pPr>
            <w:r/>
            <w:r>
              <w:rPr>
                <w:rFonts w:ascii="Calibri" w:hAnsi="Calibri"/>
                <w:color w:val="222A1A"/>
                <w:sz w:val="15"/>
              </w:rPr>
              <w:t>Usar bicicleta en trayectos urbanos menores de 5 km</w:t>
            </w:r>
          </w:p>
        </w:tc>
        <w:tc>
          <w:tcPr>
            <w:tcW w:type="dxa" w:w="1050"/>
            <w:tcMar>
              <w:top w:w="80" w:type="dxa"/>
              <w:bottom w:w="80" w:type="dxa"/>
              <w:left w:w="120" w:type="dxa"/>
              <w:right w:w="120" w:type="dxa"/>
            </w:tcMar>
            <w:vAlign w:val="center"/>
          </w:tcPr>
          <w:p>
            <w:pPr>
              <w:spacing w:before="0" w:after="0" w:line="252" w:lineRule="auto"/>
            </w:pPr>
            <w:r/>
            <w:r>
              <w:rPr>
                <w:rFonts w:ascii="Calibri" w:hAnsi="Calibri"/>
                <w:color w:val="222A1A"/>
                <w:sz w:val="15"/>
              </w:rPr>
              <w:t>CO2e</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5"/>
              </w:rPr>
              <w:t>MITECO; estimación AHC</w:t>
            </w:r>
          </w:p>
        </w:tc>
        <w:tc>
          <w:tcPr>
            <w:tcW w:type="dxa" w:w="166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52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4</w:t>
            </w:r>
          </w:p>
        </w:tc>
        <w:tc>
          <w:tcPr>
            <w:tcW w:type="dxa" w:w="1150"/>
            <w:tcMar>
              <w:top w:w="80" w:type="dxa"/>
              <w:bottom w:w="80" w:type="dxa"/>
              <w:left w:w="120" w:type="dxa"/>
              <w:right w:w="120" w:type="dxa"/>
            </w:tcMar>
            <w:vAlign w:val="center"/>
          </w:tcPr>
          <w:p>
            <w:pPr>
              <w:spacing w:before="0" w:after="0" w:line="252" w:lineRule="auto"/>
            </w:pPr>
            <w:r/>
            <w:r>
              <w:rPr>
                <w:rFonts w:ascii="Calibri" w:hAnsi="Calibri"/>
                <w:color w:val="222A1A"/>
                <w:sz w:val="15"/>
              </w:rPr>
              <w:t>ECO-MOV-006</w:t>
            </w:r>
          </w:p>
        </w:tc>
        <w:tc>
          <w:tcPr>
            <w:tcW w:type="dxa" w:w="2780"/>
            <w:tcMar>
              <w:top w:w="80" w:type="dxa"/>
              <w:bottom w:w="80" w:type="dxa"/>
              <w:left w:w="120" w:type="dxa"/>
              <w:right w:w="120" w:type="dxa"/>
            </w:tcMar>
            <w:vAlign w:val="center"/>
          </w:tcPr>
          <w:p>
            <w:pPr>
              <w:spacing w:before="0" w:after="0" w:line="252" w:lineRule="auto"/>
            </w:pPr>
            <w:r/>
            <w:r>
              <w:rPr>
                <w:rFonts w:ascii="Calibri" w:hAnsi="Calibri"/>
                <w:color w:val="222A1A"/>
                <w:sz w:val="15"/>
              </w:rPr>
              <w:t>Teletrabajar al menos 1 día a la semana</w:t>
            </w:r>
          </w:p>
        </w:tc>
        <w:tc>
          <w:tcPr>
            <w:tcW w:type="dxa" w:w="1050"/>
            <w:tcMar>
              <w:top w:w="80" w:type="dxa"/>
              <w:bottom w:w="80" w:type="dxa"/>
              <w:left w:w="120" w:type="dxa"/>
              <w:right w:w="120" w:type="dxa"/>
            </w:tcMar>
            <w:vAlign w:val="center"/>
          </w:tcPr>
          <w:p>
            <w:pPr>
              <w:spacing w:before="0" w:after="0" w:line="252" w:lineRule="auto"/>
            </w:pPr>
            <w:r/>
            <w:r>
              <w:rPr>
                <w:rFonts w:ascii="Calibri" w:hAnsi="Calibri"/>
                <w:color w:val="222A1A"/>
                <w:sz w:val="15"/>
              </w:rPr>
              <w:t>CO2e</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5"/>
              </w:rPr>
              <w:t>MITECO; estimación AHC basada en km/año</w:t>
            </w:r>
          </w:p>
        </w:tc>
        <w:tc>
          <w:tcPr>
            <w:tcW w:type="dxa" w:w="166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52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5</w:t>
            </w:r>
          </w:p>
        </w:tc>
        <w:tc>
          <w:tcPr>
            <w:tcW w:type="dxa" w:w="1150"/>
            <w:tcMar>
              <w:top w:w="80" w:type="dxa"/>
              <w:bottom w:w="80" w:type="dxa"/>
              <w:left w:w="120" w:type="dxa"/>
              <w:right w:w="120" w:type="dxa"/>
            </w:tcMar>
            <w:vAlign w:val="center"/>
          </w:tcPr>
          <w:p>
            <w:pPr>
              <w:spacing w:before="0" w:after="0" w:line="252" w:lineRule="auto"/>
            </w:pPr>
            <w:r/>
            <w:r>
              <w:rPr>
                <w:rFonts w:ascii="Calibri" w:hAnsi="Calibri"/>
                <w:color w:val="222A1A"/>
                <w:sz w:val="15"/>
              </w:rPr>
              <w:t>ECO-ENE-004</w:t>
            </w:r>
          </w:p>
        </w:tc>
        <w:tc>
          <w:tcPr>
            <w:tcW w:type="dxa" w:w="2780"/>
            <w:tcMar>
              <w:top w:w="80" w:type="dxa"/>
              <w:bottom w:w="80" w:type="dxa"/>
              <w:left w:w="120" w:type="dxa"/>
              <w:right w:w="120" w:type="dxa"/>
            </w:tcMar>
            <w:vAlign w:val="center"/>
          </w:tcPr>
          <w:p>
            <w:pPr>
              <w:spacing w:before="0" w:after="0" w:line="252" w:lineRule="auto"/>
            </w:pPr>
            <w:r/>
            <w:r>
              <w:rPr>
                <w:rFonts w:ascii="Calibri" w:hAnsi="Calibri"/>
                <w:color w:val="222A1A"/>
                <w:sz w:val="15"/>
              </w:rPr>
              <w:t>Contratar electricidad 100% de fuentes renovables</w:t>
            </w:r>
          </w:p>
        </w:tc>
        <w:tc>
          <w:tcPr>
            <w:tcW w:type="dxa" w:w="1050"/>
            <w:tcMar>
              <w:top w:w="80" w:type="dxa"/>
              <w:bottom w:w="80" w:type="dxa"/>
              <w:left w:w="120" w:type="dxa"/>
              <w:right w:w="120" w:type="dxa"/>
            </w:tcMar>
            <w:vAlign w:val="center"/>
          </w:tcPr>
          <w:p>
            <w:pPr>
              <w:spacing w:before="0" w:after="0" w:line="252" w:lineRule="auto"/>
            </w:pPr>
            <w:r/>
            <w:r>
              <w:rPr>
                <w:rFonts w:ascii="Calibri" w:hAnsi="Calibri"/>
                <w:color w:val="222A1A"/>
                <w:sz w:val="15"/>
              </w:rPr>
              <w:t>CO2e</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5"/>
              </w:rPr>
              <w:t>REE - Informe del sistema eléctrico 2024</w:t>
            </w:r>
          </w:p>
        </w:tc>
        <w:tc>
          <w:tcPr>
            <w:tcW w:type="dxa" w:w="166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52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6</w:t>
            </w:r>
          </w:p>
        </w:tc>
        <w:tc>
          <w:tcPr>
            <w:tcW w:type="dxa" w:w="1150"/>
            <w:tcMar>
              <w:top w:w="80" w:type="dxa"/>
              <w:bottom w:w="80" w:type="dxa"/>
              <w:left w:w="120" w:type="dxa"/>
              <w:right w:w="120" w:type="dxa"/>
            </w:tcMar>
            <w:vAlign w:val="center"/>
          </w:tcPr>
          <w:p>
            <w:pPr>
              <w:spacing w:before="0" w:after="0" w:line="252" w:lineRule="auto"/>
            </w:pPr>
            <w:r/>
            <w:r>
              <w:rPr>
                <w:rFonts w:ascii="Calibri" w:hAnsi="Calibri"/>
                <w:color w:val="222A1A"/>
                <w:sz w:val="15"/>
              </w:rPr>
              <w:t>ECO-ENE-003</w:t>
            </w:r>
          </w:p>
        </w:tc>
        <w:tc>
          <w:tcPr>
            <w:tcW w:type="dxa" w:w="2780"/>
            <w:tcMar>
              <w:top w:w="80" w:type="dxa"/>
              <w:bottom w:w="80" w:type="dxa"/>
              <w:left w:w="120" w:type="dxa"/>
              <w:right w:w="120" w:type="dxa"/>
            </w:tcMar>
            <w:vAlign w:val="center"/>
          </w:tcPr>
          <w:p>
            <w:pPr>
              <w:spacing w:before="0" w:after="0" w:line="252" w:lineRule="auto"/>
            </w:pPr>
            <w:r/>
            <w:r>
              <w:rPr>
                <w:rFonts w:ascii="Calibri" w:hAnsi="Calibri"/>
                <w:color w:val="222A1A"/>
                <w:sz w:val="15"/>
              </w:rPr>
              <w:t>Regular el termostato a 19-20°C en invierno y 24-25°C en verano</w:t>
            </w:r>
          </w:p>
        </w:tc>
        <w:tc>
          <w:tcPr>
            <w:tcW w:type="dxa" w:w="1050"/>
            <w:tcMar>
              <w:top w:w="80" w:type="dxa"/>
              <w:bottom w:w="80" w:type="dxa"/>
              <w:left w:w="120" w:type="dxa"/>
              <w:right w:w="120" w:type="dxa"/>
            </w:tcMar>
            <w:vAlign w:val="center"/>
          </w:tcPr>
          <w:p>
            <w:pPr>
              <w:spacing w:before="0" w:after="0" w:line="252" w:lineRule="auto"/>
            </w:pPr>
            <w:r/>
            <w:r>
              <w:rPr>
                <w:rFonts w:ascii="Calibri" w:hAnsi="Calibri"/>
                <w:color w:val="222A1A"/>
                <w:sz w:val="15"/>
              </w:rPr>
              <w:t>CO2e</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5"/>
              </w:rPr>
              <w:t>IDAE; Ministerio para la Transición Ecológica</w:t>
            </w:r>
          </w:p>
        </w:tc>
        <w:tc>
          <w:tcPr>
            <w:tcW w:type="dxa" w:w="166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52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7</w:t>
            </w:r>
          </w:p>
        </w:tc>
        <w:tc>
          <w:tcPr>
            <w:tcW w:type="dxa" w:w="1150"/>
            <w:tcMar>
              <w:top w:w="80" w:type="dxa"/>
              <w:bottom w:w="80" w:type="dxa"/>
              <w:left w:w="120" w:type="dxa"/>
              <w:right w:w="120" w:type="dxa"/>
            </w:tcMar>
            <w:vAlign w:val="center"/>
          </w:tcPr>
          <w:p>
            <w:pPr>
              <w:spacing w:before="0" w:after="0" w:line="252" w:lineRule="auto"/>
            </w:pPr>
            <w:r/>
            <w:r>
              <w:rPr>
                <w:rFonts w:ascii="Calibri" w:hAnsi="Calibri"/>
                <w:color w:val="222A1A"/>
                <w:sz w:val="15"/>
              </w:rPr>
              <w:t>ECO-ALI-001</w:t>
            </w:r>
          </w:p>
        </w:tc>
        <w:tc>
          <w:tcPr>
            <w:tcW w:type="dxa" w:w="2780"/>
            <w:tcMar>
              <w:top w:w="80" w:type="dxa"/>
              <w:bottom w:w="80" w:type="dxa"/>
              <w:left w:w="120" w:type="dxa"/>
              <w:right w:w="120" w:type="dxa"/>
            </w:tcMar>
            <w:vAlign w:val="center"/>
          </w:tcPr>
          <w:p>
            <w:pPr>
              <w:spacing w:before="0" w:after="0" w:line="252" w:lineRule="auto"/>
            </w:pPr>
            <w:r/>
            <w:r>
              <w:rPr>
                <w:rFonts w:ascii="Calibri" w:hAnsi="Calibri"/>
                <w:color w:val="222A1A"/>
                <w:sz w:val="15"/>
              </w:rPr>
              <w:t>Reducir el consumo de carne de vacuno a máximo 1 vez por semana</w:t>
            </w:r>
          </w:p>
        </w:tc>
        <w:tc>
          <w:tcPr>
            <w:tcW w:type="dxa" w:w="1050"/>
            <w:tcMar>
              <w:top w:w="80" w:type="dxa"/>
              <w:bottom w:w="80" w:type="dxa"/>
              <w:left w:w="120" w:type="dxa"/>
              <w:right w:w="120" w:type="dxa"/>
            </w:tcMar>
            <w:vAlign w:val="center"/>
          </w:tcPr>
          <w:p>
            <w:pPr>
              <w:spacing w:before="0" w:after="0" w:line="252" w:lineRule="auto"/>
            </w:pPr>
            <w:r/>
            <w:r>
              <w:rPr>
                <w:rFonts w:ascii="Calibri" w:hAnsi="Calibri"/>
                <w:color w:val="222A1A"/>
                <w:sz w:val="15"/>
              </w:rPr>
              <w:t>CO2e</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5"/>
              </w:rPr>
              <w:t>FAO - Livestock's Long Shadow; MITECO</w:t>
            </w:r>
          </w:p>
        </w:tc>
        <w:tc>
          <w:tcPr>
            <w:tcW w:type="dxa" w:w="166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52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8</w:t>
            </w:r>
          </w:p>
        </w:tc>
        <w:tc>
          <w:tcPr>
            <w:tcW w:type="dxa" w:w="1150"/>
            <w:tcMar>
              <w:top w:w="80" w:type="dxa"/>
              <w:bottom w:w="80" w:type="dxa"/>
              <w:left w:w="120" w:type="dxa"/>
              <w:right w:w="120" w:type="dxa"/>
            </w:tcMar>
            <w:vAlign w:val="center"/>
          </w:tcPr>
          <w:p>
            <w:pPr>
              <w:spacing w:before="0" w:after="0" w:line="252" w:lineRule="auto"/>
            </w:pPr>
            <w:r/>
            <w:r>
              <w:rPr>
                <w:rFonts w:ascii="Calibri" w:hAnsi="Calibri"/>
                <w:color w:val="222A1A"/>
                <w:sz w:val="15"/>
              </w:rPr>
              <w:t>ECO-ALI-002</w:t>
            </w:r>
          </w:p>
        </w:tc>
        <w:tc>
          <w:tcPr>
            <w:tcW w:type="dxa" w:w="2780"/>
            <w:tcMar>
              <w:top w:w="80" w:type="dxa"/>
              <w:bottom w:w="80" w:type="dxa"/>
              <w:left w:w="120" w:type="dxa"/>
              <w:right w:w="120" w:type="dxa"/>
            </w:tcMar>
            <w:vAlign w:val="center"/>
          </w:tcPr>
          <w:p>
            <w:pPr>
              <w:spacing w:before="0" w:after="0" w:line="252" w:lineRule="auto"/>
            </w:pPr>
            <w:r/>
            <w:r>
              <w:rPr>
                <w:rFonts w:ascii="Calibri" w:hAnsi="Calibri"/>
                <w:color w:val="222A1A"/>
                <w:sz w:val="15"/>
              </w:rPr>
              <w:t>Planificar el menú semanal antes de hacer la compra</w:t>
            </w:r>
          </w:p>
        </w:tc>
        <w:tc>
          <w:tcPr>
            <w:tcW w:type="dxa" w:w="1050"/>
            <w:tcMar>
              <w:top w:w="80" w:type="dxa"/>
              <w:bottom w:w="80" w:type="dxa"/>
              <w:left w:w="120" w:type="dxa"/>
              <w:right w:w="120" w:type="dxa"/>
            </w:tcMar>
            <w:vAlign w:val="center"/>
          </w:tcPr>
          <w:p>
            <w:pPr>
              <w:spacing w:before="0" w:after="0" w:line="252" w:lineRule="auto"/>
            </w:pPr>
            <w:r/>
            <w:r>
              <w:rPr>
                <w:rFonts w:ascii="Calibri" w:hAnsi="Calibri"/>
                <w:color w:val="222A1A"/>
                <w:sz w:val="15"/>
              </w:rPr>
              <w:t>CO2e</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5"/>
              </w:rPr>
              <w:t>FAO; WRAP - The food we waste</w:t>
            </w:r>
          </w:p>
        </w:tc>
        <w:tc>
          <w:tcPr>
            <w:tcW w:type="dxa" w:w="166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52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9</w:t>
            </w:r>
          </w:p>
        </w:tc>
        <w:tc>
          <w:tcPr>
            <w:tcW w:type="dxa" w:w="1150"/>
            <w:tcMar>
              <w:top w:w="80" w:type="dxa"/>
              <w:bottom w:w="80" w:type="dxa"/>
              <w:left w:w="120" w:type="dxa"/>
              <w:right w:w="120" w:type="dxa"/>
            </w:tcMar>
            <w:vAlign w:val="center"/>
          </w:tcPr>
          <w:p>
            <w:pPr>
              <w:spacing w:before="0" w:after="0" w:line="252" w:lineRule="auto"/>
            </w:pPr>
            <w:r/>
            <w:r>
              <w:rPr>
                <w:rFonts w:ascii="Calibri" w:hAnsi="Calibri"/>
                <w:color w:val="222A1A"/>
                <w:sz w:val="15"/>
              </w:rPr>
              <w:t>ECO-RES-002</w:t>
            </w:r>
          </w:p>
        </w:tc>
        <w:tc>
          <w:tcPr>
            <w:tcW w:type="dxa" w:w="2780"/>
            <w:tcMar>
              <w:top w:w="80" w:type="dxa"/>
              <w:bottom w:w="80" w:type="dxa"/>
              <w:left w:w="120" w:type="dxa"/>
              <w:right w:w="120" w:type="dxa"/>
            </w:tcMar>
            <w:vAlign w:val="center"/>
          </w:tcPr>
          <w:p>
            <w:pPr>
              <w:spacing w:before="0" w:after="0" w:line="252" w:lineRule="auto"/>
            </w:pPr>
            <w:r/>
            <w:r>
              <w:rPr>
                <w:rFonts w:ascii="Calibri" w:hAnsi="Calibri"/>
                <w:color w:val="222A1A"/>
                <w:sz w:val="15"/>
              </w:rPr>
              <w:t>Compostar los residuos orgánicos en casa o punto comunitario</w:t>
            </w:r>
          </w:p>
        </w:tc>
        <w:tc>
          <w:tcPr>
            <w:tcW w:type="dxa" w:w="1050"/>
            <w:tcMar>
              <w:top w:w="80" w:type="dxa"/>
              <w:bottom w:w="80" w:type="dxa"/>
              <w:left w:w="120" w:type="dxa"/>
              <w:right w:w="120" w:type="dxa"/>
            </w:tcMar>
            <w:vAlign w:val="center"/>
          </w:tcPr>
          <w:p>
            <w:pPr>
              <w:spacing w:before="0" w:after="0" w:line="252" w:lineRule="auto"/>
            </w:pPr>
            <w:r/>
            <w:r>
              <w:rPr>
                <w:rFonts w:ascii="Calibri" w:hAnsi="Calibri"/>
                <w:color w:val="222A1A"/>
                <w:sz w:val="15"/>
              </w:rPr>
              <w:t>CO2e</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5"/>
              </w:rPr>
              <w:t>ARC - Agència de Residus de Catalunya; MITECO</w:t>
            </w:r>
          </w:p>
        </w:tc>
        <w:tc>
          <w:tcPr>
            <w:tcW w:type="dxa" w:w="166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52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10</w:t>
            </w:r>
          </w:p>
        </w:tc>
        <w:tc>
          <w:tcPr>
            <w:tcW w:type="dxa" w:w="1150"/>
            <w:tcMar>
              <w:top w:w="80" w:type="dxa"/>
              <w:bottom w:w="80" w:type="dxa"/>
              <w:left w:w="120" w:type="dxa"/>
              <w:right w:w="120" w:type="dxa"/>
            </w:tcMar>
            <w:vAlign w:val="center"/>
          </w:tcPr>
          <w:p>
            <w:pPr>
              <w:spacing w:before="0" w:after="0" w:line="252" w:lineRule="auto"/>
            </w:pPr>
            <w:r/>
            <w:r>
              <w:rPr>
                <w:rFonts w:ascii="Calibri" w:hAnsi="Calibri"/>
                <w:color w:val="222A1A"/>
                <w:sz w:val="15"/>
              </w:rPr>
              <w:t>ECO-AGU-002</w:t>
            </w:r>
          </w:p>
        </w:tc>
        <w:tc>
          <w:tcPr>
            <w:tcW w:type="dxa" w:w="2780"/>
            <w:tcMar>
              <w:top w:w="80" w:type="dxa"/>
              <w:bottom w:w="80" w:type="dxa"/>
              <w:left w:w="120" w:type="dxa"/>
              <w:right w:w="120" w:type="dxa"/>
            </w:tcMar>
            <w:vAlign w:val="center"/>
          </w:tcPr>
          <w:p>
            <w:pPr>
              <w:spacing w:before="0" w:after="0" w:line="252" w:lineRule="auto"/>
            </w:pPr>
            <w:r/>
            <w:r>
              <w:rPr>
                <w:rFonts w:ascii="Calibri" w:hAnsi="Calibri"/>
                <w:color w:val="222A1A"/>
                <w:sz w:val="15"/>
              </w:rPr>
              <w:t>Acortar la ducha a menos de 5 minutos</w:t>
            </w:r>
          </w:p>
        </w:tc>
        <w:tc>
          <w:tcPr>
            <w:tcW w:type="dxa" w:w="1050"/>
            <w:tcMar>
              <w:top w:w="80" w:type="dxa"/>
              <w:bottom w:w="80" w:type="dxa"/>
              <w:left w:w="120" w:type="dxa"/>
              <w:right w:w="120" w:type="dxa"/>
            </w:tcMar>
            <w:vAlign w:val="center"/>
          </w:tcPr>
          <w:p>
            <w:pPr>
              <w:spacing w:before="0" w:after="0" w:line="252" w:lineRule="auto"/>
            </w:pPr>
            <w:r/>
            <w:r>
              <w:rPr>
                <w:rFonts w:ascii="Calibri" w:hAnsi="Calibri"/>
                <w:color w:val="222A1A"/>
                <w:sz w:val="15"/>
              </w:rPr>
              <w:t>Agua</w:t>
            </w:r>
          </w:p>
        </w:tc>
        <w:tc>
          <w:tcPr>
            <w:tcW w:type="dxa" w:w="2200"/>
            <w:tcMar>
              <w:top w:w="80" w:type="dxa"/>
              <w:bottom w:w="80" w:type="dxa"/>
              <w:left w:w="120" w:type="dxa"/>
              <w:right w:w="120" w:type="dxa"/>
            </w:tcMar>
            <w:vAlign w:val="center"/>
          </w:tcPr>
          <w:p>
            <w:pPr>
              <w:spacing w:before="0" w:after="0" w:line="252" w:lineRule="auto"/>
            </w:pPr>
            <w:r/>
            <w:r>
              <w:rPr>
                <w:rFonts w:ascii="Calibri" w:hAnsi="Calibri"/>
                <w:color w:val="222A1A"/>
                <w:sz w:val="15"/>
              </w:rPr>
              <w:t>MITECO; Agencia Catalana de l'Aigua</w:t>
            </w:r>
          </w:p>
        </w:tc>
        <w:tc>
          <w:tcPr>
            <w:tcW w:type="dxa" w:w="1660"/>
            <w:tcMar>
              <w:top w:w="80" w:type="dxa"/>
              <w:bottom w:w="80" w:type="dxa"/>
              <w:left w:w="120" w:type="dxa"/>
              <w:right w:w="120" w:type="dxa"/>
            </w:tcMar>
            <w:vAlign w:val="center"/>
          </w:tcPr>
          <w:p>
            <w:pPr>
              <w:spacing w:before="0" w:after="0" w:line="252" w:lineRule="auto"/>
            </w:pPr>
            <w:r/>
            <w:r>
              <w:rPr>
                <w:rFonts w:ascii="Calibri" w:hAnsi="Calibri"/>
                <w:color w:val="222A1A"/>
                <w:sz w:val="15"/>
              </w:rPr>
              <w:t>Mantener unidad separada y validar factor específico.</w:t>
            </w:r>
          </w:p>
        </w:tc>
      </w:tr>
    </w:tbl>
    <w:p>
      <w:pPr>
        <w:spacing w:after="80"/>
      </w:pPr>
    </w:p>
    <w:p>
      <w:pPr>
        <w:pStyle w:val="Heading1"/>
        <w:keepNext/>
      </w:pPr>
      <w:r>
        <w:rPr>
          <w:rFonts w:ascii="Calibri" w:hAnsi="Calibri"/>
          <w:color w:val="4F9447"/>
        </w:rPr>
        <w:t>7. Guion de defensa para la presentación</w:t>
      </w:r>
    </w:p>
    <w:p>
      <w:pPr>
        <w:spacing w:before="0" w:after="120" w:line="264" w:lineRule="auto"/>
      </w:pPr>
      <w:r>
        <w:rPr>
          <w:rFonts w:ascii="Calibri" w:hAnsi="Calibri"/>
          <w:b w:val="0"/>
          <w:i w:val="0"/>
          <w:color w:val="222A1A"/>
          <w:sz w:val="22"/>
        </w:rPr>
        <w:t>La explicación recomendada es directa: se ha construido un MVP funcional que calcula, registra y comunica impacto de forma trazable, pero no sustituye una auditoría externa. Esa frase baja el riesgo y, a la vez, demuestra madurez técnica.</w:t>
      </w:r>
    </w:p>
    <w:p>
      <w:pPr>
        <w:pStyle w:val="ListNumber"/>
        <w:spacing w:after="120" w:line="280" w:lineRule="auto"/>
      </w:pPr>
      <w:r>
        <w:rPr>
          <w:rFonts w:ascii="Calibri" w:hAnsi="Calibri"/>
          <w:color w:val="222A1A"/>
          <w:sz w:val="21"/>
        </w:rPr>
        <w:t>No vendemos una certificación científica cerrada; vendemos un sistema preparado para ser auditado y mejorado.</w:t>
      </w:r>
    </w:p>
    <w:p>
      <w:pPr>
        <w:pStyle w:val="ListNumber"/>
        <w:spacing w:after="120" w:line="280" w:lineRule="auto"/>
      </w:pPr>
      <w:r>
        <w:rPr>
          <w:rFonts w:ascii="Calibri" w:hAnsi="Calibri"/>
          <w:color w:val="222A1A"/>
          <w:sz w:val="21"/>
        </w:rPr>
        <w:t>Cada EcoGesto tiene unidad, periodo, fuente, nivel de confianza y estado editorial.</w:t>
      </w:r>
    </w:p>
    <w:p>
      <w:pPr>
        <w:pStyle w:val="ListNumber"/>
        <w:spacing w:after="120" w:line="280" w:lineRule="auto"/>
      </w:pPr>
      <w:r>
        <w:rPr>
          <w:rFonts w:ascii="Calibri" w:hAnsi="Calibri"/>
          <w:color w:val="222A1A"/>
          <w:sz w:val="21"/>
        </w:rPr>
        <w:t>El usuario ve estimaciones útiles, no promesas absolutas. Los impactos reales dependen de ubicación, hábitos y tecnología sustituida.</w:t>
      </w:r>
    </w:p>
    <w:p>
      <w:pPr>
        <w:pStyle w:val="ListNumber"/>
        <w:spacing w:after="120" w:line="280" w:lineRule="auto"/>
      </w:pPr>
      <w:r>
        <w:rPr>
          <w:rFonts w:ascii="Calibri" w:hAnsi="Calibri"/>
          <w:color w:val="222A1A"/>
          <w:sz w:val="21"/>
        </w:rPr>
        <w:t>El sistema separa CO2e, agua, plástico y euros para evitar una suma ambiental falsa.</w:t>
      </w:r>
    </w:p>
    <w:p>
      <w:pPr>
        <w:pStyle w:val="ListNumber"/>
        <w:spacing w:after="120" w:line="280" w:lineRule="auto"/>
      </w:pPr>
      <w:r>
        <w:rPr>
          <w:rFonts w:ascii="Calibri" w:hAnsi="Calibri"/>
          <w:color w:val="222A1A"/>
          <w:sz w:val="21"/>
        </w:rPr>
        <w:t>La matriz permite que una persona experta revise primero los EcoGestos de más impacto.</w:t>
      </w:r>
    </w:p>
    <w:p>
      <w:pPr>
        <w:pStyle w:val="Heading2"/>
        <w:keepNext/>
      </w:pPr>
      <w:r>
        <w:rPr>
          <w:rFonts w:ascii="Calibri" w:hAnsi="Calibri"/>
          <w:color w:val="4F9447"/>
        </w:rPr>
        <w:t>Riesgos y mitigación</w:t>
      </w:r>
    </w:p>
    <w:tbl>
      <w:tblGrid>
        <w:gridCol w:w="3400"/>
        <w:gridCol w:w="596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3400"/>
            <w:tcMar>
              <w:top w:w="80" w:type="dxa"/>
              <w:bottom w:w="80" w:type="dxa"/>
              <w:left w:w="120" w:type="dxa"/>
              <w:right w:w="120" w:type="dxa"/>
            </w:tcMar>
            <w:vAlign w:val="center"/>
            <w:shd w:fill="EAF3E8"/>
          </w:tcPr>
          <w:p>
            <w:pPr>
              <w:spacing w:after="0"/>
            </w:pPr>
            <w:r/>
            <w:r>
              <w:rPr>
                <w:rFonts w:ascii="Calibri" w:hAnsi="Calibri"/>
                <w:b/>
                <w:color w:val="222A1A"/>
                <w:sz w:val="18"/>
              </w:rPr>
              <w:t>Riesgo</w:t>
            </w:r>
          </w:p>
        </w:tc>
        <w:tc>
          <w:tcPr>
            <w:tcW w:type="dxa" w:w="5960"/>
            <w:tcMar>
              <w:top w:w="80" w:type="dxa"/>
              <w:bottom w:w="80" w:type="dxa"/>
              <w:left w:w="120" w:type="dxa"/>
              <w:right w:w="120" w:type="dxa"/>
            </w:tcMar>
            <w:vAlign w:val="center"/>
            <w:shd w:fill="EAF3E8"/>
          </w:tcPr>
          <w:p>
            <w:pPr>
              <w:spacing w:after="0"/>
            </w:pPr>
            <w:r/>
            <w:r>
              <w:rPr>
                <w:rFonts w:ascii="Calibri" w:hAnsi="Calibri"/>
                <w:b/>
                <w:color w:val="222A1A"/>
                <w:sz w:val="18"/>
              </w:rPr>
              <w:t>Mitigación en el MVP</w:t>
            </w:r>
          </w:p>
        </w:tc>
      </w:tr>
      <w:tr>
        <w:trPr>
          <w:cantSplit/>
        </w:trPr>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8"/>
              </w:rPr>
              <w:t>Sobreprometer exactitud científica.</w:t>
            </w:r>
          </w:p>
        </w:tc>
        <w:tc>
          <w:tcPr>
            <w:tcW w:type="dxa" w:w="5960"/>
            <w:tcMar>
              <w:top w:w="80" w:type="dxa"/>
              <w:bottom w:w="80" w:type="dxa"/>
              <w:left w:w="120" w:type="dxa"/>
              <w:right w:w="120" w:type="dxa"/>
            </w:tcMar>
            <w:vAlign w:val="center"/>
          </w:tcPr>
          <w:p>
            <w:pPr>
              <w:spacing w:before="0" w:after="0" w:line="252" w:lineRule="auto"/>
            </w:pPr>
            <w:r/>
            <w:r>
              <w:rPr>
                <w:rFonts w:ascii="Calibri" w:hAnsi="Calibri"/>
                <w:color w:val="222A1A"/>
                <w:sz w:val="18"/>
              </w:rPr>
              <w:t>Usar niveles de confianza y disclaimer visible.</w:t>
            </w:r>
          </w:p>
        </w:tc>
      </w:tr>
      <w:tr>
        <w:trPr>
          <w:cantSplit/>
        </w:trPr>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8"/>
              </w:rPr>
              <w:t>Sumar unidades incompatibles.</w:t>
            </w:r>
          </w:p>
        </w:tc>
        <w:tc>
          <w:tcPr>
            <w:tcW w:type="dxa" w:w="5960"/>
            <w:tcMar>
              <w:top w:w="80" w:type="dxa"/>
              <w:bottom w:w="80" w:type="dxa"/>
              <w:left w:w="120" w:type="dxa"/>
              <w:right w:w="120" w:type="dxa"/>
            </w:tcMar>
            <w:vAlign w:val="center"/>
          </w:tcPr>
          <w:p>
            <w:pPr>
              <w:spacing w:before="0" w:after="0" w:line="252" w:lineRule="auto"/>
            </w:pPr>
            <w:r/>
            <w:r>
              <w:rPr>
                <w:rFonts w:ascii="Calibri" w:hAnsi="Calibri"/>
                <w:color w:val="222A1A"/>
                <w:sz w:val="18"/>
              </w:rPr>
              <w:t>Agregación separada por CO2e, agua, plástico y euros.</w:t>
            </w:r>
          </w:p>
        </w:tc>
      </w:tr>
      <w:tr>
        <w:trPr>
          <w:cantSplit/>
        </w:trPr>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8"/>
              </w:rPr>
              <w:t>Factores desactualizados.</w:t>
            </w:r>
          </w:p>
        </w:tc>
        <w:tc>
          <w:tcPr>
            <w:tcW w:type="dxa" w:w="5960"/>
            <w:tcMar>
              <w:top w:w="80" w:type="dxa"/>
              <w:bottom w:w="80" w:type="dxa"/>
              <w:left w:w="120" w:type="dxa"/>
              <w:right w:w="120" w:type="dxa"/>
            </w:tcMar>
            <w:vAlign w:val="center"/>
          </w:tcPr>
          <w:p>
            <w:pPr>
              <w:spacing w:before="0" w:after="0" w:line="252" w:lineRule="auto"/>
            </w:pPr>
            <w:r/>
            <w:r>
              <w:rPr>
                <w:rFonts w:ascii="Calibri" w:hAnsi="Calibri"/>
                <w:color w:val="222A1A"/>
                <w:sz w:val="18"/>
              </w:rPr>
              <w:t>Fecha de revisión y fuente guardada por resultado.</w:t>
            </w:r>
          </w:p>
        </w:tc>
      </w:tr>
      <w:tr>
        <w:trPr>
          <w:cantSplit/>
        </w:trPr>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8"/>
              </w:rPr>
              <w:t>Alta variabilidad en alimentación/consumo.</w:t>
            </w:r>
          </w:p>
        </w:tc>
        <w:tc>
          <w:tcPr>
            <w:tcW w:type="dxa" w:w="5960"/>
            <w:tcMar>
              <w:top w:w="80" w:type="dxa"/>
              <w:bottom w:w="80" w:type="dxa"/>
              <w:left w:w="120" w:type="dxa"/>
              <w:right w:w="120" w:type="dxa"/>
            </w:tcMar>
            <w:vAlign w:val="center"/>
          </w:tcPr>
          <w:p>
            <w:pPr>
              <w:spacing w:before="0" w:after="0" w:line="252" w:lineRule="auto"/>
            </w:pPr>
            <w:r/>
            <w:r>
              <w:rPr>
                <w:rFonts w:ascii="Calibri" w:hAnsi="Calibri"/>
                <w:color w:val="222A1A"/>
                <w:sz w:val="18"/>
              </w:rPr>
              <w:t>Rangos, supuestos explícitos y prioridad de revisión.</w:t>
            </w:r>
          </w:p>
        </w:tc>
      </w:tr>
      <w:tr>
        <w:trPr>
          <w:cantSplit/>
        </w:trPr>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8"/>
              </w:rPr>
              <w:t>Impactos financieros indirectos.</w:t>
            </w:r>
          </w:p>
        </w:tc>
        <w:tc>
          <w:tcPr>
            <w:tcW w:type="dxa" w:w="5960"/>
            <w:tcMar>
              <w:top w:w="80" w:type="dxa"/>
              <w:bottom w:w="80" w:type="dxa"/>
              <w:left w:w="120" w:type="dxa"/>
              <w:right w:w="120" w:type="dxa"/>
            </w:tcMar>
            <w:vAlign w:val="center"/>
          </w:tcPr>
          <w:p>
            <w:pPr>
              <w:spacing w:before="0" w:after="0" w:line="252" w:lineRule="auto"/>
            </w:pPr>
            <w:r/>
            <w:r>
              <w:rPr>
                <w:rFonts w:ascii="Calibri" w:hAnsi="Calibri"/>
                <w:color w:val="222A1A"/>
                <w:sz w:val="18"/>
              </w:rPr>
              <w:t>Mostrarlos como cualitativos o no agregables hasta metodología específica.</w:t>
            </w:r>
          </w:p>
        </w:tc>
      </w:tr>
    </w:tbl>
    <w:p>
      <w:pPr>
        <w:spacing w:after="80"/>
      </w:pPr>
    </w:p>
    <w:p>
      <w:pPr>
        <w:pStyle w:val="Heading1"/>
        <w:keepNext/>
      </w:pPr>
      <w:r>
        <w:rPr>
          <w:rFonts w:ascii="Calibri" w:hAnsi="Calibri"/>
          <w:color w:val="4F9447"/>
        </w:rPr>
        <w:t>8. Recursos y fuentes consultadas</w:t>
      </w:r>
    </w:p>
    <w:p>
      <w:pPr>
        <w:spacing w:before="0" w:after="120" w:line="264" w:lineRule="auto"/>
      </w:pPr>
      <w:r>
        <w:rPr>
          <w:rFonts w:ascii="Calibri" w:hAnsi="Calibri"/>
          <w:b w:val="0"/>
          <w:i w:val="0"/>
          <w:color w:val="222A1A"/>
          <w:sz w:val="22"/>
        </w:rPr>
        <w:t>Estas fuentes son la base recomendada para defender la metodología y completar la validación profesional. La columna de uso indica dónde encaja cada una dentro del MVP.</w:t>
      </w:r>
    </w:p>
    <w:tbl>
      <w:tblGrid>
        <w:gridCol w:w="2250"/>
        <w:gridCol w:w="3400"/>
        <w:gridCol w:w="371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2250"/>
            <w:tcMar>
              <w:top w:w="80" w:type="dxa"/>
              <w:bottom w:w="80" w:type="dxa"/>
              <w:left w:w="120" w:type="dxa"/>
              <w:right w:w="120" w:type="dxa"/>
            </w:tcMar>
            <w:vAlign w:val="center"/>
            <w:shd w:fill="EAF3E8"/>
          </w:tcPr>
          <w:p>
            <w:pPr>
              <w:spacing w:after="0"/>
            </w:pPr>
            <w:r/>
            <w:r>
              <w:rPr>
                <w:rFonts w:ascii="Calibri" w:hAnsi="Calibri"/>
                <w:b/>
                <w:color w:val="222A1A"/>
                <w:sz w:val="15"/>
              </w:rPr>
              <w:t>Fuente</w:t>
            </w:r>
          </w:p>
        </w:tc>
        <w:tc>
          <w:tcPr>
            <w:tcW w:type="dxa" w:w="3400"/>
            <w:tcMar>
              <w:top w:w="80" w:type="dxa"/>
              <w:bottom w:w="80" w:type="dxa"/>
              <w:left w:w="120" w:type="dxa"/>
              <w:right w:w="120" w:type="dxa"/>
            </w:tcMar>
            <w:vAlign w:val="center"/>
            <w:shd w:fill="EAF3E8"/>
          </w:tcPr>
          <w:p>
            <w:pPr>
              <w:spacing w:after="0"/>
            </w:pPr>
            <w:r/>
            <w:r>
              <w:rPr>
                <w:rFonts w:ascii="Calibri" w:hAnsi="Calibri"/>
                <w:b/>
                <w:color w:val="222A1A"/>
                <w:sz w:val="15"/>
              </w:rPr>
              <w:t>URL</w:t>
            </w:r>
          </w:p>
        </w:tc>
        <w:tc>
          <w:tcPr>
            <w:tcW w:type="dxa" w:w="3710"/>
            <w:tcMar>
              <w:top w:w="80" w:type="dxa"/>
              <w:bottom w:w="80" w:type="dxa"/>
              <w:left w:w="120" w:type="dxa"/>
              <w:right w:w="120" w:type="dxa"/>
            </w:tcMar>
            <w:vAlign w:val="center"/>
            <w:shd w:fill="EAF3E8"/>
          </w:tcPr>
          <w:p>
            <w:pPr>
              <w:spacing w:after="0"/>
            </w:pPr>
            <w:r/>
            <w:r>
              <w:rPr>
                <w:rFonts w:ascii="Calibri" w:hAnsi="Calibri"/>
                <w:b/>
                <w:color w:val="222A1A"/>
                <w:sz w:val="15"/>
              </w:rPr>
              <w:t>Uso</w:t>
            </w:r>
          </w:p>
        </w:tc>
      </w:tr>
      <w:tr>
        <w:trPr>
          <w:cantSplit/>
        </w:trPr>
        <w:tc>
          <w:tcPr>
            <w:tcW w:type="dxa" w:w="2250"/>
            <w:tcMar>
              <w:top w:w="80" w:type="dxa"/>
              <w:bottom w:w="80" w:type="dxa"/>
              <w:left w:w="120" w:type="dxa"/>
              <w:right w:w="120" w:type="dxa"/>
            </w:tcMar>
            <w:vAlign w:val="center"/>
          </w:tcPr>
          <w:p>
            <w:pPr>
              <w:spacing w:before="0" w:after="0" w:line="252" w:lineRule="auto"/>
            </w:pPr>
            <w:r/>
            <w:r>
              <w:rPr>
                <w:rFonts w:ascii="Calibri" w:hAnsi="Calibri"/>
                <w:color w:val="222A1A"/>
                <w:sz w:val="15"/>
              </w:rPr>
              <w:t>MITECO - Calculadoras de huella de carbono</w:t>
            </w:r>
          </w:p>
        </w:tc>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5"/>
              </w:rPr>
              <w:t>https://www.miteco.gob.es/es/cambio-climatico/temas/mitigacion-politicas-y-medidas/calculadoras.html</w:t>
            </w:r>
          </w:p>
        </w:tc>
        <w:tc>
          <w:tcPr>
            <w:tcW w:type="dxa" w:w="3710"/>
            <w:tcMar>
              <w:top w:w="80" w:type="dxa"/>
              <w:bottom w:w="80" w:type="dxa"/>
              <w:left w:w="120" w:type="dxa"/>
              <w:right w:w="120" w:type="dxa"/>
            </w:tcMar>
            <w:vAlign w:val="center"/>
          </w:tcPr>
          <w:p>
            <w:pPr>
              <w:spacing w:before="0" w:after="0" w:line="252" w:lineRule="auto"/>
            </w:pPr>
            <w:r/>
            <w:r>
              <w:rPr>
                <w:rFonts w:ascii="Calibri" w:hAnsi="Calibri"/>
                <w:color w:val="222A1A"/>
                <w:sz w:val="15"/>
              </w:rPr>
              <w:t>Marco español de factores y cálculo de huella, especialmente organización y emisiones energéticas/directas.</w:t>
            </w:r>
          </w:p>
        </w:tc>
      </w:tr>
      <w:tr>
        <w:trPr>
          <w:cantSplit/>
        </w:trPr>
        <w:tc>
          <w:tcPr>
            <w:tcW w:type="dxa" w:w="2250"/>
            <w:tcMar>
              <w:top w:w="80" w:type="dxa"/>
              <w:bottom w:w="80" w:type="dxa"/>
              <w:left w:w="120" w:type="dxa"/>
              <w:right w:w="120" w:type="dxa"/>
            </w:tcMar>
            <w:vAlign w:val="center"/>
          </w:tcPr>
          <w:p>
            <w:pPr>
              <w:spacing w:before="0" w:after="0" w:line="252" w:lineRule="auto"/>
            </w:pPr>
            <w:r/>
            <w:r>
              <w:rPr>
                <w:rFonts w:ascii="Calibri" w:hAnsi="Calibri"/>
                <w:color w:val="222A1A"/>
                <w:sz w:val="15"/>
              </w:rPr>
              <w:t>MITECO - Guía para el cálculo de la huella de carbono</w:t>
            </w:r>
          </w:p>
        </w:tc>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5"/>
              </w:rPr>
              <w:t>https://www.miteco.gob.es/content/dam/miteco/es/cambio-climatico/temas/mitigacion-politicas-y-medidas/guia_huella_carbono_tcm30-479093.pdf</w:t>
            </w:r>
          </w:p>
        </w:tc>
        <w:tc>
          <w:tcPr>
            <w:tcW w:type="dxa" w:w="3710"/>
            <w:tcMar>
              <w:top w:w="80" w:type="dxa"/>
              <w:bottom w:w="80" w:type="dxa"/>
              <w:left w:w="120" w:type="dxa"/>
              <w:right w:w="120" w:type="dxa"/>
            </w:tcMar>
            <w:vAlign w:val="center"/>
          </w:tcPr>
          <w:p>
            <w:pPr>
              <w:spacing w:before="0" w:after="0" w:line="252" w:lineRule="auto"/>
            </w:pPr>
            <w:r/>
            <w:r>
              <w:rPr>
                <w:rFonts w:ascii="Calibri" w:hAnsi="Calibri"/>
                <w:color w:val="222A1A"/>
                <w:sz w:val="15"/>
              </w:rPr>
              <w:t>Base metodológica para explicar alcance, factores, límites y documentación de emisiones.</w:t>
            </w:r>
          </w:p>
        </w:tc>
      </w:tr>
      <w:tr>
        <w:trPr>
          <w:cantSplit/>
        </w:trPr>
        <w:tc>
          <w:tcPr>
            <w:tcW w:type="dxa" w:w="2250"/>
            <w:tcMar>
              <w:top w:w="80" w:type="dxa"/>
              <w:bottom w:w="80" w:type="dxa"/>
              <w:left w:w="120" w:type="dxa"/>
              <w:right w:w="120" w:type="dxa"/>
            </w:tcMar>
            <w:vAlign w:val="center"/>
          </w:tcPr>
          <w:p>
            <w:pPr>
              <w:spacing w:before="0" w:after="0" w:line="252" w:lineRule="auto"/>
            </w:pPr>
            <w:r/>
            <w:r>
              <w:rPr>
                <w:rFonts w:ascii="Calibri" w:hAnsi="Calibri"/>
                <w:color w:val="222A1A"/>
                <w:sz w:val="15"/>
              </w:rPr>
              <w:t>Red Eléctrica - Emisiones de CO2 del sistema eléctrico</w:t>
            </w:r>
          </w:p>
        </w:tc>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5"/>
              </w:rPr>
              <w:t>https://www.ree.es/es/datos/generacion/no-renovables-detalle-emisiones-CO2</w:t>
            </w:r>
          </w:p>
        </w:tc>
        <w:tc>
          <w:tcPr>
            <w:tcW w:type="dxa" w:w="3710"/>
            <w:tcMar>
              <w:top w:w="80" w:type="dxa"/>
              <w:bottom w:w="80" w:type="dxa"/>
              <w:left w:w="120" w:type="dxa"/>
              <w:right w:w="120" w:type="dxa"/>
            </w:tcMar>
            <w:vAlign w:val="center"/>
          </w:tcPr>
          <w:p>
            <w:pPr>
              <w:spacing w:before="0" w:after="0" w:line="252" w:lineRule="auto"/>
            </w:pPr>
            <w:r/>
            <w:r>
              <w:rPr>
                <w:rFonts w:ascii="Calibri" w:hAnsi="Calibri"/>
                <w:color w:val="222A1A"/>
                <w:sz w:val="15"/>
              </w:rPr>
              <w:t>Factor eléctrico y lectura de kg/tCO2e por MWh para gestos de electricidad.</w:t>
            </w:r>
          </w:p>
        </w:tc>
      </w:tr>
      <w:tr>
        <w:trPr>
          <w:cantSplit/>
        </w:trPr>
        <w:tc>
          <w:tcPr>
            <w:tcW w:type="dxa" w:w="2250"/>
            <w:tcMar>
              <w:top w:w="80" w:type="dxa"/>
              <w:bottom w:w="80" w:type="dxa"/>
              <w:left w:w="120" w:type="dxa"/>
              <w:right w:w="120" w:type="dxa"/>
            </w:tcMar>
            <w:vAlign w:val="center"/>
          </w:tcPr>
          <w:p>
            <w:pPr>
              <w:spacing w:before="0" w:after="0" w:line="252" w:lineRule="auto"/>
            </w:pPr>
            <w:r/>
            <w:r>
              <w:rPr>
                <w:rFonts w:ascii="Calibri" w:hAnsi="Calibri"/>
                <w:color w:val="222A1A"/>
                <w:sz w:val="15"/>
              </w:rPr>
              <w:t>IDAE - Recomendaciones de ahorro energético en hogares</w:t>
            </w:r>
          </w:p>
        </w:tc>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5"/>
              </w:rPr>
              <w:t>https://www.idae.es/ahorra-energia/recomendaciones-para-el-ahorro-energetico-en-hogares</w:t>
            </w:r>
          </w:p>
        </w:tc>
        <w:tc>
          <w:tcPr>
            <w:tcW w:type="dxa" w:w="3710"/>
            <w:tcMar>
              <w:top w:w="80" w:type="dxa"/>
              <w:bottom w:w="80" w:type="dxa"/>
              <w:left w:w="120" w:type="dxa"/>
              <w:right w:w="120" w:type="dxa"/>
            </w:tcMar>
            <w:vAlign w:val="center"/>
          </w:tcPr>
          <w:p>
            <w:pPr>
              <w:spacing w:before="0" w:after="0" w:line="252" w:lineRule="auto"/>
            </w:pPr>
            <w:r/>
            <w:r>
              <w:rPr>
                <w:rFonts w:ascii="Calibri" w:hAnsi="Calibri"/>
                <w:color w:val="222A1A"/>
                <w:sz w:val="15"/>
              </w:rPr>
              <w:t>Soporte para stand-by, iluminación, electrodomésticos, climatización y hábitos de ahorro.</w:t>
            </w:r>
          </w:p>
        </w:tc>
      </w:tr>
      <w:tr>
        <w:trPr>
          <w:cantSplit/>
        </w:trPr>
        <w:tc>
          <w:tcPr>
            <w:tcW w:type="dxa" w:w="2250"/>
            <w:tcMar>
              <w:top w:w="80" w:type="dxa"/>
              <w:bottom w:w="80" w:type="dxa"/>
              <w:left w:w="120" w:type="dxa"/>
              <w:right w:w="120" w:type="dxa"/>
            </w:tcMar>
            <w:vAlign w:val="center"/>
          </w:tcPr>
          <w:p>
            <w:pPr>
              <w:spacing w:before="0" w:after="0" w:line="252" w:lineRule="auto"/>
            </w:pPr>
            <w:r/>
            <w:r>
              <w:rPr>
                <w:rFonts w:ascii="Calibri" w:hAnsi="Calibri"/>
                <w:color w:val="222A1A"/>
                <w:sz w:val="15"/>
              </w:rPr>
              <w:t>IDAE - Guía práctica de la energía</w:t>
            </w:r>
          </w:p>
        </w:tc>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5"/>
              </w:rPr>
              <w:t>https://www.idae.es/uploads/documentos/12826.pdf</w:t>
            </w:r>
          </w:p>
        </w:tc>
        <w:tc>
          <w:tcPr>
            <w:tcW w:type="dxa" w:w="3710"/>
            <w:tcMar>
              <w:top w:w="80" w:type="dxa"/>
              <w:bottom w:w="80" w:type="dxa"/>
              <w:left w:w="120" w:type="dxa"/>
              <w:right w:w="120" w:type="dxa"/>
            </w:tcMar>
            <w:vAlign w:val="center"/>
          </w:tcPr>
          <w:p>
            <w:pPr>
              <w:spacing w:before="0" w:after="0" w:line="252" w:lineRule="auto"/>
            </w:pPr>
            <w:r/>
            <w:r>
              <w:rPr>
                <w:rFonts w:ascii="Calibri" w:hAnsi="Calibri"/>
                <w:color w:val="222A1A"/>
                <w:sz w:val="15"/>
              </w:rPr>
              <w:t>Conducción eficiente, ahorro energético y recomendaciones domésticas.</w:t>
            </w:r>
          </w:p>
        </w:tc>
      </w:tr>
      <w:tr>
        <w:trPr>
          <w:cantSplit/>
        </w:trPr>
        <w:tc>
          <w:tcPr>
            <w:tcW w:type="dxa" w:w="2250"/>
            <w:tcMar>
              <w:top w:w="80" w:type="dxa"/>
              <w:bottom w:w="80" w:type="dxa"/>
              <w:left w:w="120" w:type="dxa"/>
              <w:right w:w="120" w:type="dxa"/>
            </w:tcMar>
            <w:vAlign w:val="center"/>
          </w:tcPr>
          <w:p>
            <w:pPr>
              <w:spacing w:before="0" w:after="0" w:line="252" w:lineRule="auto"/>
            </w:pPr>
            <w:r/>
            <w:r>
              <w:rPr>
                <w:rFonts w:ascii="Calibri" w:hAnsi="Calibri"/>
                <w:color w:val="222A1A"/>
                <w:sz w:val="15"/>
              </w:rPr>
              <w:t>ICAO - Carbon Emissions Calculator</w:t>
            </w:r>
          </w:p>
        </w:tc>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5"/>
              </w:rPr>
              <w:t>https://www.icao.int/environmental-protection/environmental-tools/icec</w:t>
            </w:r>
          </w:p>
        </w:tc>
        <w:tc>
          <w:tcPr>
            <w:tcW w:type="dxa" w:w="3710"/>
            <w:tcMar>
              <w:top w:w="80" w:type="dxa"/>
              <w:bottom w:w="80" w:type="dxa"/>
              <w:left w:w="120" w:type="dxa"/>
              <w:right w:w="120" w:type="dxa"/>
            </w:tcMar>
            <w:vAlign w:val="center"/>
          </w:tcPr>
          <w:p>
            <w:pPr>
              <w:spacing w:before="0" w:after="0" w:line="252" w:lineRule="auto"/>
            </w:pPr>
            <w:r/>
            <w:r>
              <w:rPr>
                <w:rFonts w:ascii="Calibri" w:hAnsi="Calibri"/>
                <w:color w:val="222A1A"/>
                <w:sz w:val="15"/>
              </w:rPr>
              <w:t>Cálculo de emisiones de vuelos por trayecto y clase, mejor que un factor plano.</w:t>
            </w:r>
          </w:p>
        </w:tc>
      </w:tr>
      <w:tr>
        <w:trPr>
          <w:cantSplit/>
        </w:trPr>
        <w:tc>
          <w:tcPr>
            <w:tcW w:type="dxa" w:w="2250"/>
            <w:tcMar>
              <w:top w:w="80" w:type="dxa"/>
              <w:bottom w:w="80" w:type="dxa"/>
              <w:left w:w="120" w:type="dxa"/>
              <w:right w:w="120" w:type="dxa"/>
            </w:tcMar>
            <w:vAlign w:val="center"/>
          </w:tcPr>
          <w:p>
            <w:pPr>
              <w:spacing w:before="0" w:after="0" w:line="252" w:lineRule="auto"/>
            </w:pPr>
            <w:r/>
            <w:r>
              <w:rPr>
                <w:rFonts w:ascii="Calibri" w:hAnsi="Calibri"/>
                <w:color w:val="222A1A"/>
                <w:sz w:val="15"/>
              </w:rPr>
              <w:t>GHG Protocol - Scope 3 Calculation Guidance</w:t>
            </w:r>
          </w:p>
        </w:tc>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5"/>
              </w:rPr>
              <w:t>https://ghgprotocol.org/scope-3-calculation-guidance-2</w:t>
            </w:r>
          </w:p>
        </w:tc>
        <w:tc>
          <w:tcPr>
            <w:tcW w:type="dxa" w:w="3710"/>
            <w:tcMar>
              <w:top w:w="80" w:type="dxa"/>
              <w:bottom w:w="80" w:type="dxa"/>
              <w:left w:w="120" w:type="dxa"/>
              <w:right w:w="120" w:type="dxa"/>
            </w:tcMar>
            <w:vAlign w:val="center"/>
          </w:tcPr>
          <w:p>
            <w:pPr>
              <w:spacing w:before="0" w:after="0" w:line="252" w:lineRule="auto"/>
            </w:pPr>
            <w:r/>
            <w:r>
              <w:rPr>
                <w:rFonts w:ascii="Calibri" w:hAnsi="Calibri"/>
                <w:color w:val="222A1A"/>
                <w:sz w:val="15"/>
              </w:rPr>
              <w:t>Marco para no simplificar en exceso cadenas de valor e impactos indirectos.</w:t>
            </w:r>
          </w:p>
        </w:tc>
      </w:tr>
      <w:tr>
        <w:trPr>
          <w:cantSplit/>
        </w:trPr>
        <w:tc>
          <w:tcPr>
            <w:tcW w:type="dxa" w:w="225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WRAP - Food waste</w:t>
            </w:r>
          </w:p>
        </w:tc>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5"/>
              </w:rPr>
              <w:t>https://www.wrap.ngo/what-we-do/future-proof-food/reducing-food-waste</w:t>
            </w:r>
          </w:p>
        </w:tc>
        <w:tc>
          <w:tcPr>
            <w:tcW w:type="dxa" w:w="3710"/>
            <w:tcMar>
              <w:top w:w="80" w:type="dxa"/>
              <w:bottom w:w="80" w:type="dxa"/>
              <w:left w:w="120" w:type="dxa"/>
              <w:right w:w="120" w:type="dxa"/>
            </w:tcMar>
            <w:vAlign w:val="center"/>
          </w:tcPr>
          <w:p>
            <w:pPr>
              <w:spacing w:before="0" w:after="0" w:line="252" w:lineRule="auto"/>
            </w:pPr>
            <w:r/>
            <w:r>
              <w:rPr>
                <w:rFonts w:ascii="Calibri" w:hAnsi="Calibri"/>
                <w:color w:val="222A1A"/>
                <w:sz w:val="15"/>
              </w:rPr>
              <w:t>Soporte para desperdicio alimentario y peso climático de alimentos desperdiciados.</w:t>
            </w:r>
          </w:p>
        </w:tc>
      </w:tr>
      <w:tr>
        <w:trPr>
          <w:cantSplit/>
        </w:trPr>
        <w:tc>
          <w:tcPr>
            <w:tcW w:type="dxa" w:w="2250"/>
            <w:tcMar>
              <w:top w:w="80" w:type="dxa"/>
              <w:bottom w:w="80" w:type="dxa"/>
              <w:left w:w="120" w:type="dxa"/>
              <w:right w:w="120" w:type="dxa"/>
            </w:tcMar>
            <w:vAlign w:val="center"/>
          </w:tcPr>
          <w:p>
            <w:pPr>
              <w:spacing w:before="0" w:after="0" w:line="252" w:lineRule="auto"/>
            </w:pPr>
            <w:r/>
            <w:r>
              <w:rPr>
                <w:rFonts w:ascii="Calibri" w:hAnsi="Calibri"/>
                <w:color w:val="222A1A"/>
                <w:sz w:val="15"/>
              </w:rPr>
              <w:t>FAO - Tackling climate change through livestock</w:t>
            </w:r>
          </w:p>
        </w:tc>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5"/>
              </w:rPr>
              <w:t>https://www.fao.org/4/i3437e/i3437e.pdf</w:t>
            </w:r>
          </w:p>
        </w:tc>
        <w:tc>
          <w:tcPr>
            <w:tcW w:type="dxa" w:w="3710"/>
            <w:tcMar>
              <w:top w:w="80" w:type="dxa"/>
              <w:bottom w:w="80" w:type="dxa"/>
              <w:left w:w="120" w:type="dxa"/>
              <w:right w:w="120" w:type="dxa"/>
            </w:tcMar>
            <w:vAlign w:val="center"/>
          </w:tcPr>
          <w:p>
            <w:pPr>
              <w:spacing w:before="0" w:after="0" w:line="252" w:lineRule="auto"/>
            </w:pPr>
            <w:r/>
            <w:r>
              <w:rPr>
                <w:rFonts w:ascii="Calibri" w:hAnsi="Calibri"/>
                <w:color w:val="222A1A"/>
                <w:sz w:val="15"/>
              </w:rPr>
              <w:t>Referencia de ganadería y emisiones de cadena alimentaria.</w:t>
            </w:r>
          </w:p>
        </w:tc>
      </w:tr>
      <w:tr>
        <w:trPr>
          <w:cantSplit/>
        </w:trPr>
        <w:tc>
          <w:tcPr>
            <w:tcW w:type="dxa" w:w="2250"/>
            <w:tcMar>
              <w:top w:w="80" w:type="dxa"/>
              <w:bottom w:w="80" w:type="dxa"/>
              <w:left w:w="120" w:type="dxa"/>
              <w:right w:w="120" w:type="dxa"/>
            </w:tcMar>
            <w:vAlign w:val="center"/>
          </w:tcPr>
          <w:p>
            <w:pPr>
              <w:spacing w:before="0" w:after="0" w:line="252" w:lineRule="auto"/>
            </w:pPr>
            <w:r/>
            <w:r>
              <w:rPr>
                <w:rFonts w:ascii="Calibri" w:hAnsi="Calibri"/>
                <w:color w:val="222A1A"/>
                <w:sz w:val="15"/>
              </w:rPr>
              <w:t>Agència Catalana de l'Aigua - Ahorro y eficiencia</w:t>
            </w:r>
          </w:p>
        </w:tc>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5"/>
              </w:rPr>
              <w:t>https://aca.gencat.cat/es/laca/campanyes-i-divulgacio/campanyes/estalvi-i-eficiencia-de-laigua/</w:t>
            </w:r>
          </w:p>
        </w:tc>
        <w:tc>
          <w:tcPr>
            <w:tcW w:type="dxa" w:w="3710"/>
            <w:tcMar>
              <w:top w:w="80" w:type="dxa"/>
              <w:bottom w:w="80" w:type="dxa"/>
              <w:left w:w="120" w:type="dxa"/>
              <w:right w:w="120" w:type="dxa"/>
            </w:tcMar>
            <w:vAlign w:val="center"/>
          </w:tcPr>
          <w:p>
            <w:pPr>
              <w:spacing w:before="0" w:after="0" w:line="252" w:lineRule="auto"/>
            </w:pPr>
            <w:r/>
            <w:r>
              <w:rPr>
                <w:rFonts w:ascii="Calibri" w:hAnsi="Calibri"/>
                <w:color w:val="222A1A"/>
                <w:sz w:val="15"/>
              </w:rPr>
              <w:t>Benchmarks de consumo de agua doméstica y discurso de ahorro.</w:t>
            </w:r>
          </w:p>
        </w:tc>
      </w:tr>
      <w:tr>
        <w:trPr>
          <w:cantSplit/>
        </w:trPr>
        <w:tc>
          <w:tcPr>
            <w:tcW w:type="dxa" w:w="2250"/>
            <w:tcMar>
              <w:top w:w="80" w:type="dxa"/>
              <w:bottom w:w="80" w:type="dxa"/>
              <w:left w:w="120" w:type="dxa"/>
              <w:right w:w="120" w:type="dxa"/>
            </w:tcMar>
            <w:vAlign w:val="center"/>
          </w:tcPr>
          <w:p>
            <w:pPr>
              <w:spacing w:before="0" w:after="0" w:line="252" w:lineRule="auto"/>
            </w:pPr>
            <w:r/>
            <w:r>
              <w:rPr>
                <w:rFonts w:ascii="Calibri" w:hAnsi="Calibri"/>
                <w:color w:val="222A1A"/>
                <w:sz w:val="15"/>
              </w:rPr>
              <w:t>BOE - Ley 7/2022 de residuos y suelos contaminados</w:t>
            </w:r>
          </w:p>
        </w:tc>
        <w:tc>
          <w:tcPr>
            <w:tcW w:type="dxa" w:w="3400"/>
            <w:tcMar>
              <w:top w:w="80" w:type="dxa"/>
              <w:bottom w:w="80" w:type="dxa"/>
              <w:left w:w="120" w:type="dxa"/>
              <w:right w:w="120" w:type="dxa"/>
            </w:tcMar>
            <w:vAlign w:val="center"/>
          </w:tcPr>
          <w:p>
            <w:pPr>
              <w:spacing w:before="0" w:after="0" w:line="252" w:lineRule="auto"/>
            </w:pPr>
            <w:r/>
            <w:r>
              <w:rPr>
                <w:rFonts w:ascii="Calibri" w:hAnsi="Calibri"/>
                <w:color w:val="222A1A"/>
                <w:sz w:val="15"/>
              </w:rPr>
              <w:t>https://www.boe.es/buscar/act.php?id=BOE-A-2022-5809</w:t>
            </w:r>
          </w:p>
        </w:tc>
        <w:tc>
          <w:tcPr>
            <w:tcW w:type="dxa" w:w="3710"/>
            <w:tcMar>
              <w:top w:w="80" w:type="dxa"/>
              <w:bottom w:w="80" w:type="dxa"/>
              <w:left w:w="120" w:type="dxa"/>
              <w:right w:w="120" w:type="dxa"/>
            </w:tcMar>
            <w:vAlign w:val="center"/>
          </w:tcPr>
          <w:p>
            <w:pPr>
              <w:spacing w:before="0" w:after="0" w:line="252" w:lineRule="auto"/>
            </w:pPr>
            <w:r/>
            <w:r>
              <w:rPr>
                <w:rFonts w:ascii="Calibri" w:hAnsi="Calibri"/>
                <w:color w:val="222A1A"/>
                <w:sz w:val="15"/>
              </w:rPr>
              <w:t>Marco legal de prevención, reducción de residuos, reutilización y plásticos.</w:t>
            </w:r>
          </w:p>
        </w:tc>
      </w:tr>
    </w:tbl>
    <w:p>
      <w:pPr>
        <w:spacing w:after="80"/>
      </w:pPr>
    </w:p>
    <w:p>
      <w:pPr>
        <w:pStyle w:val="Heading1"/>
        <w:keepNext/>
      </w:pPr>
      <w:r>
        <w:rPr>
          <w:rFonts w:ascii="Calibri" w:hAnsi="Calibri"/>
          <w:color w:val="4F9447"/>
        </w:rPr>
        <w:t>Anexo A. Matriz de validación por EcoGesto</w:t>
      </w:r>
    </w:p>
    <w:p>
      <w:pPr>
        <w:spacing w:before="0" w:after="120" w:line="264" w:lineRule="auto"/>
      </w:pPr>
      <w:r>
        <w:rPr>
          <w:rFonts w:ascii="Calibri" w:hAnsi="Calibri"/>
          <w:b w:val="0"/>
          <w:i w:val="0"/>
          <w:color w:val="222A1A"/>
          <w:sz w:val="22"/>
        </w:rPr>
        <w:t>La tabla resume la lectura metodológica de cada EcoGesto. No sustituye la revisión ambiental experta; sirve para priorizar y saber qué se puede defender ya como estimación y qué debe quedar pendiente.</w:t>
      </w:r>
    </w:p>
    <w:p>
      <w:pPr>
        <w:pStyle w:val="Heading2"/>
        <w:keepNext/>
      </w:pPr>
      <w:r>
        <w:rPr>
          <w:rFonts w:ascii="Calibri" w:hAnsi="Calibri"/>
          <w:color w:val="4F9447"/>
        </w:rPr>
        <w:t>Movilidad y transporte</w:t>
      </w:r>
    </w:p>
    <w:tbl>
      <w:tblGrid>
        <w:gridCol w:w="900"/>
        <w:gridCol w:w="2920"/>
        <w:gridCol w:w="900"/>
        <w:gridCol w:w="780"/>
        <w:gridCol w:w="1560"/>
        <w:gridCol w:w="230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Código</w:t>
            </w:r>
          </w:p>
        </w:tc>
        <w:tc>
          <w:tcPr>
            <w:tcW w:type="dxa" w:w="2920"/>
            <w:tcMar>
              <w:top w:w="80" w:type="dxa"/>
              <w:bottom w:w="80" w:type="dxa"/>
              <w:left w:w="120" w:type="dxa"/>
              <w:right w:w="120" w:type="dxa"/>
            </w:tcMar>
            <w:vAlign w:val="center"/>
            <w:shd w:fill="F2F4F7"/>
          </w:tcPr>
          <w:p>
            <w:pPr>
              <w:spacing w:after="0"/>
            </w:pPr>
            <w:r/>
            <w:r>
              <w:rPr>
                <w:rFonts w:ascii="Calibri" w:hAnsi="Calibri"/>
                <w:b/>
                <w:color w:val="222A1A"/>
                <w:sz w:val="15"/>
              </w:rPr>
              <w:t>EcoGesto</w:t>
            </w:r>
          </w:p>
        </w:tc>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Métrica</w:t>
            </w:r>
          </w:p>
        </w:tc>
        <w:tc>
          <w:tcPr>
            <w:tcW w:type="dxa" w:w="780"/>
            <w:tcMar>
              <w:top w:w="80" w:type="dxa"/>
              <w:bottom w:w="80" w:type="dxa"/>
              <w:left w:w="120" w:type="dxa"/>
              <w:right w:w="120" w:type="dxa"/>
            </w:tcMar>
            <w:vAlign w:val="center"/>
            <w:shd w:fill="F2F4F7"/>
          </w:tcPr>
          <w:p>
            <w:pPr>
              <w:spacing w:after="0"/>
            </w:pPr>
            <w:r/>
            <w:r>
              <w:rPr>
                <w:rFonts w:ascii="Calibri" w:hAnsi="Calibri"/>
                <w:b/>
                <w:color w:val="222A1A"/>
                <w:sz w:val="15"/>
              </w:rPr>
              <w:t>Conf.</w:t>
            </w:r>
          </w:p>
        </w:tc>
        <w:tc>
          <w:tcPr>
            <w:tcW w:type="dxa" w:w="1560"/>
            <w:tcMar>
              <w:top w:w="80" w:type="dxa"/>
              <w:bottom w:w="80" w:type="dxa"/>
              <w:left w:w="120" w:type="dxa"/>
              <w:right w:w="120" w:type="dxa"/>
            </w:tcMar>
            <w:vAlign w:val="center"/>
            <w:shd w:fill="F2F4F7"/>
          </w:tcPr>
          <w:p>
            <w:pPr>
              <w:spacing w:after="0"/>
            </w:pPr>
            <w:r/>
            <w:r>
              <w:rPr>
                <w:rFonts w:ascii="Calibri" w:hAnsi="Calibri"/>
                <w:b/>
                <w:color w:val="222A1A"/>
                <w:sz w:val="15"/>
              </w:rPr>
              <w:t>Fuente</w:t>
            </w:r>
          </w:p>
        </w:tc>
        <w:tc>
          <w:tcPr>
            <w:tcW w:type="dxa" w:w="2300"/>
            <w:tcMar>
              <w:top w:w="80" w:type="dxa"/>
              <w:bottom w:w="80" w:type="dxa"/>
              <w:left w:w="120" w:type="dxa"/>
              <w:right w:w="120" w:type="dxa"/>
            </w:tcMar>
            <w:vAlign w:val="center"/>
            <w:shd w:fill="F2F4F7"/>
          </w:tcPr>
          <w:p>
            <w:pPr>
              <w:spacing w:after="0"/>
            </w:pPr>
            <w:r/>
            <w:r>
              <w:rPr>
                <w:rFonts w:ascii="Calibri" w:hAnsi="Calibri"/>
                <w:b/>
                <w:color w:val="222A1A"/>
                <w:sz w:val="15"/>
              </w:rPr>
              <w:t>Acción recomendada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ECO-MOV-001</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Planificar rutas eficientes antes de salir</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Media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C - supuesto AHC</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Mostrar como estimación con supuestos hasta revisión técnica.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ECO-MOV-002</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Usar transporte público en trayectos urbanos diarios</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ECO-MOV-003</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Compartir coche al trabajo con compañeros (carpooling)</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ECO-MOV-004</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Usar bicicleta en trayectos urbanos menores de 5 km</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ECO-MOV-005</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Caminar en trayectos cotidianos menores de 2 km</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Media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C - supuesto AHC</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Mostrar como estimación con supuestos hasta revisión técnica.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ECO-MOV-006</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Teletrabajar al menos 1 día a la semana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ECO-MOV-007</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Revisar la presión de los neumáticos mensualmente</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ECO-MOV-008</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Conducir de forma eficiente (eco-driving)</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ECO-MOV-009</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Planificar las compras para reducir desplazamientos en coche</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Media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C - supuesto AHC</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Mostrar como estimación con supuestos hasta revisión técnica.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ECO-MOV-010</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Elegir vuelo directo y compensar emisiones del viaje aéreo</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bl>
    <w:p>
      <w:pPr>
        <w:spacing w:after="80"/>
      </w:pPr>
    </w:p>
    <w:p>
      <w:pPr>
        <w:pStyle w:val="Heading2"/>
        <w:keepNext/>
      </w:pPr>
      <w:r>
        <w:rPr>
          <w:rFonts w:ascii="Calibri" w:hAnsi="Calibri"/>
          <w:color w:val="4F9447"/>
        </w:rPr>
        <w:t>Energía y vivienda</w:t>
      </w:r>
    </w:p>
    <w:tbl>
      <w:tblGrid>
        <w:gridCol w:w="900"/>
        <w:gridCol w:w="2920"/>
        <w:gridCol w:w="900"/>
        <w:gridCol w:w="780"/>
        <w:gridCol w:w="1560"/>
        <w:gridCol w:w="230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Código</w:t>
            </w:r>
          </w:p>
        </w:tc>
        <w:tc>
          <w:tcPr>
            <w:tcW w:type="dxa" w:w="2920"/>
            <w:tcMar>
              <w:top w:w="80" w:type="dxa"/>
              <w:bottom w:w="80" w:type="dxa"/>
              <w:left w:w="120" w:type="dxa"/>
              <w:right w:w="120" w:type="dxa"/>
            </w:tcMar>
            <w:vAlign w:val="center"/>
            <w:shd w:fill="F2F4F7"/>
          </w:tcPr>
          <w:p>
            <w:pPr>
              <w:spacing w:after="0"/>
            </w:pPr>
            <w:r/>
            <w:r>
              <w:rPr>
                <w:rFonts w:ascii="Calibri" w:hAnsi="Calibri"/>
                <w:b/>
                <w:color w:val="222A1A"/>
                <w:sz w:val="15"/>
              </w:rPr>
              <w:t>EcoGesto</w:t>
            </w:r>
          </w:p>
        </w:tc>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Métrica</w:t>
            </w:r>
          </w:p>
        </w:tc>
        <w:tc>
          <w:tcPr>
            <w:tcW w:type="dxa" w:w="780"/>
            <w:tcMar>
              <w:top w:w="80" w:type="dxa"/>
              <w:bottom w:w="80" w:type="dxa"/>
              <w:left w:w="120" w:type="dxa"/>
              <w:right w:w="120" w:type="dxa"/>
            </w:tcMar>
            <w:vAlign w:val="center"/>
            <w:shd w:fill="F2F4F7"/>
          </w:tcPr>
          <w:p>
            <w:pPr>
              <w:spacing w:after="0"/>
            </w:pPr>
            <w:r/>
            <w:r>
              <w:rPr>
                <w:rFonts w:ascii="Calibri" w:hAnsi="Calibri"/>
                <w:b/>
                <w:color w:val="222A1A"/>
                <w:sz w:val="15"/>
              </w:rPr>
              <w:t>Conf.</w:t>
            </w:r>
          </w:p>
        </w:tc>
        <w:tc>
          <w:tcPr>
            <w:tcW w:type="dxa" w:w="1560"/>
            <w:tcMar>
              <w:top w:w="80" w:type="dxa"/>
              <w:bottom w:w="80" w:type="dxa"/>
              <w:left w:w="120" w:type="dxa"/>
              <w:right w:w="120" w:type="dxa"/>
            </w:tcMar>
            <w:vAlign w:val="center"/>
            <w:shd w:fill="F2F4F7"/>
          </w:tcPr>
          <w:p>
            <w:pPr>
              <w:spacing w:after="0"/>
            </w:pPr>
            <w:r/>
            <w:r>
              <w:rPr>
                <w:rFonts w:ascii="Calibri" w:hAnsi="Calibri"/>
                <w:b/>
                <w:color w:val="222A1A"/>
                <w:sz w:val="15"/>
              </w:rPr>
              <w:t>Fuente</w:t>
            </w:r>
          </w:p>
        </w:tc>
        <w:tc>
          <w:tcPr>
            <w:tcW w:type="dxa" w:w="2300"/>
            <w:tcMar>
              <w:top w:w="80" w:type="dxa"/>
              <w:bottom w:w="80" w:type="dxa"/>
              <w:left w:w="120" w:type="dxa"/>
              <w:right w:w="120" w:type="dxa"/>
            </w:tcMar>
            <w:vAlign w:val="center"/>
            <w:shd w:fill="F2F4F7"/>
          </w:tcPr>
          <w:p>
            <w:pPr>
              <w:spacing w:after="0"/>
            </w:pPr>
            <w:r/>
            <w:r>
              <w:rPr>
                <w:rFonts w:ascii="Calibri" w:hAnsi="Calibri"/>
                <w:b/>
                <w:color w:val="222A1A"/>
                <w:sz w:val="15"/>
              </w:rPr>
              <w:t>Acción recomendada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ECO-ENE-001</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Apagar completamente los dispositivos en stand-by</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Mixto</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ECO-ENE-002</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Cambiar todas las bombillas del hogar a LED</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Mixto</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ECO-ENE-003</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Regular el termostato a 19-20°C en invierno y 24-25°C en verano</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ECO-ENE-004</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Contratar electricidad 100% de fuentes renovables</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ECO-ENE-005</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Lavar la ropa a 30°C en lugar de a 60°C</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Mixto</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ECO-ENE-006</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Tender la ropa al aire libre en lugar de usar la secadora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ECO-ENE-007</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Usar la lavadora y lavavajillas solo con carga completa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ECO-ENE-008</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Instalar regletas con interruptor en zonas de electrónica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Mixto</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ECO-ENE-009</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Aprovechar la luz natural durante el día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Media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C - supuesto AHC</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Mostrar como estimación con supuestos hasta revisión técnica.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ECO-ENE-010</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Realizar una auditoría energética básica del hogar</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bl>
    <w:p>
      <w:pPr>
        <w:spacing w:after="80"/>
      </w:pPr>
    </w:p>
    <w:p>
      <w:pPr>
        <w:pStyle w:val="Heading2"/>
        <w:keepNext/>
      </w:pPr>
      <w:r>
        <w:rPr>
          <w:rFonts w:ascii="Calibri" w:hAnsi="Calibri"/>
          <w:color w:val="4F9447"/>
        </w:rPr>
        <w:t>Alimentación</w:t>
      </w:r>
    </w:p>
    <w:tbl>
      <w:tblGrid>
        <w:gridCol w:w="900"/>
        <w:gridCol w:w="2920"/>
        <w:gridCol w:w="900"/>
        <w:gridCol w:w="780"/>
        <w:gridCol w:w="1560"/>
        <w:gridCol w:w="230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Código</w:t>
            </w:r>
          </w:p>
        </w:tc>
        <w:tc>
          <w:tcPr>
            <w:tcW w:type="dxa" w:w="2920"/>
            <w:tcMar>
              <w:top w:w="80" w:type="dxa"/>
              <w:bottom w:w="80" w:type="dxa"/>
              <w:left w:w="120" w:type="dxa"/>
              <w:right w:w="120" w:type="dxa"/>
            </w:tcMar>
            <w:vAlign w:val="center"/>
            <w:shd w:fill="F2F4F7"/>
          </w:tcPr>
          <w:p>
            <w:pPr>
              <w:spacing w:after="0"/>
            </w:pPr>
            <w:r/>
            <w:r>
              <w:rPr>
                <w:rFonts w:ascii="Calibri" w:hAnsi="Calibri"/>
                <w:b/>
                <w:color w:val="222A1A"/>
                <w:sz w:val="15"/>
              </w:rPr>
              <w:t>EcoGesto</w:t>
            </w:r>
          </w:p>
        </w:tc>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Métrica</w:t>
            </w:r>
          </w:p>
        </w:tc>
        <w:tc>
          <w:tcPr>
            <w:tcW w:type="dxa" w:w="780"/>
            <w:tcMar>
              <w:top w:w="80" w:type="dxa"/>
              <w:bottom w:w="80" w:type="dxa"/>
              <w:left w:w="120" w:type="dxa"/>
              <w:right w:w="120" w:type="dxa"/>
            </w:tcMar>
            <w:vAlign w:val="center"/>
            <w:shd w:fill="F2F4F7"/>
          </w:tcPr>
          <w:p>
            <w:pPr>
              <w:spacing w:after="0"/>
            </w:pPr>
            <w:r/>
            <w:r>
              <w:rPr>
                <w:rFonts w:ascii="Calibri" w:hAnsi="Calibri"/>
                <w:b/>
                <w:color w:val="222A1A"/>
                <w:sz w:val="15"/>
              </w:rPr>
              <w:t>Conf.</w:t>
            </w:r>
          </w:p>
        </w:tc>
        <w:tc>
          <w:tcPr>
            <w:tcW w:type="dxa" w:w="1560"/>
            <w:tcMar>
              <w:top w:w="80" w:type="dxa"/>
              <w:bottom w:w="80" w:type="dxa"/>
              <w:left w:w="120" w:type="dxa"/>
              <w:right w:w="120" w:type="dxa"/>
            </w:tcMar>
            <w:vAlign w:val="center"/>
            <w:shd w:fill="F2F4F7"/>
          </w:tcPr>
          <w:p>
            <w:pPr>
              <w:spacing w:after="0"/>
            </w:pPr>
            <w:r/>
            <w:r>
              <w:rPr>
                <w:rFonts w:ascii="Calibri" w:hAnsi="Calibri"/>
                <w:b/>
                <w:color w:val="222A1A"/>
                <w:sz w:val="15"/>
              </w:rPr>
              <w:t>Fuente</w:t>
            </w:r>
          </w:p>
        </w:tc>
        <w:tc>
          <w:tcPr>
            <w:tcW w:type="dxa" w:w="2300"/>
            <w:tcMar>
              <w:top w:w="80" w:type="dxa"/>
              <w:bottom w:w="80" w:type="dxa"/>
              <w:left w:w="120" w:type="dxa"/>
              <w:right w:w="120" w:type="dxa"/>
            </w:tcMar>
            <w:vAlign w:val="center"/>
            <w:shd w:fill="F2F4F7"/>
          </w:tcPr>
          <w:p>
            <w:pPr>
              <w:spacing w:after="0"/>
            </w:pPr>
            <w:r/>
            <w:r>
              <w:rPr>
                <w:rFonts w:ascii="Calibri" w:hAnsi="Calibri"/>
                <w:b/>
                <w:color w:val="222A1A"/>
                <w:sz w:val="15"/>
              </w:rPr>
              <w:t>Acción recomendada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ECO-ALI-001</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Reducir el consumo de carne de vacuno a máximo 1 vez por semana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ECO-ALI-002</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Planificar el menú semanal antes de hacer la compra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ECO-ALI-003</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Comprar productos de temporada y proximidad</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Media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C - pendiente/mixta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Mostrar como estimación con supuestos hasta revisión técnica.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ECO-ALI-004</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Sustituir una comida diaria por una opción vegetal o vegetariana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B - literatura/sector</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Validar rango con fuente primaria y dejar trazabilidad.</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ECO-ALI-005</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Aprovechar sobras y restos de comida en nuevas recetas</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ECO-ALI-006</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Comprar a granel para reducir envases de plástico y CO2 de embalaje</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Mixto</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ECO-ALI-007</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Llevar fiambrera al trabajo en lugar de comprar comida envasada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Mixto</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Media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C - supuesto AHC</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Mostrar como estimación con supuestos hasta revisión técnica.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ECO-ALI-008</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Reducir el consumo de alimentos ultraprocesados</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B - literatura/sector</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Validar rango con fuente primaria y dejar trazabilidad.</w:t>
            </w:r>
          </w:p>
        </w:tc>
      </w:tr>
    </w:tbl>
    <w:p>
      <w:pPr>
        <w:spacing w:after="80"/>
      </w:pPr>
    </w:p>
    <w:p>
      <w:pPr>
        <w:pStyle w:val="Heading2"/>
        <w:keepNext/>
      </w:pPr>
      <w:r>
        <w:rPr>
          <w:rFonts w:ascii="Calibri" w:hAnsi="Calibri"/>
          <w:color w:val="4F9447"/>
        </w:rPr>
        <w:t>Consumo y compras</w:t>
      </w:r>
    </w:p>
    <w:tbl>
      <w:tblGrid>
        <w:gridCol w:w="900"/>
        <w:gridCol w:w="2920"/>
        <w:gridCol w:w="900"/>
        <w:gridCol w:w="780"/>
        <w:gridCol w:w="1560"/>
        <w:gridCol w:w="230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Código</w:t>
            </w:r>
          </w:p>
        </w:tc>
        <w:tc>
          <w:tcPr>
            <w:tcW w:type="dxa" w:w="2920"/>
            <w:tcMar>
              <w:top w:w="80" w:type="dxa"/>
              <w:bottom w:w="80" w:type="dxa"/>
              <w:left w:w="120" w:type="dxa"/>
              <w:right w:w="120" w:type="dxa"/>
            </w:tcMar>
            <w:vAlign w:val="center"/>
            <w:shd w:fill="F2F4F7"/>
          </w:tcPr>
          <w:p>
            <w:pPr>
              <w:spacing w:after="0"/>
            </w:pPr>
            <w:r/>
            <w:r>
              <w:rPr>
                <w:rFonts w:ascii="Calibri" w:hAnsi="Calibri"/>
                <w:b/>
                <w:color w:val="222A1A"/>
                <w:sz w:val="15"/>
              </w:rPr>
              <w:t>EcoGesto</w:t>
            </w:r>
          </w:p>
        </w:tc>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Métrica</w:t>
            </w:r>
          </w:p>
        </w:tc>
        <w:tc>
          <w:tcPr>
            <w:tcW w:type="dxa" w:w="780"/>
            <w:tcMar>
              <w:top w:w="80" w:type="dxa"/>
              <w:bottom w:w="80" w:type="dxa"/>
              <w:left w:w="120" w:type="dxa"/>
              <w:right w:w="120" w:type="dxa"/>
            </w:tcMar>
            <w:vAlign w:val="center"/>
            <w:shd w:fill="F2F4F7"/>
          </w:tcPr>
          <w:p>
            <w:pPr>
              <w:spacing w:after="0"/>
            </w:pPr>
            <w:r/>
            <w:r>
              <w:rPr>
                <w:rFonts w:ascii="Calibri" w:hAnsi="Calibri"/>
                <w:b/>
                <w:color w:val="222A1A"/>
                <w:sz w:val="15"/>
              </w:rPr>
              <w:t>Conf.</w:t>
            </w:r>
          </w:p>
        </w:tc>
        <w:tc>
          <w:tcPr>
            <w:tcW w:type="dxa" w:w="1560"/>
            <w:tcMar>
              <w:top w:w="80" w:type="dxa"/>
              <w:bottom w:w="80" w:type="dxa"/>
              <w:left w:w="120" w:type="dxa"/>
              <w:right w:w="120" w:type="dxa"/>
            </w:tcMar>
            <w:vAlign w:val="center"/>
            <w:shd w:fill="F2F4F7"/>
          </w:tcPr>
          <w:p>
            <w:pPr>
              <w:spacing w:after="0"/>
            </w:pPr>
            <w:r/>
            <w:r>
              <w:rPr>
                <w:rFonts w:ascii="Calibri" w:hAnsi="Calibri"/>
                <w:b/>
                <w:color w:val="222A1A"/>
                <w:sz w:val="15"/>
              </w:rPr>
              <w:t>Fuente</w:t>
            </w:r>
          </w:p>
        </w:tc>
        <w:tc>
          <w:tcPr>
            <w:tcW w:type="dxa" w:w="2300"/>
            <w:tcMar>
              <w:top w:w="80" w:type="dxa"/>
              <w:bottom w:w="80" w:type="dxa"/>
              <w:left w:w="120" w:type="dxa"/>
              <w:right w:w="120" w:type="dxa"/>
            </w:tcMar>
            <w:vAlign w:val="center"/>
            <w:shd w:fill="F2F4F7"/>
          </w:tcPr>
          <w:p>
            <w:pPr>
              <w:spacing w:after="0"/>
            </w:pPr>
            <w:r/>
            <w:r>
              <w:rPr>
                <w:rFonts w:ascii="Calibri" w:hAnsi="Calibri"/>
                <w:b/>
                <w:color w:val="222A1A"/>
                <w:sz w:val="15"/>
              </w:rPr>
              <w:t>Acción recomendada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ECO-CON-001</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Comprar ropa de segunda mano en lugar de nueva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ECO-CON-002</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Reparar objetos antes de reemplazarlos</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B - literatura/sector</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Validar rango con fuente primaria y dejar trazabilidad.</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ECO-CON-003</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Llevar siempre bolsa de tela reutilizable a la compra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Mixto</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ECO-CON-004</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Aplicar la regla de las 48 horas antes de cualquier compra impulsiva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Media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C - supuesto AHC</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Mostrar como estimación con supuestos hasta revisión técnica.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ECO-CON-005</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Usar biblioteca pública en lugar de comprar libros y DVDs nuevos</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Media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C - supuesto AHC</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Mostrar como estimación con supuestos hasta revisión técnica.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ECO-CON-006</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Reducir la huella digital eliminando correos y archivos innecesarios</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Media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C - supuesto AHC</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Mostrar como estimación con supuestos hasta revisión técnica.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ECO-CON-007</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Elegir productos con etiqueta ecológica o certificación ambiental</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B - literatura/sector</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Validar rango con fuente primaria y dejar trazabilidad.</w:t>
            </w:r>
          </w:p>
        </w:tc>
      </w:tr>
    </w:tbl>
    <w:p>
      <w:pPr>
        <w:spacing w:after="80"/>
      </w:pPr>
    </w:p>
    <w:p>
      <w:pPr>
        <w:pStyle w:val="Heading2"/>
        <w:keepNext/>
      </w:pPr>
      <w:r>
        <w:rPr>
          <w:rFonts w:ascii="Calibri" w:hAnsi="Calibri"/>
          <w:color w:val="4F9447"/>
        </w:rPr>
        <w:t>Residuos y plásticos</w:t>
      </w:r>
    </w:p>
    <w:tbl>
      <w:tblGrid>
        <w:gridCol w:w="900"/>
        <w:gridCol w:w="2920"/>
        <w:gridCol w:w="900"/>
        <w:gridCol w:w="780"/>
        <w:gridCol w:w="1560"/>
        <w:gridCol w:w="230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Código</w:t>
            </w:r>
          </w:p>
        </w:tc>
        <w:tc>
          <w:tcPr>
            <w:tcW w:type="dxa" w:w="2920"/>
            <w:tcMar>
              <w:top w:w="80" w:type="dxa"/>
              <w:bottom w:w="80" w:type="dxa"/>
              <w:left w:w="120" w:type="dxa"/>
              <w:right w:w="120" w:type="dxa"/>
            </w:tcMar>
            <w:vAlign w:val="center"/>
            <w:shd w:fill="F2F4F7"/>
          </w:tcPr>
          <w:p>
            <w:pPr>
              <w:spacing w:after="0"/>
            </w:pPr>
            <w:r/>
            <w:r>
              <w:rPr>
                <w:rFonts w:ascii="Calibri" w:hAnsi="Calibri"/>
                <w:b/>
                <w:color w:val="222A1A"/>
                <w:sz w:val="15"/>
              </w:rPr>
              <w:t>EcoGesto</w:t>
            </w:r>
          </w:p>
        </w:tc>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Métrica</w:t>
            </w:r>
          </w:p>
        </w:tc>
        <w:tc>
          <w:tcPr>
            <w:tcW w:type="dxa" w:w="780"/>
            <w:tcMar>
              <w:top w:w="80" w:type="dxa"/>
              <w:bottom w:w="80" w:type="dxa"/>
              <w:left w:w="120" w:type="dxa"/>
              <w:right w:w="120" w:type="dxa"/>
            </w:tcMar>
            <w:vAlign w:val="center"/>
            <w:shd w:fill="F2F4F7"/>
          </w:tcPr>
          <w:p>
            <w:pPr>
              <w:spacing w:after="0"/>
            </w:pPr>
            <w:r/>
            <w:r>
              <w:rPr>
                <w:rFonts w:ascii="Calibri" w:hAnsi="Calibri"/>
                <w:b/>
                <w:color w:val="222A1A"/>
                <w:sz w:val="15"/>
              </w:rPr>
              <w:t>Conf.</w:t>
            </w:r>
          </w:p>
        </w:tc>
        <w:tc>
          <w:tcPr>
            <w:tcW w:type="dxa" w:w="1560"/>
            <w:tcMar>
              <w:top w:w="80" w:type="dxa"/>
              <w:bottom w:w="80" w:type="dxa"/>
              <w:left w:w="120" w:type="dxa"/>
              <w:right w:w="120" w:type="dxa"/>
            </w:tcMar>
            <w:vAlign w:val="center"/>
            <w:shd w:fill="F2F4F7"/>
          </w:tcPr>
          <w:p>
            <w:pPr>
              <w:spacing w:after="0"/>
            </w:pPr>
            <w:r/>
            <w:r>
              <w:rPr>
                <w:rFonts w:ascii="Calibri" w:hAnsi="Calibri"/>
                <w:b/>
                <w:color w:val="222A1A"/>
                <w:sz w:val="15"/>
              </w:rPr>
              <w:t>Fuente</w:t>
            </w:r>
          </w:p>
        </w:tc>
        <w:tc>
          <w:tcPr>
            <w:tcW w:type="dxa" w:w="2300"/>
            <w:tcMar>
              <w:top w:w="80" w:type="dxa"/>
              <w:bottom w:w="80" w:type="dxa"/>
              <w:left w:w="120" w:type="dxa"/>
              <w:right w:w="120" w:type="dxa"/>
            </w:tcMar>
            <w:vAlign w:val="center"/>
            <w:shd w:fill="F2F4F7"/>
          </w:tcPr>
          <w:p>
            <w:pPr>
              <w:spacing w:after="0"/>
            </w:pPr>
            <w:r/>
            <w:r>
              <w:rPr>
                <w:rFonts w:ascii="Calibri" w:hAnsi="Calibri"/>
                <w:b/>
                <w:color w:val="222A1A"/>
                <w:sz w:val="15"/>
              </w:rPr>
              <w:t>Acción recomendada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ECO-RES-001</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Separar correctamente los residuos en las 5 fracciones</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ECO-RES-002</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Compostar los residuos orgánicos en casa o punto comunitario</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ECO-RES-003</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Sustituir el agua embotellada por agua de grifo o filtrada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Mixto</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ECO-RES-004</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Sustituir envases desechables por reutilizables para café y comida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Mixto</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ECO-RES-005</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Donar o vender objetos en lugar de tirarlos a la basura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ECO-RES-006</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Evitar el uso de pajitas, cubiertos y bolsas de plástico desechables</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Mixto</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bl>
    <w:p>
      <w:pPr>
        <w:spacing w:after="80"/>
      </w:pPr>
    </w:p>
    <w:p>
      <w:pPr>
        <w:pStyle w:val="Heading2"/>
        <w:keepNext/>
      </w:pPr>
      <w:r>
        <w:rPr>
          <w:rFonts w:ascii="Calibri" w:hAnsi="Calibri"/>
          <w:color w:val="4F9447"/>
        </w:rPr>
        <w:t>Agua</w:t>
      </w:r>
    </w:p>
    <w:tbl>
      <w:tblGrid>
        <w:gridCol w:w="900"/>
        <w:gridCol w:w="2920"/>
        <w:gridCol w:w="900"/>
        <w:gridCol w:w="780"/>
        <w:gridCol w:w="1560"/>
        <w:gridCol w:w="230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Código</w:t>
            </w:r>
          </w:p>
        </w:tc>
        <w:tc>
          <w:tcPr>
            <w:tcW w:type="dxa" w:w="2920"/>
            <w:tcMar>
              <w:top w:w="80" w:type="dxa"/>
              <w:bottom w:w="80" w:type="dxa"/>
              <w:left w:w="120" w:type="dxa"/>
              <w:right w:w="120" w:type="dxa"/>
            </w:tcMar>
            <w:vAlign w:val="center"/>
            <w:shd w:fill="F2F4F7"/>
          </w:tcPr>
          <w:p>
            <w:pPr>
              <w:spacing w:after="0"/>
            </w:pPr>
            <w:r/>
            <w:r>
              <w:rPr>
                <w:rFonts w:ascii="Calibri" w:hAnsi="Calibri"/>
                <w:b/>
                <w:color w:val="222A1A"/>
                <w:sz w:val="15"/>
              </w:rPr>
              <w:t>EcoGesto</w:t>
            </w:r>
          </w:p>
        </w:tc>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Métrica</w:t>
            </w:r>
          </w:p>
        </w:tc>
        <w:tc>
          <w:tcPr>
            <w:tcW w:type="dxa" w:w="780"/>
            <w:tcMar>
              <w:top w:w="80" w:type="dxa"/>
              <w:bottom w:w="80" w:type="dxa"/>
              <w:left w:w="120" w:type="dxa"/>
              <w:right w:w="120" w:type="dxa"/>
            </w:tcMar>
            <w:vAlign w:val="center"/>
            <w:shd w:fill="F2F4F7"/>
          </w:tcPr>
          <w:p>
            <w:pPr>
              <w:spacing w:after="0"/>
            </w:pPr>
            <w:r/>
            <w:r>
              <w:rPr>
                <w:rFonts w:ascii="Calibri" w:hAnsi="Calibri"/>
                <w:b/>
                <w:color w:val="222A1A"/>
                <w:sz w:val="15"/>
              </w:rPr>
              <w:t>Conf.</w:t>
            </w:r>
          </w:p>
        </w:tc>
        <w:tc>
          <w:tcPr>
            <w:tcW w:type="dxa" w:w="1560"/>
            <w:tcMar>
              <w:top w:w="80" w:type="dxa"/>
              <w:bottom w:w="80" w:type="dxa"/>
              <w:left w:w="120" w:type="dxa"/>
              <w:right w:w="120" w:type="dxa"/>
            </w:tcMar>
            <w:vAlign w:val="center"/>
            <w:shd w:fill="F2F4F7"/>
          </w:tcPr>
          <w:p>
            <w:pPr>
              <w:spacing w:after="0"/>
            </w:pPr>
            <w:r/>
            <w:r>
              <w:rPr>
                <w:rFonts w:ascii="Calibri" w:hAnsi="Calibri"/>
                <w:b/>
                <w:color w:val="222A1A"/>
                <w:sz w:val="15"/>
              </w:rPr>
              <w:t>Fuente</w:t>
            </w:r>
          </w:p>
        </w:tc>
        <w:tc>
          <w:tcPr>
            <w:tcW w:type="dxa" w:w="2300"/>
            <w:tcMar>
              <w:top w:w="80" w:type="dxa"/>
              <w:bottom w:w="80" w:type="dxa"/>
              <w:left w:w="120" w:type="dxa"/>
              <w:right w:w="120" w:type="dxa"/>
            </w:tcMar>
            <w:vAlign w:val="center"/>
            <w:shd w:fill="F2F4F7"/>
          </w:tcPr>
          <w:p>
            <w:pPr>
              <w:spacing w:after="0"/>
            </w:pPr>
            <w:r/>
            <w:r>
              <w:rPr>
                <w:rFonts w:ascii="Calibri" w:hAnsi="Calibri"/>
                <w:b/>
                <w:color w:val="222A1A"/>
                <w:sz w:val="15"/>
              </w:rPr>
              <w:t>Acción recomendada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ECO-AGU-001</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Recoger el agua fría de la ducha mientras se calienta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Agua</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Mantener unidad separada y validar factor específico.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ECO-AGU-002</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Acortar la ducha a menos de 5 minutos</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Agua</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Mantener unidad separada y validar factor específico.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ECO-AGU-003</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Instalar un cabezal de ducha de bajo flujo</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Mixto</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Cerrar fórmula visible con factor oficial actualizado.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ECO-AGU-004</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Regar plantas y jardín por la noche o al amanecer</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Agua</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Mantener unidad separada y validar factor específico.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ECO-AGU-005</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Revisar y reparar fugas de agua en el hogar</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Agua</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Alta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A - oficial/técnica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Mantener unidad separada y validar factor específico.</w:t>
            </w:r>
          </w:p>
        </w:tc>
      </w:tr>
    </w:tbl>
    <w:p>
      <w:pPr>
        <w:spacing w:after="80"/>
      </w:pPr>
    </w:p>
    <w:p>
      <w:pPr>
        <w:pStyle w:val="Heading2"/>
        <w:keepNext/>
      </w:pPr>
      <w:r>
        <w:rPr>
          <w:rFonts w:ascii="Calibri" w:hAnsi="Calibri"/>
          <w:color w:val="4F9447"/>
        </w:rPr>
        <w:t>Finanzas sostenibles</w:t>
      </w:r>
    </w:p>
    <w:tbl>
      <w:tblGrid>
        <w:gridCol w:w="900"/>
        <w:gridCol w:w="2920"/>
        <w:gridCol w:w="900"/>
        <w:gridCol w:w="780"/>
        <w:gridCol w:w="1560"/>
        <w:gridCol w:w="230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Código</w:t>
            </w:r>
          </w:p>
        </w:tc>
        <w:tc>
          <w:tcPr>
            <w:tcW w:type="dxa" w:w="2920"/>
            <w:tcMar>
              <w:top w:w="80" w:type="dxa"/>
              <w:bottom w:w="80" w:type="dxa"/>
              <w:left w:w="120" w:type="dxa"/>
              <w:right w:w="120" w:type="dxa"/>
            </w:tcMar>
            <w:vAlign w:val="center"/>
            <w:shd w:fill="F2F4F7"/>
          </w:tcPr>
          <w:p>
            <w:pPr>
              <w:spacing w:after="0"/>
            </w:pPr>
            <w:r/>
            <w:r>
              <w:rPr>
                <w:rFonts w:ascii="Calibri" w:hAnsi="Calibri"/>
                <w:b/>
                <w:color w:val="222A1A"/>
                <w:sz w:val="15"/>
              </w:rPr>
              <w:t>EcoGesto</w:t>
            </w:r>
          </w:p>
        </w:tc>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Métrica</w:t>
            </w:r>
          </w:p>
        </w:tc>
        <w:tc>
          <w:tcPr>
            <w:tcW w:type="dxa" w:w="780"/>
            <w:tcMar>
              <w:top w:w="80" w:type="dxa"/>
              <w:bottom w:w="80" w:type="dxa"/>
              <w:left w:w="120" w:type="dxa"/>
              <w:right w:w="120" w:type="dxa"/>
            </w:tcMar>
            <w:vAlign w:val="center"/>
            <w:shd w:fill="F2F4F7"/>
          </w:tcPr>
          <w:p>
            <w:pPr>
              <w:spacing w:after="0"/>
            </w:pPr>
            <w:r/>
            <w:r>
              <w:rPr>
                <w:rFonts w:ascii="Calibri" w:hAnsi="Calibri"/>
                <w:b/>
                <w:color w:val="222A1A"/>
                <w:sz w:val="15"/>
              </w:rPr>
              <w:t>Conf.</w:t>
            </w:r>
          </w:p>
        </w:tc>
        <w:tc>
          <w:tcPr>
            <w:tcW w:type="dxa" w:w="1560"/>
            <w:tcMar>
              <w:top w:w="80" w:type="dxa"/>
              <w:bottom w:w="80" w:type="dxa"/>
              <w:left w:w="120" w:type="dxa"/>
              <w:right w:w="120" w:type="dxa"/>
            </w:tcMar>
            <w:vAlign w:val="center"/>
            <w:shd w:fill="F2F4F7"/>
          </w:tcPr>
          <w:p>
            <w:pPr>
              <w:spacing w:after="0"/>
            </w:pPr>
            <w:r/>
            <w:r>
              <w:rPr>
                <w:rFonts w:ascii="Calibri" w:hAnsi="Calibri"/>
                <w:b/>
                <w:color w:val="222A1A"/>
                <w:sz w:val="15"/>
              </w:rPr>
              <w:t>Fuente</w:t>
            </w:r>
          </w:p>
        </w:tc>
        <w:tc>
          <w:tcPr>
            <w:tcW w:type="dxa" w:w="2300"/>
            <w:tcMar>
              <w:top w:w="80" w:type="dxa"/>
              <w:bottom w:w="80" w:type="dxa"/>
              <w:left w:w="120" w:type="dxa"/>
              <w:right w:w="120" w:type="dxa"/>
            </w:tcMar>
            <w:vAlign w:val="center"/>
            <w:shd w:fill="F2F4F7"/>
          </w:tcPr>
          <w:p>
            <w:pPr>
              <w:spacing w:after="0"/>
            </w:pPr>
            <w:r/>
            <w:r>
              <w:rPr>
                <w:rFonts w:ascii="Calibri" w:hAnsi="Calibri"/>
                <w:b/>
                <w:color w:val="222A1A"/>
                <w:sz w:val="15"/>
              </w:rPr>
              <w:t>Acción recomendada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ECO-FIN-001</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Abrir cuenta corriente o de ahorro en una banca ética</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Indirecto</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Baja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C - pendiente/mixta</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No sumar al total; explicar como efecto indirecto.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ECO-FIN-002</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Revisar el fondo de pensiones y desinvertir de combustibles fósiles</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Indirecto</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Baja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B - literatura/sector</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No sumar al total; explicar como efecto indirecto.</w:t>
            </w:r>
          </w:p>
        </w:tc>
      </w:tr>
    </w:tbl>
    <w:p>
      <w:pPr>
        <w:spacing w:after="80"/>
      </w:pPr>
    </w:p>
    <w:p>
      <w:pPr>
        <w:pStyle w:val="Heading2"/>
        <w:keepNext/>
      </w:pPr>
      <w:r>
        <w:rPr>
          <w:rFonts w:ascii="Calibri" w:hAnsi="Calibri"/>
          <w:color w:val="4F9447"/>
        </w:rPr>
        <w:t>Ocio, cuidados y comunidad</w:t>
      </w:r>
    </w:p>
    <w:tbl>
      <w:tblGrid>
        <w:gridCol w:w="900"/>
        <w:gridCol w:w="2920"/>
        <w:gridCol w:w="900"/>
        <w:gridCol w:w="780"/>
        <w:gridCol w:w="1560"/>
        <w:gridCol w:w="2300"/>
      </w:tblGrid>
      <w:tblPr>
        <w:tblW w:type="dxa" w:w="9360"/>
        <w:tblLayout w:type="fixed"/>
        <w:tblLook w:firstColumn="1" w:firstRow="1" w:lastColumn="0" w:lastRow="0" w:noHBand="0" w:noVBand="1" w:val="04A0"/>
        <w:tblInd w:w="120" w:type="dxa"/>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r>
        <w:trPr>
          <w:tblHeader w:val="true"/>
          <w:cantSplit/>
        </w:trPr>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Código</w:t>
            </w:r>
          </w:p>
        </w:tc>
        <w:tc>
          <w:tcPr>
            <w:tcW w:type="dxa" w:w="2920"/>
            <w:tcMar>
              <w:top w:w="80" w:type="dxa"/>
              <w:bottom w:w="80" w:type="dxa"/>
              <w:left w:w="120" w:type="dxa"/>
              <w:right w:w="120" w:type="dxa"/>
            </w:tcMar>
            <w:vAlign w:val="center"/>
            <w:shd w:fill="F2F4F7"/>
          </w:tcPr>
          <w:p>
            <w:pPr>
              <w:spacing w:after="0"/>
            </w:pPr>
            <w:r/>
            <w:r>
              <w:rPr>
                <w:rFonts w:ascii="Calibri" w:hAnsi="Calibri"/>
                <w:b/>
                <w:color w:val="222A1A"/>
                <w:sz w:val="15"/>
              </w:rPr>
              <w:t>EcoGesto</w:t>
            </w:r>
          </w:p>
        </w:tc>
        <w:tc>
          <w:tcPr>
            <w:tcW w:type="dxa" w:w="900"/>
            <w:tcMar>
              <w:top w:w="80" w:type="dxa"/>
              <w:bottom w:w="80" w:type="dxa"/>
              <w:left w:w="120" w:type="dxa"/>
              <w:right w:w="120" w:type="dxa"/>
            </w:tcMar>
            <w:vAlign w:val="center"/>
            <w:shd w:fill="F2F4F7"/>
          </w:tcPr>
          <w:p>
            <w:pPr>
              <w:spacing w:after="0"/>
            </w:pPr>
            <w:r/>
            <w:r>
              <w:rPr>
                <w:rFonts w:ascii="Calibri" w:hAnsi="Calibri"/>
                <w:b/>
                <w:color w:val="222A1A"/>
                <w:sz w:val="15"/>
              </w:rPr>
              <w:t>Métrica</w:t>
            </w:r>
          </w:p>
        </w:tc>
        <w:tc>
          <w:tcPr>
            <w:tcW w:type="dxa" w:w="780"/>
            <w:tcMar>
              <w:top w:w="80" w:type="dxa"/>
              <w:bottom w:w="80" w:type="dxa"/>
              <w:left w:w="120" w:type="dxa"/>
              <w:right w:w="120" w:type="dxa"/>
            </w:tcMar>
            <w:vAlign w:val="center"/>
            <w:shd w:fill="F2F4F7"/>
          </w:tcPr>
          <w:p>
            <w:pPr>
              <w:spacing w:after="0"/>
            </w:pPr>
            <w:r/>
            <w:r>
              <w:rPr>
                <w:rFonts w:ascii="Calibri" w:hAnsi="Calibri"/>
                <w:b/>
                <w:color w:val="222A1A"/>
                <w:sz w:val="15"/>
              </w:rPr>
              <w:t>Conf.</w:t>
            </w:r>
          </w:p>
        </w:tc>
        <w:tc>
          <w:tcPr>
            <w:tcW w:type="dxa" w:w="1560"/>
            <w:tcMar>
              <w:top w:w="80" w:type="dxa"/>
              <w:bottom w:w="80" w:type="dxa"/>
              <w:left w:w="120" w:type="dxa"/>
              <w:right w:w="120" w:type="dxa"/>
            </w:tcMar>
            <w:vAlign w:val="center"/>
            <w:shd w:fill="F2F4F7"/>
          </w:tcPr>
          <w:p>
            <w:pPr>
              <w:spacing w:after="0"/>
            </w:pPr>
            <w:r/>
            <w:r>
              <w:rPr>
                <w:rFonts w:ascii="Calibri" w:hAnsi="Calibri"/>
                <w:b/>
                <w:color w:val="222A1A"/>
                <w:sz w:val="15"/>
              </w:rPr>
              <w:t>Fuente</w:t>
            </w:r>
          </w:p>
        </w:tc>
        <w:tc>
          <w:tcPr>
            <w:tcW w:type="dxa" w:w="2300"/>
            <w:tcMar>
              <w:top w:w="80" w:type="dxa"/>
              <w:bottom w:w="80" w:type="dxa"/>
              <w:left w:w="120" w:type="dxa"/>
              <w:right w:w="120" w:type="dxa"/>
            </w:tcMar>
            <w:vAlign w:val="center"/>
            <w:shd w:fill="F2F4F7"/>
          </w:tcPr>
          <w:p>
            <w:pPr>
              <w:spacing w:after="0"/>
            </w:pPr>
            <w:r/>
            <w:r>
              <w:rPr>
                <w:rFonts w:ascii="Calibri" w:hAnsi="Calibri"/>
                <w:b/>
                <w:color w:val="222A1A"/>
                <w:sz w:val="15"/>
              </w:rPr>
              <w:t>Acción recomendada</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ECO-OCI-001</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Participar en una limpieza comunitaria de tu barrio o entorno natural</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Indirecto</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Baja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C - supuesto AHC</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No sumar al total; explicar como efecto indirecto.</w:t>
            </w:r>
          </w:p>
        </w:tc>
      </w:tr>
      <w:tr>
        <w:trPr>
          <w:cantSplit/>
        </w:trPr>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ECO-OCI-002</w:t>
            </w:r>
          </w:p>
        </w:tc>
        <w:tc>
          <w:tcPr>
            <w:tcW w:type="dxa" w:w="2920"/>
            <w:tcMar>
              <w:top w:w="80" w:type="dxa"/>
              <w:bottom w:w="80" w:type="dxa"/>
              <w:left w:w="120" w:type="dxa"/>
              <w:right w:w="120" w:type="dxa"/>
            </w:tcMar>
            <w:vAlign w:val="center"/>
          </w:tcPr>
          <w:p>
            <w:pPr>
              <w:spacing w:before="0" w:after="0" w:line="252" w:lineRule="auto"/>
            </w:pPr>
            <w:r/>
            <w:r>
              <w:rPr>
                <w:rFonts w:ascii="Calibri" w:hAnsi="Calibri"/>
                <w:color w:val="222A1A"/>
                <w:sz w:val="15"/>
              </w:rPr>
              <w:t>Compartir herramientas y objetos de uso esporádico con vecinos</w:t>
            </w:r>
          </w:p>
        </w:tc>
        <w:tc>
          <w:tcPr>
            <w:tcW w:type="dxa" w:w="900"/>
            <w:tcMar>
              <w:top w:w="80" w:type="dxa"/>
              <w:bottom w:w="80" w:type="dxa"/>
              <w:left w:w="120" w:type="dxa"/>
              <w:right w:w="120" w:type="dxa"/>
            </w:tcMar>
            <w:vAlign w:val="center"/>
          </w:tcPr>
          <w:p>
            <w:pPr>
              <w:spacing w:before="0" w:after="0" w:line="252" w:lineRule="auto"/>
              <w:jc w:val="center"/>
            </w:pPr>
            <w:r/>
            <w:r>
              <w:rPr>
                <w:rFonts w:ascii="Calibri" w:hAnsi="Calibri"/>
                <w:color w:val="222A1A"/>
                <w:sz w:val="15"/>
              </w:rPr>
              <w:t>CO2e</w:t>
            </w:r>
          </w:p>
        </w:tc>
        <w:tc>
          <w:tcPr>
            <w:tcW w:type="dxa" w:w="780"/>
            <w:tcMar>
              <w:top w:w="80" w:type="dxa"/>
              <w:bottom w:w="80" w:type="dxa"/>
              <w:left w:w="120" w:type="dxa"/>
              <w:right w:w="120" w:type="dxa"/>
            </w:tcMar>
            <w:vAlign w:val="center"/>
          </w:tcPr>
          <w:p>
            <w:pPr>
              <w:spacing w:before="0" w:after="0" w:line="252" w:lineRule="auto"/>
            </w:pPr>
            <w:r/>
            <w:r>
              <w:rPr>
                <w:rFonts w:ascii="Calibri" w:hAnsi="Calibri"/>
                <w:color w:val="222A1A"/>
                <w:sz w:val="15"/>
              </w:rPr>
              <w:t>Media</w:t>
            </w:r>
          </w:p>
        </w:tc>
        <w:tc>
          <w:tcPr>
            <w:tcW w:type="dxa" w:w="1560"/>
            <w:tcMar>
              <w:top w:w="80" w:type="dxa"/>
              <w:bottom w:w="80" w:type="dxa"/>
              <w:left w:w="120" w:type="dxa"/>
              <w:right w:w="120" w:type="dxa"/>
            </w:tcMar>
            <w:vAlign w:val="center"/>
          </w:tcPr>
          <w:p>
            <w:pPr>
              <w:spacing w:before="0" w:after="0" w:line="252" w:lineRule="auto"/>
            </w:pPr>
            <w:r/>
            <w:r>
              <w:rPr>
                <w:rFonts w:ascii="Calibri" w:hAnsi="Calibri"/>
                <w:color w:val="222A1A"/>
                <w:sz w:val="15"/>
              </w:rPr>
              <w:t>C - supuesto AHC</w:t>
            </w:r>
          </w:p>
        </w:tc>
        <w:tc>
          <w:tcPr>
            <w:tcW w:type="dxa" w:w="2300"/>
            <w:tcMar>
              <w:top w:w="80" w:type="dxa"/>
              <w:bottom w:w="80" w:type="dxa"/>
              <w:left w:w="120" w:type="dxa"/>
              <w:right w:w="120" w:type="dxa"/>
            </w:tcMar>
            <w:vAlign w:val="center"/>
          </w:tcPr>
          <w:p>
            <w:pPr>
              <w:spacing w:before="0" w:after="0" w:line="252" w:lineRule="auto"/>
            </w:pPr>
            <w:r/>
            <w:r>
              <w:rPr>
                <w:rFonts w:ascii="Calibri" w:hAnsi="Calibri"/>
                <w:color w:val="222A1A"/>
                <w:sz w:val="15"/>
              </w:rPr>
              <w:t>Mostrar como estimación con supuestos hasta revisión técnica.</w:t>
            </w:r>
          </w:p>
        </w:tc>
      </w:tr>
    </w:tbl>
    <w:p>
      <w:pPr>
        <w:spacing w:after="80"/>
      </w:pPr>
    </w:p>
    <w:p>
      <w:pPr>
        <w:pStyle w:val="Heading1"/>
        <w:keepNext/>
      </w:pPr>
      <w:r>
        <w:rPr>
          <w:rFonts w:ascii="Calibri" w:hAnsi="Calibri"/>
          <w:color w:val="4F9447"/>
        </w:rPr>
        <w:t>Anexo B. Disclaimer recomendado</w:t>
      </w:r>
    </w:p>
    <w:p>
      <w:pPr>
        <w:spacing w:before="80" w:after="160" w:line="264" w:lineRule="auto"/>
        <w:ind w:left="120" w:right="120"/>
        <w:shd w:fill="F8FBF7"/>
      </w:pPr>
      <w:r>
        <w:rPr>
          <w:rFonts w:ascii="Calibri" w:hAnsi="Calibri"/>
          <w:b/>
          <w:color w:val="4F9447"/>
          <w:sz w:val="21"/>
        </w:rPr>
        <w:t xml:space="preserve">Texto para informes de usuario: </w:t>
      </w:r>
      <w:r>
        <w:rPr>
          <w:rFonts w:ascii="Calibri" w:hAnsi="Calibri"/>
          <w:color w:val="222A1A"/>
          <w:sz w:val="21"/>
        </w:rPr>
        <w:t>Los impactos mostrados son estimaciones orientativas basadas en fuentes y supuestos indicados en cada EcoGesto. Los resultados reales dependen del contexto, frecuencia, ubicación, tecnología sustituida y ejecución de la persona usuaria. Los indicadores no CO2 se muestran por separado y no deben interpretarse como equivalentes directos de CO2.</w:t>
      </w:r>
    </w:p>
    <w:p>
      <w:pPr>
        <w:spacing w:before="0" w:after="120" w:line="264" w:lineRule="auto"/>
      </w:pPr>
      <w:r>
        <w:rPr>
          <w:rFonts w:ascii="Calibri" w:hAnsi="Calibri"/>
          <w:b w:val="0"/>
          <w:i w:val="0"/>
          <w:color w:val="222A1A"/>
          <w:sz w:val="22"/>
        </w:rPr>
        <w:t>Para el equipo AHC, la siguiente mejora natural es sustituir progresivamente cada rango de impacto por fichas de factor completas: variable de usuario, fórmula visible, factor, unidad, periodo, fuente, confianza, fecha de revisión y responsable.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A605E"/>
        <w:sz w:val="17"/>
      </w:rPr>
      <w:t xml:space="preserve">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b/>
        <w:color w:val="5A605E"/>
        <w:sz w:val="17"/>
      </w:rPr>
      <w:t>EcoGestos AHC</w:t>
    </w:r>
    <w:r>
      <w:rPr>
        <w:rFonts w:ascii="Calibri" w:hAnsi="Calibri"/>
        <w:color w:val="5A605E"/>
        <w:sz w:val="17"/>
      </w:rPr>
      <w:t xml:space="preserve"> | Validación metodológica de cálculos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4F9447"/>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4F9447"/>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53735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160" w:line="28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1"/>
    </w:rPr>
  </w:style>
  <w:style w:type="paragraph" w:styleId="ListNumber2">
    <w:name w:val="List Number 2"/>
    <w:basedOn w:val="Normal"/>
    <w:uiPriority w:val="99"/>
    <w:unhideWhenUsed/>
    <w:rsid w:val="0029639D"/>
    <w:pPr>
      <w:numPr>
        <w:numId w:val="6"/>
      </w:numPr>
      <w:spacing w:after="160" w:line="280" w:lineRule="auto"/>
      <w:contextualSpacing/>
    </w:pPr>
    <w:rPr>
      <w:rFonts w:ascii="Calibri" w:hAnsi="Calibr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validación metodológica de cálculos de impacto - EcoGestos AHC</dc:title>
  <dc:subject>Lógica científica, fuentes, límites y matriz de defensa del MVP</dc:subject>
  <dc:creator>Codex para EcoGestos AHC</dc:creator>
  <cp:keywords/>
  <dc:description>Generado a partir de la matriz de validación, ecogestos.json y la lógica de cálculo del MVP.</dc:description>
  <cp:lastModifiedBy/>
  <cp:revision>1</cp:revision>
  <dcterms:created xsi:type="dcterms:W3CDTF">2026-06-18T12:00:00Z</dcterms:created>
  <dcterms:modified xsi:type="dcterms:W3CDTF">2026-06-18T12:00:00Z</dcterms:modified>
  <cp:category/>
</cp:coreProperties>
</file>