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47C" w:rsidRDefault="00D9147C" w:rsidP="00D9147C">
      <w:pPr>
        <w:pBdr>
          <w:bottom w:val="single" w:sz="6" w:space="0" w:color="AAAAAA"/>
        </w:pBdr>
        <w:spacing w:after="60" w:line="240" w:lineRule="auto"/>
        <w:jc w:val="center"/>
        <w:outlineLvl w:val="0"/>
      </w:pPr>
      <w:r w:rsidRPr="00D9147C">
        <w:rPr>
          <w:rFonts w:ascii="Arial" w:hAnsi="Arial" w:cs="Arial"/>
          <w:b/>
          <w:bCs/>
          <w:color w:val="4472C4" w:themeColor="accent5"/>
          <w:sz w:val="28"/>
          <w:szCs w:val="28"/>
          <w:shd w:val="clear" w:color="auto" w:fill="FFFFFF"/>
        </w:rPr>
        <w:t>Council for Affordable Quality Healthcare</w:t>
      </w:r>
      <w:r w:rsidRPr="00D9147C">
        <w:rPr>
          <w:rFonts w:ascii="Georgia" w:eastAsia="Times New Roman" w:hAnsi="Georgia" w:cs="Times New Roman"/>
          <w:color w:val="4472C4" w:themeColor="accent5"/>
          <w:kern w:val="36"/>
          <w:sz w:val="28"/>
          <w:szCs w:val="28"/>
          <w:lang w:val="en" w:eastAsia="en-IN" w:bidi="te-IN"/>
        </w:rPr>
        <w:t xml:space="preserve"> </w:t>
      </w:r>
      <w:r>
        <w:rPr>
          <w:rFonts w:ascii="Georgia" w:eastAsia="Times New Roman" w:hAnsi="Georgia" w:cs="Times New Roman"/>
          <w:color w:val="4472C4" w:themeColor="accent5"/>
          <w:kern w:val="36"/>
          <w:sz w:val="28"/>
          <w:szCs w:val="28"/>
          <w:lang w:val="en" w:eastAsia="en-IN" w:bidi="te-IN"/>
        </w:rPr>
        <w:t>(</w:t>
      </w:r>
      <w:r w:rsidRPr="00D9147C">
        <w:rPr>
          <w:rFonts w:ascii="Georgia" w:eastAsia="Times New Roman" w:hAnsi="Georgia" w:cs="Times New Roman"/>
          <w:color w:val="4472C4" w:themeColor="accent5"/>
          <w:kern w:val="36"/>
          <w:sz w:val="28"/>
          <w:szCs w:val="28"/>
          <w:lang w:val="en" w:eastAsia="en-IN" w:bidi="te-IN"/>
        </w:rPr>
        <w:t>CAQH</w:t>
      </w:r>
      <w:r>
        <w:rPr>
          <w:rFonts w:ascii="Georgia" w:eastAsia="Times New Roman" w:hAnsi="Georgia" w:cs="Times New Roman"/>
          <w:color w:val="4472C4" w:themeColor="accent5"/>
          <w:kern w:val="36"/>
          <w:sz w:val="28"/>
          <w:szCs w:val="28"/>
          <w:lang w:val="en" w:eastAsia="en-IN" w:bidi="te-IN"/>
        </w:rPr>
        <w:t>)</w:t>
      </w:r>
    </w:p>
    <w:p w:rsidR="00000000" w:rsidRPr="00BD77D8" w:rsidRDefault="00D9147C" w:rsidP="00BD77D8">
      <w:pPr>
        <w:pStyle w:val="ListParagraph"/>
        <w:numPr>
          <w:ilvl w:val="0"/>
          <w:numId w:val="3"/>
        </w:numPr>
        <w:spacing w:line="240" w:lineRule="auto"/>
      </w:pPr>
      <w:r w:rsidRPr="00BD77D8">
        <w:t xml:space="preserve">It is a </w:t>
      </w:r>
      <w:r w:rsidRPr="00BD77D8">
        <w:rPr>
          <w:b/>
          <w:bCs/>
        </w:rPr>
        <w:t>Non-profitable</w:t>
      </w:r>
      <w:r w:rsidR="00F91C6B" w:rsidRPr="00BD77D8">
        <w:t xml:space="preserve"> organization. Who collects, verify and monitor information about providers for valid credentials</w:t>
      </w:r>
    </w:p>
    <w:p w:rsidR="00000000" w:rsidRPr="00BD77D8" w:rsidRDefault="00F91C6B" w:rsidP="00BD77D8">
      <w:pPr>
        <w:numPr>
          <w:ilvl w:val="0"/>
          <w:numId w:val="2"/>
        </w:numPr>
        <w:spacing w:line="240" w:lineRule="auto"/>
      </w:pPr>
      <w:r w:rsidRPr="00BD77D8">
        <w:t>They collect the data and share the infor</w:t>
      </w:r>
      <w:r w:rsidRPr="00BD77D8">
        <w:t>mation with insurance companies</w:t>
      </w:r>
    </w:p>
    <w:p w:rsidR="00000000" w:rsidRPr="00BD77D8" w:rsidRDefault="00F91C6B" w:rsidP="00BD77D8">
      <w:pPr>
        <w:numPr>
          <w:ilvl w:val="0"/>
          <w:numId w:val="2"/>
        </w:numPr>
        <w:spacing w:line="240" w:lineRule="auto"/>
      </w:pPr>
      <w:r w:rsidRPr="00BD77D8">
        <w:t>CAQH are used by government insurance and many private carriers Database is secured and confidential</w:t>
      </w:r>
    </w:p>
    <w:p w:rsidR="00D9147C" w:rsidRPr="00BD77D8" w:rsidRDefault="006B0299" w:rsidP="00D9147C">
      <w:pPr>
        <w:rPr>
          <w:color w:val="4472C4" w:themeColor="accent5"/>
          <w:sz w:val="28"/>
          <w:szCs w:val="26"/>
        </w:rPr>
      </w:pPr>
      <w:r w:rsidRPr="00BD77D8">
        <w:rPr>
          <w:color w:val="4472C4" w:themeColor="accent5"/>
          <w:sz w:val="28"/>
          <w:szCs w:val="26"/>
        </w:rPr>
        <w:t xml:space="preserve">Services by </w:t>
      </w:r>
      <w:proofErr w:type="gramStart"/>
      <w:r w:rsidRPr="00BD77D8">
        <w:rPr>
          <w:color w:val="4472C4" w:themeColor="accent5"/>
          <w:sz w:val="28"/>
          <w:szCs w:val="26"/>
        </w:rPr>
        <w:t>CAQH :</w:t>
      </w:r>
      <w:proofErr w:type="gramEnd"/>
    </w:p>
    <w:p w:rsidR="006B0299" w:rsidRPr="00BD77D8" w:rsidRDefault="006B0299" w:rsidP="00BD77D8">
      <w:pPr>
        <w:pStyle w:val="ListParagraph"/>
        <w:numPr>
          <w:ilvl w:val="0"/>
          <w:numId w:val="9"/>
        </w:numPr>
        <w:rPr>
          <w:color w:val="4472C4" w:themeColor="accent5"/>
          <w:sz w:val="24"/>
          <w:szCs w:val="24"/>
        </w:rPr>
      </w:pPr>
      <w:r w:rsidRPr="00BD77D8">
        <w:rPr>
          <w:color w:val="4472C4" w:themeColor="accent5"/>
          <w:sz w:val="24"/>
          <w:szCs w:val="24"/>
        </w:rPr>
        <w:t>CAQH ProView :</w:t>
      </w:r>
      <w:r w:rsidRPr="00BD77D8">
        <w:rPr>
          <w:sz w:val="24"/>
          <w:szCs w:val="24"/>
        </w:rPr>
        <w:t xml:space="preserve"> </w:t>
      </w:r>
    </w:p>
    <w:p w:rsidR="006B0299" w:rsidRPr="00BD77D8" w:rsidRDefault="006B0299" w:rsidP="00BD77D8">
      <w:pPr>
        <w:pStyle w:val="ListParagraph"/>
        <w:numPr>
          <w:ilvl w:val="0"/>
          <w:numId w:val="3"/>
        </w:numPr>
        <w:spacing w:line="276" w:lineRule="auto"/>
        <w:rPr>
          <w:color w:val="4472C4" w:themeColor="accent5"/>
          <w:sz w:val="24"/>
          <w:szCs w:val="24"/>
        </w:rPr>
      </w:pPr>
      <w:r w:rsidRPr="00BD77D8">
        <w:rPr>
          <w:color w:val="444444"/>
          <w:szCs w:val="23"/>
          <w:shd w:val="clear" w:color="auto" w:fill="FFFFFF"/>
        </w:rPr>
        <w:t xml:space="preserve">CAQH </w:t>
      </w:r>
      <w:r w:rsidRPr="00BD77D8">
        <w:rPr>
          <w:color w:val="444444"/>
          <w:szCs w:val="23"/>
          <w:shd w:val="clear" w:color="auto" w:fill="FFFFFF"/>
        </w:rPr>
        <w:t>ProView</w:t>
      </w:r>
      <w:r w:rsidRPr="00BD77D8">
        <w:rPr>
          <w:color w:val="444444"/>
          <w:sz w:val="16"/>
          <w:szCs w:val="17"/>
          <w:shd w:val="clear" w:color="auto" w:fill="FFFFFF"/>
          <w:vertAlign w:val="superscript"/>
        </w:rPr>
        <w:t xml:space="preserve"> </w:t>
      </w:r>
      <w:r w:rsidRPr="00BD77D8">
        <w:rPr>
          <w:rStyle w:val="apple-converted-space"/>
          <w:color w:val="444444"/>
          <w:szCs w:val="23"/>
          <w:shd w:val="clear" w:color="auto" w:fill="FFFFFF"/>
        </w:rPr>
        <w:t>is</w:t>
      </w:r>
      <w:r w:rsidRPr="00BD77D8">
        <w:rPr>
          <w:color w:val="444444"/>
          <w:szCs w:val="23"/>
          <w:shd w:val="clear" w:color="auto" w:fill="FFFFFF"/>
        </w:rPr>
        <w:t xml:space="preserve"> the trusted source and industry standard for self-reported provider data.</w:t>
      </w:r>
    </w:p>
    <w:p w:rsidR="006B0299" w:rsidRPr="00BD77D8" w:rsidRDefault="006B0299" w:rsidP="00BD77D8">
      <w:pPr>
        <w:pStyle w:val="ListParagraph"/>
        <w:numPr>
          <w:ilvl w:val="0"/>
          <w:numId w:val="3"/>
        </w:numPr>
        <w:spacing w:line="276" w:lineRule="auto"/>
        <w:rPr>
          <w:color w:val="4472C4" w:themeColor="accent5"/>
        </w:rPr>
      </w:pPr>
      <w:r w:rsidRPr="00BD77D8">
        <w:rPr>
          <w:color w:val="444444"/>
          <w:shd w:val="clear" w:color="auto" w:fill="FFFFFF"/>
        </w:rPr>
        <w:t>More than 1.3 million healthcare providers are now using this greatly enhanced solution, updated in 2015.</w:t>
      </w:r>
    </w:p>
    <w:p w:rsidR="006B0299" w:rsidRPr="00522D97" w:rsidRDefault="006B0299" w:rsidP="00BD77D8">
      <w:pPr>
        <w:pStyle w:val="ListParagraph"/>
        <w:numPr>
          <w:ilvl w:val="0"/>
          <w:numId w:val="3"/>
        </w:numPr>
        <w:spacing w:line="276" w:lineRule="auto"/>
        <w:rPr>
          <w:color w:val="4472C4" w:themeColor="accent5"/>
        </w:rPr>
      </w:pPr>
      <w:r w:rsidRPr="00BD77D8">
        <w:rPr>
          <w:color w:val="444444"/>
          <w:shd w:val="clear" w:color="auto" w:fill="FFFFFF"/>
        </w:rPr>
        <w:t>CAQH ProView continues to be the premier credentialing tool, but can now also be used by participating organizations for network directories, claims processing, quality assurance, emergency response, member services and more.</w:t>
      </w:r>
    </w:p>
    <w:p w:rsidR="00522D97" w:rsidRPr="00BD77D8" w:rsidRDefault="00522D97" w:rsidP="00522D97">
      <w:pPr>
        <w:pStyle w:val="ListParagraph"/>
        <w:spacing w:line="276" w:lineRule="auto"/>
        <w:rPr>
          <w:color w:val="4472C4" w:themeColor="accent5"/>
        </w:rPr>
      </w:pPr>
    </w:p>
    <w:p w:rsidR="00BD77D8" w:rsidRPr="00BD77D8" w:rsidRDefault="00BD77D8" w:rsidP="00BD77D8">
      <w:pPr>
        <w:pStyle w:val="ListParagraph"/>
        <w:numPr>
          <w:ilvl w:val="0"/>
          <w:numId w:val="9"/>
        </w:numPr>
        <w:rPr>
          <w:color w:val="4472C4" w:themeColor="accent5"/>
          <w:sz w:val="24"/>
          <w:szCs w:val="24"/>
        </w:rPr>
      </w:pPr>
      <w:proofErr w:type="spellStart"/>
      <w:r w:rsidRPr="00BD77D8">
        <w:rPr>
          <w:color w:val="4472C4" w:themeColor="accent5"/>
          <w:sz w:val="24"/>
          <w:szCs w:val="24"/>
        </w:rPr>
        <w:t>Enroll</w:t>
      </w:r>
      <w:proofErr w:type="spellEnd"/>
      <w:r w:rsidRPr="00BD77D8">
        <w:rPr>
          <w:color w:val="4472C4" w:themeColor="accent5"/>
          <w:sz w:val="24"/>
          <w:szCs w:val="24"/>
        </w:rPr>
        <w:t xml:space="preserve"> Hub :</w:t>
      </w:r>
    </w:p>
    <w:p w:rsidR="00BD77D8" w:rsidRPr="00BD77D8" w:rsidRDefault="00BD77D8" w:rsidP="00BD77D8">
      <w:pPr>
        <w:pStyle w:val="ListParagraph"/>
        <w:numPr>
          <w:ilvl w:val="0"/>
          <w:numId w:val="4"/>
        </w:numPr>
        <w:rPr>
          <w:color w:val="4472C4" w:themeColor="accent5"/>
        </w:rPr>
      </w:pPr>
      <w:r w:rsidRPr="00BD77D8">
        <w:rPr>
          <w:color w:val="444444"/>
          <w:shd w:val="clear" w:color="auto" w:fill="FFFFFF"/>
        </w:rPr>
        <w:t xml:space="preserve">Increasing adoption of electronic funds transfer (EFT) and electronic remittance advice (ERA) </w:t>
      </w:r>
      <w:r w:rsidRPr="00BD77D8">
        <w:rPr>
          <w:color w:val="444444"/>
          <w:shd w:val="clear" w:color="auto" w:fill="FFFFFF"/>
        </w:rPr>
        <w:t>enrolment</w:t>
      </w:r>
      <w:r w:rsidRPr="00BD77D8">
        <w:rPr>
          <w:color w:val="444444"/>
          <w:shd w:val="clear" w:color="auto" w:fill="FFFFFF"/>
        </w:rPr>
        <w:t xml:space="preserve"> continues to challenge healthcare organizations.</w:t>
      </w:r>
    </w:p>
    <w:p w:rsidR="00BD77D8" w:rsidRPr="00522D97" w:rsidRDefault="00BD77D8" w:rsidP="00BD77D8">
      <w:pPr>
        <w:pStyle w:val="ListParagraph"/>
        <w:numPr>
          <w:ilvl w:val="0"/>
          <w:numId w:val="4"/>
        </w:numPr>
        <w:rPr>
          <w:color w:val="4472C4" w:themeColor="accent5"/>
        </w:rPr>
      </w:pPr>
      <w:r w:rsidRPr="00BD77D8">
        <w:rPr>
          <w:color w:val="444444"/>
          <w:shd w:val="clear" w:color="auto" w:fill="FFFFFF"/>
        </w:rPr>
        <w:t xml:space="preserve"> </w:t>
      </w:r>
      <w:proofErr w:type="spellStart"/>
      <w:r w:rsidRPr="00BD77D8">
        <w:rPr>
          <w:color w:val="444444"/>
          <w:shd w:val="clear" w:color="auto" w:fill="FFFFFF"/>
        </w:rPr>
        <w:t>EnrollHub</w:t>
      </w:r>
      <w:proofErr w:type="spellEnd"/>
      <w:r w:rsidRPr="00BD77D8">
        <w:rPr>
          <w:color w:val="444444"/>
          <w:shd w:val="clear" w:color="auto" w:fill="FFFFFF"/>
        </w:rPr>
        <w:t xml:space="preserve"> is a CAQH Solution that simplifies and streamlines the EFT and ERA </w:t>
      </w:r>
      <w:r w:rsidRPr="00BD77D8">
        <w:rPr>
          <w:color w:val="444444"/>
          <w:shd w:val="clear" w:color="auto" w:fill="FFFFFF"/>
        </w:rPr>
        <w:t>enrolment</w:t>
      </w:r>
      <w:r w:rsidRPr="00BD77D8">
        <w:rPr>
          <w:color w:val="444444"/>
          <w:shd w:val="clear" w:color="auto" w:fill="FFFFFF"/>
        </w:rPr>
        <w:t xml:space="preserve"> processes for providers and payers - helping improve administrative efficiency and save time.</w:t>
      </w:r>
    </w:p>
    <w:p w:rsidR="00522D97" w:rsidRPr="00BD77D8" w:rsidRDefault="00522D97" w:rsidP="00522D97">
      <w:pPr>
        <w:pStyle w:val="ListParagraph"/>
        <w:rPr>
          <w:color w:val="4472C4" w:themeColor="accent5"/>
        </w:rPr>
      </w:pPr>
    </w:p>
    <w:p w:rsidR="00BD77D8" w:rsidRPr="00892E56" w:rsidRDefault="00BD77D8" w:rsidP="00BD77D8">
      <w:pPr>
        <w:pStyle w:val="ListParagraph"/>
        <w:numPr>
          <w:ilvl w:val="0"/>
          <w:numId w:val="9"/>
        </w:numPr>
        <w:rPr>
          <w:color w:val="4472C4" w:themeColor="accent5"/>
          <w:sz w:val="24"/>
          <w:szCs w:val="24"/>
        </w:rPr>
      </w:pPr>
      <w:r w:rsidRPr="00892E56">
        <w:rPr>
          <w:color w:val="4472C4" w:themeColor="accent5"/>
          <w:sz w:val="24"/>
          <w:szCs w:val="24"/>
        </w:rPr>
        <w:t>COB Smart :</w:t>
      </w:r>
    </w:p>
    <w:p w:rsidR="00BD77D8" w:rsidRDefault="00522D97" w:rsidP="00BD77D8">
      <w:pPr>
        <w:ind w:left="360"/>
        <w:rPr>
          <w:b/>
          <w:bCs/>
        </w:rPr>
      </w:pPr>
      <w:r w:rsidRPr="00522D97">
        <w:rPr>
          <w:b/>
          <w:bCs/>
        </w:rPr>
        <w:t>Accurate Benefits Coordination. Eliminating Healthcare’s $800 Million Challenge.</w:t>
      </w:r>
    </w:p>
    <w:p w:rsidR="00522D97" w:rsidRPr="00522D97" w:rsidRDefault="00522D97" w:rsidP="00522D97">
      <w:pPr>
        <w:pStyle w:val="ListParagraph"/>
        <w:numPr>
          <w:ilvl w:val="0"/>
          <w:numId w:val="13"/>
        </w:numPr>
      </w:pPr>
      <w:r w:rsidRPr="00522D97">
        <w:t>Coordination of Benefits (COB) has proved challenging for the healthcare industry, resulting in delayed and inaccurate payments, appeals and significant recovery activities.</w:t>
      </w:r>
    </w:p>
    <w:p w:rsidR="00522D97" w:rsidRPr="00522D97" w:rsidRDefault="00522D97" w:rsidP="00522D97">
      <w:pPr>
        <w:pStyle w:val="NormalWeb"/>
        <w:numPr>
          <w:ilvl w:val="0"/>
          <w:numId w:val="13"/>
        </w:numPr>
        <w:shd w:val="clear" w:color="auto" w:fill="FFFFFF"/>
        <w:spacing w:before="0" w:beforeAutospacing="0" w:after="150" w:afterAutospacing="0" w:line="285" w:lineRule="atLeast"/>
        <w:rPr>
          <w:rFonts w:asciiTheme="minorHAnsi" w:hAnsiTheme="minorHAnsi"/>
          <w:color w:val="444444"/>
          <w:sz w:val="22"/>
          <w:szCs w:val="22"/>
        </w:rPr>
      </w:pPr>
      <w:r w:rsidRPr="00522D97">
        <w:rPr>
          <w:rFonts w:asciiTheme="minorHAnsi" w:hAnsiTheme="minorHAnsi"/>
          <w:color w:val="444444"/>
          <w:sz w:val="22"/>
          <w:szCs w:val="22"/>
        </w:rPr>
        <w:t xml:space="preserve">COB Smart, a forward-thinking solution that enables health plans and providers to correctly identify which members have benefits that should be coordinated. </w:t>
      </w:r>
    </w:p>
    <w:p w:rsidR="00522D97" w:rsidRPr="00522D97" w:rsidRDefault="00522D97" w:rsidP="00522D97">
      <w:pPr>
        <w:pStyle w:val="NormalWeb"/>
        <w:numPr>
          <w:ilvl w:val="0"/>
          <w:numId w:val="13"/>
        </w:numPr>
        <w:shd w:val="clear" w:color="auto" w:fill="FFFFFF"/>
        <w:spacing w:before="0" w:beforeAutospacing="0" w:after="150" w:afterAutospacing="0" w:line="285" w:lineRule="atLeast"/>
        <w:rPr>
          <w:rFonts w:asciiTheme="minorHAnsi" w:hAnsiTheme="minorHAnsi"/>
          <w:color w:val="444444"/>
          <w:sz w:val="22"/>
          <w:szCs w:val="22"/>
        </w:rPr>
      </w:pPr>
      <w:r w:rsidRPr="00522D97">
        <w:rPr>
          <w:rFonts w:asciiTheme="minorHAnsi" w:hAnsiTheme="minorHAnsi"/>
          <w:color w:val="444444"/>
          <w:sz w:val="22"/>
          <w:szCs w:val="22"/>
        </w:rPr>
        <w:t>This way, corresponding claims are processed correctly the first time. </w:t>
      </w:r>
    </w:p>
    <w:p w:rsidR="00522D97" w:rsidRPr="00522D97" w:rsidRDefault="00522D97" w:rsidP="00522D97">
      <w:pPr>
        <w:pStyle w:val="NormalWeb"/>
        <w:numPr>
          <w:ilvl w:val="0"/>
          <w:numId w:val="13"/>
        </w:numPr>
        <w:shd w:val="clear" w:color="auto" w:fill="FFFFFF"/>
        <w:spacing w:before="0" w:beforeAutospacing="0" w:after="150" w:afterAutospacing="0" w:line="285" w:lineRule="atLeast"/>
        <w:rPr>
          <w:rFonts w:asciiTheme="minorHAnsi" w:hAnsiTheme="minorHAnsi"/>
          <w:color w:val="444444"/>
          <w:sz w:val="22"/>
          <w:szCs w:val="22"/>
        </w:rPr>
      </w:pPr>
      <w:r w:rsidRPr="00522D97">
        <w:rPr>
          <w:rFonts w:asciiTheme="minorHAnsi" w:hAnsiTheme="minorHAnsi"/>
          <w:color w:val="444444"/>
          <w:sz w:val="22"/>
          <w:szCs w:val="22"/>
        </w:rPr>
        <w:t>COB Smart helps clearinghouses deliver coordination of benefits information that can easily be incorporated into a standard 271 eligibility response.</w:t>
      </w:r>
    </w:p>
    <w:p w:rsidR="00522D97" w:rsidRPr="00522D97" w:rsidRDefault="00522D97" w:rsidP="00522D97">
      <w:pPr>
        <w:pStyle w:val="NormalWeb"/>
        <w:numPr>
          <w:ilvl w:val="0"/>
          <w:numId w:val="13"/>
        </w:numPr>
        <w:shd w:val="clear" w:color="auto" w:fill="FFFFFF"/>
        <w:spacing w:before="0" w:beforeAutospacing="0" w:after="150" w:afterAutospacing="0" w:line="285" w:lineRule="atLeast"/>
        <w:rPr>
          <w:rFonts w:asciiTheme="minorHAnsi" w:hAnsiTheme="minorHAnsi"/>
          <w:color w:val="444444"/>
          <w:sz w:val="22"/>
          <w:szCs w:val="22"/>
        </w:rPr>
      </w:pPr>
      <w:r w:rsidRPr="00522D97">
        <w:rPr>
          <w:rFonts w:asciiTheme="minorHAnsi" w:hAnsiTheme="minorHAnsi"/>
          <w:color w:val="444444"/>
          <w:sz w:val="22"/>
          <w:szCs w:val="22"/>
        </w:rPr>
        <w:t xml:space="preserve"> The solution’s information registry correctly identifies the patients with multiple sources of coverage, so that corresponding claims can be handled correctly the first time. </w:t>
      </w:r>
    </w:p>
    <w:p w:rsidR="00522D97" w:rsidRDefault="00522D97" w:rsidP="00522D97">
      <w:pPr>
        <w:pStyle w:val="NormalWeb"/>
        <w:numPr>
          <w:ilvl w:val="0"/>
          <w:numId w:val="13"/>
        </w:numPr>
        <w:shd w:val="clear" w:color="auto" w:fill="FFFFFF"/>
        <w:spacing w:before="0" w:beforeAutospacing="0" w:after="150" w:afterAutospacing="0" w:line="285" w:lineRule="atLeast"/>
        <w:rPr>
          <w:rFonts w:asciiTheme="minorHAnsi" w:hAnsiTheme="minorHAnsi"/>
          <w:color w:val="444444"/>
          <w:sz w:val="22"/>
          <w:szCs w:val="22"/>
        </w:rPr>
      </w:pPr>
      <w:r w:rsidRPr="00522D97">
        <w:rPr>
          <w:rFonts w:asciiTheme="minorHAnsi" w:hAnsiTheme="minorHAnsi"/>
          <w:color w:val="444444"/>
          <w:sz w:val="22"/>
          <w:szCs w:val="22"/>
        </w:rPr>
        <w:t>COB Smart is available to clearinghouses at no charge.</w:t>
      </w:r>
    </w:p>
    <w:p w:rsidR="00522D97" w:rsidRPr="00522D97" w:rsidRDefault="00522D97" w:rsidP="00522D97">
      <w:pPr>
        <w:pStyle w:val="NormalWeb"/>
        <w:shd w:val="clear" w:color="auto" w:fill="FFFFFF"/>
        <w:spacing w:before="0" w:beforeAutospacing="0" w:after="150" w:afterAutospacing="0" w:line="285" w:lineRule="atLeast"/>
        <w:ind w:left="720"/>
        <w:rPr>
          <w:rFonts w:asciiTheme="minorHAnsi" w:hAnsiTheme="minorHAnsi"/>
          <w:color w:val="444444"/>
          <w:sz w:val="22"/>
          <w:szCs w:val="22"/>
        </w:rPr>
      </w:pPr>
    </w:p>
    <w:p w:rsidR="00522D97" w:rsidRPr="00892E56" w:rsidRDefault="00522D97" w:rsidP="00522D97">
      <w:pPr>
        <w:pStyle w:val="ListParagraph"/>
        <w:numPr>
          <w:ilvl w:val="0"/>
          <w:numId w:val="9"/>
        </w:numPr>
        <w:rPr>
          <w:color w:val="4472C4" w:themeColor="accent5"/>
          <w:sz w:val="24"/>
          <w:szCs w:val="24"/>
        </w:rPr>
      </w:pPr>
      <w:r w:rsidRPr="00892E56">
        <w:rPr>
          <w:color w:val="4472C4" w:themeColor="accent5"/>
          <w:sz w:val="24"/>
          <w:szCs w:val="24"/>
        </w:rPr>
        <w:t>Sanctions Track :</w:t>
      </w:r>
    </w:p>
    <w:p w:rsidR="00522D97" w:rsidRPr="00522D97" w:rsidRDefault="00522D97" w:rsidP="00522D97">
      <w:pPr>
        <w:pStyle w:val="ListParagraph"/>
        <w:numPr>
          <w:ilvl w:val="0"/>
          <w:numId w:val="16"/>
        </w:numPr>
      </w:pPr>
      <w:r w:rsidRPr="00522D97">
        <w:rPr>
          <w:color w:val="444444"/>
          <w:shd w:val="clear" w:color="auto" w:fill="FFFFFF"/>
        </w:rPr>
        <w:t>Comprehensive and timely monitoring of healthcare provider sanctions is critically important.</w:t>
      </w:r>
    </w:p>
    <w:p w:rsidR="00D25C6F" w:rsidRPr="00D25C6F" w:rsidRDefault="00522D97" w:rsidP="00D25C6F">
      <w:pPr>
        <w:pStyle w:val="ListParagraph"/>
        <w:numPr>
          <w:ilvl w:val="0"/>
          <w:numId w:val="16"/>
        </w:numPr>
      </w:pPr>
      <w:r w:rsidRPr="00522D97">
        <w:rPr>
          <w:color w:val="444444"/>
          <w:shd w:val="clear" w:color="auto" w:fill="FFFFFF"/>
        </w:rPr>
        <w:t xml:space="preserve">While the </w:t>
      </w:r>
      <w:r w:rsidRPr="00522D97">
        <w:rPr>
          <w:b/>
          <w:bCs/>
          <w:color w:val="444444"/>
          <w:shd w:val="clear" w:color="auto" w:fill="FFFFFF"/>
        </w:rPr>
        <w:t>re-credentialing process takes place only</w:t>
      </w:r>
      <w:r w:rsidRPr="00522D97">
        <w:rPr>
          <w:color w:val="444444"/>
          <w:shd w:val="clear" w:color="auto" w:fill="FFFFFF"/>
        </w:rPr>
        <w:t xml:space="preserve"> </w:t>
      </w:r>
      <w:r w:rsidRPr="00522D97">
        <w:rPr>
          <w:b/>
          <w:bCs/>
          <w:color w:val="444444"/>
          <w:shd w:val="clear" w:color="auto" w:fill="FFFFFF"/>
        </w:rPr>
        <w:t>every three years</w:t>
      </w:r>
      <w:r w:rsidRPr="00522D97">
        <w:rPr>
          <w:color w:val="444444"/>
          <w:shd w:val="clear" w:color="auto" w:fill="FFFFFF"/>
        </w:rPr>
        <w:t>, the HHS Office of the Inspector General (OIG) issues new sanctions weekly.</w:t>
      </w:r>
    </w:p>
    <w:p w:rsidR="00D25C6F" w:rsidRPr="00D25C6F" w:rsidRDefault="00D25C6F" w:rsidP="00804C04">
      <w:pPr>
        <w:pStyle w:val="ListParagraph"/>
        <w:numPr>
          <w:ilvl w:val="0"/>
          <w:numId w:val="16"/>
        </w:numPr>
        <w:shd w:val="clear" w:color="auto" w:fill="FFFFFF"/>
        <w:spacing w:before="100" w:beforeAutospacing="1" w:after="100" w:afterAutospacing="1" w:line="285" w:lineRule="atLeast"/>
        <w:rPr>
          <w:rFonts w:ascii="Helvetica" w:eastAsia="Times New Roman" w:hAnsi="Helvetica" w:cs="Times New Roman"/>
          <w:color w:val="444444"/>
          <w:sz w:val="23"/>
          <w:szCs w:val="23"/>
          <w:lang w:eastAsia="en-IN" w:bidi="te-IN"/>
        </w:rPr>
      </w:pPr>
      <w:proofErr w:type="spellStart"/>
      <w:r w:rsidRPr="00D25C6F">
        <w:rPr>
          <w:b/>
          <w:bCs/>
          <w:color w:val="444444"/>
          <w:shd w:val="clear" w:color="auto" w:fill="FFFFFF"/>
        </w:rPr>
        <w:t>SanctionsTrack</w:t>
      </w:r>
      <w:proofErr w:type="spellEnd"/>
      <w:r w:rsidRPr="00D25C6F">
        <w:rPr>
          <w:b/>
          <w:bCs/>
          <w:color w:val="444444"/>
          <w:shd w:val="clear" w:color="auto" w:fill="FFFFFF"/>
        </w:rPr>
        <w:t xml:space="preserve"> is an automated, continuous sanctions monitoring solution</w:t>
      </w:r>
      <w:r w:rsidRPr="00D25C6F">
        <w:rPr>
          <w:rFonts w:ascii="Helvetica" w:hAnsi="Helvetica"/>
          <w:color w:val="444444"/>
          <w:sz w:val="23"/>
          <w:szCs w:val="23"/>
          <w:shd w:val="clear" w:color="auto" w:fill="FFFFFF"/>
        </w:rPr>
        <w:t xml:space="preserve"> from CAQH designed to seamles</w:t>
      </w:r>
      <w:r w:rsidRPr="00D25C6F">
        <w:rPr>
          <w:rFonts w:ascii="Helvetica" w:hAnsi="Helvetica"/>
          <w:color w:val="444444"/>
          <w:sz w:val="23"/>
          <w:szCs w:val="23"/>
          <w:shd w:val="clear" w:color="auto" w:fill="FFFFFF"/>
        </w:rPr>
        <w:t>sly integrate with CAQH ProView</w:t>
      </w:r>
      <w:r w:rsidRPr="00D25C6F">
        <w:rPr>
          <w:rFonts w:ascii="Helvetica" w:hAnsi="Helvetica"/>
          <w:color w:val="444444"/>
          <w:sz w:val="23"/>
          <w:szCs w:val="23"/>
          <w:shd w:val="clear" w:color="auto" w:fill="FFFFFF"/>
        </w:rPr>
        <w:t xml:space="preserve"> to enhance the value of your provider data.</w:t>
      </w:r>
    </w:p>
    <w:p w:rsidR="00D25C6F" w:rsidRPr="00D25C6F" w:rsidRDefault="00D25C6F" w:rsidP="00804C04">
      <w:pPr>
        <w:pStyle w:val="ListParagraph"/>
        <w:numPr>
          <w:ilvl w:val="0"/>
          <w:numId w:val="16"/>
        </w:numPr>
        <w:shd w:val="clear" w:color="auto" w:fill="FFFFFF"/>
        <w:spacing w:before="100" w:beforeAutospacing="1" w:after="100" w:afterAutospacing="1" w:line="285" w:lineRule="atLeast"/>
        <w:rPr>
          <w:rFonts w:eastAsia="Times New Roman" w:cs="Times New Roman"/>
          <w:color w:val="444444"/>
          <w:lang w:eastAsia="en-IN" w:bidi="te-IN"/>
        </w:rPr>
      </w:pPr>
      <w:r w:rsidRPr="00D25C6F">
        <w:rPr>
          <w:rFonts w:eastAsia="Times New Roman" w:cs="Times New Roman"/>
          <w:color w:val="444444"/>
          <w:lang w:eastAsia="en-IN" w:bidi="te-IN"/>
        </w:rPr>
        <w:t>Automates the manual process of checking licensing boards, OPM and OIG, and matching for provider disciplinary actions.</w:t>
      </w:r>
    </w:p>
    <w:p w:rsidR="00D25C6F" w:rsidRPr="00D25C6F" w:rsidRDefault="00D25C6F" w:rsidP="00D25C6F">
      <w:pPr>
        <w:numPr>
          <w:ilvl w:val="0"/>
          <w:numId w:val="16"/>
        </w:numPr>
        <w:shd w:val="clear" w:color="auto" w:fill="FFFFFF"/>
        <w:spacing w:before="100" w:beforeAutospacing="1" w:after="100" w:afterAutospacing="1" w:line="285" w:lineRule="atLeast"/>
        <w:rPr>
          <w:rFonts w:eastAsia="Times New Roman" w:cs="Times New Roman"/>
          <w:color w:val="444444"/>
          <w:lang w:eastAsia="en-IN" w:bidi="te-IN"/>
        </w:rPr>
      </w:pPr>
      <w:r w:rsidRPr="00D25C6F">
        <w:rPr>
          <w:rFonts w:eastAsia="Times New Roman" w:cs="Times New Roman"/>
          <w:color w:val="444444"/>
          <w:lang w:eastAsia="en-IN" w:bidi="te-IN"/>
        </w:rPr>
        <w:t>Reduces hours of staff time, eliminates redundant processes and improves results related to sanctions monitoring.</w:t>
      </w:r>
    </w:p>
    <w:p w:rsidR="00D25C6F" w:rsidRPr="00D25C6F" w:rsidRDefault="00D25C6F" w:rsidP="00D25C6F">
      <w:pPr>
        <w:numPr>
          <w:ilvl w:val="0"/>
          <w:numId w:val="16"/>
        </w:numPr>
        <w:shd w:val="clear" w:color="auto" w:fill="FFFFFF"/>
        <w:spacing w:before="100" w:beforeAutospacing="1" w:after="100" w:afterAutospacing="1" w:line="285" w:lineRule="atLeast"/>
        <w:rPr>
          <w:rFonts w:eastAsia="Times New Roman" w:cs="Times New Roman"/>
          <w:color w:val="444444"/>
          <w:lang w:eastAsia="en-IN" w:bidi="te-IN"/>
        </w:rPr>
      </w:pPr>
      <w:r w:rsidRPr="00D25C6F">
        <w:rPr>
          <w:rFonts w:eastAsia="Times New Roman" w:cs="Times New Roman"/>
          <w:color w:val="444444"/>
          <w:lang w:eastAsia="en-IN" w:bidi="te-IN"/>
        </w:rPr>
        <w:t>Offers timely information to use in provider credentialing and evaluation decisions. </w:t>
      </w:r>
    </w:p>
    <w:p w:rsidR="00D25C6F" w:rsidRPr="00522D97" w:rsidRDefault="00D25C6F" w:rsidP="00D25C6F">
      <w:pPr>
        <w:pStyle w:val="ListParagraph"/>
      </w:pPr>
    </w:p>
    <w:p w:rsidR="00D25C6F" w:rsidRDefault="00D25C6F" w:rsidP="00D25C6F">
      <w:pPr>
        <w:pStyle w:val="ListParagraph"/>
        <w:numPr>
          <w:ilvl w:val="0"/>
          <w:numId w:val="9"/>
        </w:numPr>
        <w:rPr>
          <w:color w:val="4472C4" w:themeColor="accent5"/>
        </w:rPr>
      </w:pPr>
      <w:r w:rsidRPr="00892E56">
        <w:rPr>
          <w:color w:val="4472C4" w:themeColor="accent5"/>
          <w:sz w:val="24"/>
          <w:szCs w:val="24"/>
        </w:rPr>
        <w:t>Primary Source Verification(PSV) :</w:t>
      </w:r>
    </w:p>
    <w:p w:rsidR="00D25C6F" w:rsidRDefault="00D25C6F" w:rsidP="00D25C6F">
      <w:pPr>
        <w:ind w:left="360"/>
      </w:pPr>
      <w:r w:rsidRPr="00D25C6F">
        <w:t>CAQH is working with its member health plans to i</w:t>
      </w:r>
      <w:r>
        <w:t>mprove the PSV process, through:</w:t>
      </w:r>
    </w:p>
    <w:p w:rsidR="00D25C6F" w:rsidRDefault="00D25C6F" w:rsidP="00D25C6F">
      <w:pPr>
        <w:pStyle w:val="ListParagraph"/>
        <w:numPr>
          <w:ilvl w:val="0"/>
          <w:numId w:val="20"/>
        </w:numPr>
        <w:spacing w:line="240" w:lineRule="auto"/>
      </w:pPr>
      <w:r>
        <w:t>Centralization to eliminate redundant functions and create economies of scale.</w:t>
      </w:r>
    </w:p>
    <w:p w:rsidR="00D25C6F" w:rsidRDefault="00D25C6F" w:rsidP="00D25C6F">
      <w:pPr>
        <w:pStyle w:val="ListParagraph"/>
        <w:numPr>
          <w:ilvl w:val="0"/>
          <w:numId w:val="20"/>
        </w:numPr>
        <w:spacing w:line="240" w:lineRule="auto"/>
      </w:pPr>
      <w:r>
        <w:t>Standardization to drive improvement in data quality and reduce costs.</w:t>
      </w:r>
    </w:p>
    <w:p w:rsidR="00D25C6F" w:rsidRDefault="00D25C6F" w:rsidP="00D25C6F">
      <w:pPr>
        <w:pStyle w:val="ListParagraph"/>
        <w:numPr>
          <w:ilvl w:val="0"/>
          <w:numId w:val="20"/>
        </w:numPr>
        <w:spacing w:line="240" w:lineRule="auto"/>
      </w:pPr>
      <w:r>
        <w:t>Alignment of provider re-credentialing cycles across health plans.</w:t>
      </w:r>
    </w:p>
    <w:p w:rsidR="00D25C6F" w:rsidRDefault="00D25C6F" w:rsidP="00D25C6F">
      <w:pPr>
        <w:pStyle w:val="ListParagraph"/>
        <w:numPr>
          <w:ilvl w:val="0"/>
          <w:numId w:val="20"/>
        </w:numPr>
        <w:spacing w:line="240" w:lineRule="auto"/>
      </w:pPr>
      <w:r>
        <w:t xml:space="preserve">Automation of functions to reduce turnaround time and </w:t>
      </w:r>
      <w:r>
        <w:t>labour</w:t>
      </w:r>
      <w:r>
        <w:t>.</w:t>
      </w:r>
    </w:p>
    <w:p w:rsidR="00892E56" w:rsidRDefault="00892E56" w:rsidP="00892E56">
      <w:pPr>
        <w:spacing w:line="240" w:lineRule="auto"/>
      </w:pPr>
      <w:r w:rsidRPr="00892E56">
        <w:rPr>
          <w:b/>
          <w:bCs/>
        </w:rPr>
        <w:t xml:space="preserve">       CAQH is now certified as a NCQA credentials verification organization (CVO)</w:t>
      </w:r>
      <w:r w:rsidRPr="00892E56">
        <w:t xml:space="preserve"> and is developing a dramatically different, collaborative solution to streamline the primary source verification process for the healthcare industry. The CAQH PSV solution will integrate with CAQH ProView and be available to health plans later this year.</w:t>
      </w:r>
    </w:p>
    <w:p w:rsidR="00892E56" w:rsidRDefault="00892E56" w:rsidP="00892E56">
      <w:pPr>
        <w:pStyle w:val="ListParagraph"/>
        <w:numPr>
          <w:ilvl w:val="0"/>
          <w:numId w:val="9"/>
        </w:numPr>
        <w:spacing w:line="240" w:lineRule="auto"/>
        <w:rPr>
          <w:color w:val="4472C4" w:themeColor="accent5"/>
          <w:sz w:val="24"/>
          <w:szCs w:val="24"/>
        </w:rPr>
      </w:pPr>
      <w:proofErr w:type="spellStart"/>
      <w:r w:rsidRPr="00892E56">
        <w:rPr>
          <w:color w:val="4472C4" w:themeColor="accent5"/>
          <w:sz w:val="24"/>
          <w:szCs w:val="24"/>
        </w:rPr>
        <w:t>DirectAssure</w:t>
      </w:r>
      <w:proofErr w:type="spellEnd"/>
      <w:r w:rsidRPr="00892E56">
        <w:rPr>
          <w:color w:val="4472C4" w:themeColor="accent5"/>
          <w:sz w:val="24"/>
          <w:szCs w:val="24"/>
        </w:rPr>
        <w:t xml:space="preserve"> :</w:t>
      </w:r>
    </w:p>
    <w:p w:rsidR="00892E56" w:rsidRPr="00892E56" w:rsidRDefault="00892E56" w:rsidP="00892E56">
      <w:pPr>
        <w:pStyle w:val="ListParagraph"/>
        <w:numPr>
          <w:ilvl w:val="0"/>
          <w:numId w:val="21"/>
        </w:numPr>
        <w:spacing w:line="240" w:lineRule="auto"/>
        <w:rPr>
          <w:color w:val="4472C4" w:themeColor="accent5"/>
        </w:rPr>
      </w:pPr>
      <w:proofErr w:type="spellStart"/>
      <w:r w:rsidRPr="00892E56">
        <w:rPr>
          <w:color w:val="444444"/>
          <w:shd w:val="clear" w:color="auto" w:fill="FFFFFF"/>
        </w:rPr>
        <w:t>DirectAssure</w:t>
      </w:r>
      <w:proofErr w:type="spellEnd"/>
      <w:r w:rsidRPr="00892E56">
        <w:rPr>
          <w:color w:val="444444"/>
          <w:shd w:val="clear" w:color="auto" w:fill="FFFFFF"/>
        </w:rPr>
        <w:t>, a CAQH Solution</w:t>
      </w:r>
      <w:r w:rsidRPr="00892E56">
        <w:rPr>
          <w:color w:val="444444"/>
          <w:shd w:val="clear" w:color="auto" w:fill="FFFFFF"/>
        </w:rPr>
        <w:t>, eliminates the need for each health plan to contact every provider in their network to obtain timely, correct information. </w:t>
      </w:r>
    </w:p>
    <w:p w:rsidR="00892E56" w:rsidRPr="00892E56" w:rsidRDefault="00892E56" w:rsidP="00892E56">
      <w:pPr>
        <w:pStyle w:val="ListParagraph"/>
        <w:numPr>
          <w:ilvl w:val="0"/>
          <w:numId w:val="21"/>
        </w:numPr>
        <w:spacing w:line="240" w:lineRule="auto"/>
        <w:rPr>
          <w:color w:val="4472C4" w:themeColor="accent5"/>
        </w:rPr>
      </w:pPr>
      <w:r w:rsidRPr="00892E56">
        <w:rPr>
          <w:color w:val="444444"/>
          <w:shd w:val="clear" w:color="auto" w:fill="FFFFFF"/>
        </w:rPr>
        <w:t xml:space="preserve">Working in concert with CAQH ProView, </w:t>
      </w:r>
      <w:proofErr w:type="spellStart"/>
      <w:r w:rsidRPr="00892E56">
        <w:rPr>
          <w:color w:val="444444"/>
          <w:shd w:val="clear" w:color="auto" w:fill="FFFFFF"/>
        </w:rPr>
        <w:t>DirectAssure</w:t>
      </w:r>
      <w:proofErr w:type="spellEnd"/>
      <w:r w:rsidRPr="00892E56">
        <w:rPr>
          <w:color w:val="444444"/>
          <w:shd w:val="clear" w:color="auto" w:fill="FFFFFF"/>
        </w:rPr>
        <w:t xml:space="preserve"> enables healthcare providers to update and confirm their directory information in one place, where it can be shared w</w:t>
      </w:r>
      <w:r w:rsidRPr="00892E56">
        <w:rPr>
          <w:color w:val="444444"/>
          <w:shd w:val="clear" w:color="auto" w:fill="FFFFFF"/>
        </w:rPr>
        <w:t>ith participating health plans.</w:t>
      </w:r>
    </w:p>
    <w:p w:rsidR="00892E56" w:rsidRDefault="00892E56" w:rsidP="00892E56">
      <w:pPr>
        <w:spacing w:line="240" w:lineRule="auto"/>
        <w:ind w:firstLine="240"/>
        <w:rPr>
          <w:color w:val="4472C4" w:themeColor="accent5"/>
        </w:rPr>
      </w:pPr>
      <w:r w:rsidRPr="00892E56">
        <w:rPr>
          <w:rFonts w:eastAsia="Times New Roman" w:cs="Times New Roman"/>
          <w:color w:val="444444"/>
          <w:lang w:eastAsia="en-IN" w:bidi="te-IN"/>
        </w:rPr>
        <w:t xml:space="preserve">It provides </w:t>
      </w:r>
      <w:proofErr w:type="spellStart"/>
      <w:r w:rsidRPr="00892E56">
        <w:rPr>
          <w:rFonts w:eastAsia="Times New Roman" w:cs="Times New Roman"/>
          <w:color w:val="444444"/>
          <w:lang w:eastAsia="en-IN" w:bidi="te-IN"/>
        </w:rPr>
        <w:t>DirectAssure:</w:t>
      </w:r>
      <w:proofErr w:type="spellEnd"/>
    </w:p>
    <w:p w:rsidR="00892E56" w:rsidRPr="00892E56" w:rsidRDefault="00892E56" w:rsidP="00892E56">
      <w:pPr>
        <w:pStyle w:val="ListParagraph"/>
        <w:numPr>
          <w:ilvl w:val="0"/>
          <w:numId w:val="24"/>
        </w:numPr>
        <w:spacing w:line="240" w:lineRule="auto"/>
        <w:rPr>
          <w:color w:val="4472C4" w:themeColor="accent5"/>
        </w:rPr>
      </w:pPr>
      <w:r w:rsidRPr="00892E56">
        <w:rPr>
          <w:rFonts w:eastAsia="Times New Roman" w:cs="Times New Roman"/>
          <w:color w:val="444444"/>
          <w:lang w:eastAsia="en-IN" w:bidi="te-IN"/>
        </w:rPr>
        <w:t>Reduces administrative costs and inconvenience for health plans and providers.</w:t>
      </w:r>
    </w:p>
    <w:p w:rsidR="00892E56" w:rsidRPr="00892E56" w:rsidRDefault="00892E56" w:rsidP="00892E56">
      <w:pPr>
        <w:pStyle w:val="ListParagraph"/>
        <w:numPr>
          <w:ilvl w:val="0"/>
          <w:numId w:val="24"/>
        </w:numPr>
        <w:spacing w:line="240" w:lineRule="auto"/>
        <w:rPr>
          <w:color w:val="4472C4" w:themeColor="accent5"/>
        </w:rPr>
      </w:pPr>
      <w:r w:rsidRPr="00892E56">
        <w:rPr>
          <w:rFonts w:eastAsia="Times New Roman" w:cs="Times New Roman"/>
          <w:color w:val="444444"/>
          <w:lang w:eastAsia="en-IN" w:bidi="te-IN"/>
        </w:rPr>
        <w:t>Enables the more than 1.3 million providers participating in CAQH ProView to easily review and update their self-reported professional data for use in health plan directories.</w:t>
      </w:r>
    </w:p>
    <w:p w:rsidR="00892E56" w:rsidRPr="00892E56" w:rsidRDefault="00892E56" w:rsidP="00892E56">
      <w:pPr>
        <w:pStyle w:val="ListParagraph"/>
        <w:numPr>
          <w:ilvl w:val="0"/>
          <w:numId w:val="24"/>
        </w:numPr>
        <w:spacing w:line="240" w:lineRule="auto"/>
        <w:rPr>
          <w:color w:val="4472C4" w:themeColor="accent5"/>
        </w:rPr>
      </w:pPr>
      <w:r w:rsidRPr="00892E56">
        <w:rPr>
          <w:rFonts w:eastAsia="Times New Roman" w:cs="Times New Roman"/>
          <w:color w:val="444444"/>
          <w:lang w:eastAsia="en-IN" w:bidi="te-IN"/>
        </w:rPr>
        <w:t>Helps plans increase the accuracy of their directories.</w:t>
      </w:r>
    </w:p>
    <w:p w:rsidR="00892E56" w:rsidRPr="00892E56" w:rsidRDefault="00892E56" w:rsidP="00892E56">
      <w:pPr>
        <w:pStyle w:val="ListParagraph"/>
        <w:numPr>
          <w:ilvl w:val="0"/>
          <w:numId w:val="24"/>
        </w:numPr>
        <w:spacing w:line="240" w:lineRule="auto"/>
        <w:rPr>
          <w:color w:val="4472C4" w:themeColor="accent5"/>
        </w:rPr>
      </w:pPr>
      <w:r w:rsidRPr="00892E56">
        <w:rPr>
          <w:rFonts w:eastAsia="Times New Roman" w:cs="Times New Roman"/>
          <w:color w:val="444444"/>
          <w:lang w:eastAsia="en-IN" w:bidi="te-IN"/>
        </w:rPr>
        <w:t>Improves the ability for patients to make more informed decisions about their care based on up-to-date provider information.</w:t>
      </w:r>
    </w:p>
    <w:p w:rsidR="00892E56" w:rsidRDefault="007C3DC7" w:rsidP="00892E56">
      <w:pPr>
        <w:spacing w:line="240" w:lineRule="auto"/>
        <w:rPr>
          <w:color w:val="4472C4" w:themeColor="accent5"/>
        </w:rPr>
      </w:pPr>
      <w:r>
        <w:rPr>
          <w:color w:val="4472C4" w:themeColor="accent5"/>
        </w:rPr>
        <w:t>Data Provided By CAQH</w:t>
      </w:r>
    </w:p>
    <w:p w:rsidR="007C3DC7" w:rsidRPr="007C3DC7" w:rsidRDefault="007C3DC7" w:rsidP="007C3DC7">
      <w:pPr>
        <w:pStyle w:val="ListParagraph"/>
        <w:numPr>
          <w:ilvl w:val="0"/>
          <w:numId w:val="25"/>
        </w:numPr>
        <w:spacing w:line="240" w:lineRule="auto"/>
      </w:pPr>
      <w:r w:rsidRPr="007C3DC7">
        <w:t>Personal</w:t>
      </w:r>
    </w:p>
    <w:p w:rsidR="007C3DC7" w:rsidRPr="007C3DC7" w:rsidRDefault="007C3DC7" w:rsidP="007C3DC7">
      <w:pPr>
        <w:pStyle w:val="ListParagraph"/>
        <w:numPr>
          <w:ilvl w:val="0"/>
          <w:numId w:val="25"/>
        </w:numPr>
        <w:spacing w:line="240" w:lineRule="auto"/>
      </w:pPr>
      <w:r w:rsidRPr="007C3DC7">
        <w:t>Education</w:t>
      </w:r>
    </w:p>
    <w:p w:rsidR="007C3DC7" w:rsidRPr="007C3DC7" w:rsidRDefault="007C3DC7" w:rsidP="007C3DC7">
      <w:pPr>
        <w:pStyle w:val="ListParagraph"/>
        <w:numPr>
          <w:ilvl w:val="0"/>
          <w:numId w:val="25"/>
        </w:numPr>
        <w:spacing w:line="240" w:lineRule="auto"/>
      </w:pPr>
      <w:r w:rsidRPr="007C3DC7">
        <w:t>Speciality / Certifications</w:t>
      </w:r>
    </w:p>
    <w:p w:rsidR="007C3DC7" w:rsidRPr="007C3DC7" w:rsidRDefault="007C3DC7" w:rsidP="007C3DC7">
      <w:pPr>
        <w:pStyle w:val="ListParagraph"/>
        <w:numPr>
          <w:ilvl w:val="0"/>
          <w:numId w:val="25"/>
        </w:numPr>
        <w:spacing w:line="240" w:lineRule="auto"/>
      </w:pPr>
      <w:r w:rsidRPr="007C3DC7">
        <w:t>Work history</w:t>
      </w:r>
    </w:p>
    <w:p w:rsidR="007C3DC7" w:rsidRPr="007C3DC7" w:rsidRDefault="007C3DC7" w:rsidP="007C3DC7">
      <w:pPr>
        <w:pStyle w:val="ListParagraph"/>
        <w:numPr>
          <w:ilvl w:val="0"/>
          <w:numId w:val="25"/>
        </w:numPr>
        <w:spacing w:line="240" w:lineRule="auto"/>
      </w:pPr>
      <w:r w:rsidRPr="007C3DC7">
        <w:t>Disclosures</w:t>
      </w:r>
    </w:p>
    <w:p w:rsidR="007C3DC7" w:rsidRPr="007C3DC7" w:rsidRDefault="007C3DC7" w:rsidP="007C3DC7">
      <w:pPr>
        <w:pStyle w:val="ListParagraph"/>
        <w:numPr>
          <w:ilvl w:val="0"/>
          <w:numId w:val="25"/>
        </w:numPr>
        <w:spacing w:line="240" w:lineRule="auto"/>
      </w:pPr>
      <w:r w:rsidRPr="007C3DC7">
        <w:t>Practice location</w:t>
      </w:r>
    </w:p>
    <w:p w:rsidR="007C3DC7" w:rsidRDefault="007C3DC7" w:rsidP="007C3DC7">
      <w:pPr>
        <w:pStyle w:val="ListParagraph"/>
        <w:numPr>
          <w:ilvl w:val="0"/>
          <w:numId w:val="25"/>
        </w:numPr>
        <w:spacing w:line="240" w:lineRule="auto"/>
      </w:pPr>
      <w:r w:rsidRPr="007C3DC7">
        <w:t>Hospital affiliation</w:t>
      </w:r>
    </w:p>
    <w:p w:rsidR="007C3DC7" w:rsidRPr="00F91C6B" w:rsidRDefault="007C3DC7" w:rsidP="007C3DC7">
      <w:pPr>
        <w:spacing w:line="240" w:lineRule="auto"/>
        <w:rPr>
          <w:b/>
          <w:bCs/>
          <w:color w:val="4472C4" w:themeColor="accent5"/>
          <w:sz w:val="24"/>
          <w:szCs w:val="24"/>
        </w:rPr>
      </w:pPr>
      <w:r w:rsidRPr="00F91C6B">
        <w:rPr>
          <w:b/>
          <w:bCs/>
          <w:color w:val="4472C4" w:themeColor="accent5"/>
          <w:sz w:val="24"/>
          <w:szCs w:val="24"/>
        </w:rPr>
        <w:t xml:space="preserve">Contact </w:t>
      </w:r>
      <w:proofErr w:type="gramStart"/>
      <w:r w:rsidRPr="00F91C6B">
        <w:rPr>
          <w:b/>
          <w:bCs/>
          <w:color w:val="4472C4" w:themeColor="accent5"/>
          <w:sz w:val="24"/>
          <w:szCs w:val="24"/>
        </w:rPr>
        <w:t>Info :</w:t>
      </w:r>
      <w:proofErr w:type="gramEnd"/>
    </w:p>
    <w:p w:rsidR="00F91C6B" w:rsidRPr="00F91C6B" w:rsidRDefault="00F91C6B" w:rsidP="00892E56">
      <w:pPr>
        <w:spacing w:line="240" w:lineRule="auto"/>
        <w:rPr>
          <w:rFonts w:cs="Arial"/>
          <w:color w:val="222222"/>
          <w:shd w:val="clear" w:color="auto" w:fill="FFFFFF"/>
        </w:rPr>
      </w:pPr>
      <w:r w:rsidRPr="00F91C6B">
        <w:rPr>
          <w:rFonts w:cs="Arial"/>
          <w:color w:val="222222"/>
          <w:shd w:val="clear" w:color="auto" w:fill="FFFFFF"/>
        </w:rPr>
        <w:t>Contact the CAQH ProView Support Desk. CAQH ProView Support Desk</w:t>
      </w:r>
      <w:proofErr w:type="gramStart"/>
      <w:r w:rsidRPr="00F91C6B">
        <w:rPr>
          <w:rFonts w:cs="Arial"/>
          <w:color w:val="222222"/>
          <w:shd w:val="clear" w:color="auto" w:fill="FFFFFF"/>
        </w:rPr>
        <w:t>:</w:t>
      </w:r>
      <w:proofErr w:type="gramEnd"/>
      <w:r w:rsidRPr="00F91C6B">
        <w:rPr>
          <w:rFonts w:cs="Arial"/>
          <w:color w:val="222222"/>
        </w:rPr>
        <w:br/>
      </w:r>
      <w:r w:rsidRPr="00F91C6B">
        <w:rPr>
          <w:rFonts w:cs="Arial"/>
          <w:color w:val="222222"/>
          <w:shd w:val="clear" w:color="auto" w:fill="FFFFFF"/>
        </w:rPr>
        <w:t>E-mail: providerhelp@ProView.CAQH.org.</w:t>
      </w:r>
      <w:r w:rsidRPr="00F91C6B">
        <w:rPr>
          <w:rFonts w:cs="Arial"/>
          <w:color w:val="222222"/>
        </w:rPr>
        <w:br/>
      </w:r>
      <w:r w:rsidRPr="00F91C6B">
        <w:rPr>
          <w:rFonts w:cs="Arial"/>
          <w:color w:val="222222"/>
          <w:shd w:val="clear" w:color="auto" w:fill="FFFFFF"/>
        </w:rPr>
        <w:t>Phone:</w:t>
      </w:r>
      <w:r w:rsidRPr="00F91C6B">
        <w:rPr>
          <w:rStyle w:val="apple-converted-space"/>
          <w:rFonts w:cs="Arial"/>
          <w:color w:val="222222"/>
          <w:shd w:val="clear" w:color="auto" w:fill="FFFFFF"/>
        </w:rPr>
        <w:t> </w:t>
      </w:r>
      <w:r w:rsidRPr="00F91C6B">
        <w:rPr>
          <w:rFonts w:cs="Arial"/>
          <w:b/>
          <w:bCs/>
          <w:color w:val="222222"/>
          <w:shd w:val="clear" w:color="auto" w:fill="FFFFFF"/>
        </w:rPr>
        <w:t>(888) 599-1771</w:t>
      </w:r>
      <w:r w:rsidRPr="00F91C6B">
        <w:rPr>
          <w:rFonts w:cs="Arial"/>
          <w:color w:val="222222"/>
          <w:shd w:val="clear" w:color="auto" w:fill="FFFFFF"/>
        </w:rPr>
        <w:t>.</w:t>
      </w:r>
      <w:bookmarkStart w:id="0" w:name="_GoBack"/>
      <w:bookmarkEnd w:id="0"/>
    </w:p>
    <w:p w:rsidR="00892E56" w:rsidRPr="00F91C6B" w:rsidRDefault="00892E56" w:rsidP="00892E56">
      <w:pPr>
        <w:spacing w:line="240" w:lineRule="auto"/>
        <w:rPr>
          <w:b/>
          <w:bCs/>
          <w:color w:val="4472C4" w:themeColor="accent5"/>
          <w:sz w:val="24"/>
          <w:szCs w:val="24"/>
        </w:rPr>
      </w:pPr>
      <w:r w:rsidRPr="00F91C6B">
        <w:rPr>
          <w:b/>
          <w:bCs/>
          <w:color w:val="4472C4" w:themeColor="accent5"/>
          <w:sz w:val="24"/>
          <w:szCs w:val="24"/>
        </w:rPr>
        <w:t>FAQ’s:</w:t>
      </w:r>
    </w:p>
    <w:p w:rsidR="00892E56" w:rsidRPr="00892E56" w:rsidRDefault="00892E56" w:rsidP="00892E56">
      <w:pPr>
        <w:spacing w:line="240" w:lineRule="auto"/>
        <w:rPr>
          <w:color w:val="4472C4" w:themeColor="accent5"/>
        </w:rPr>
      </w:pPr>
      <w:r w:rsidRPr="00892E56">
        <w:rPr>
          <w:color w:val="4472C4" w:themeColor="accent5"/>
        </w:rPr>
        <w:t>https://www.bcbsga.com/provider/noapplication/plansbenefits/credentialing/notertiary/pw_a102052.pdf</w:t>
      </w:r>
    </w:p>
    <w:sectPr w:rsidR="00892E56" w:rsidRPr="00892E56" w:rsidSect="00D914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Segoe UI"/>
    <w:panose1 w:val="020B0502040204020203"/>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7F66"/>
    <w:multiLevelType w:val="hybridMultilevel"/>
    <w:tmpl w:val="5B3C7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F6385"/>
    <w:multiLevelType w:val="hybridMultilevel"/>
    <w:tmpl w:val="8064E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97D65"/>
    <w:multiLevelType w:val="hybridMultilevel"/>
    <w:tmpl w:val="17B0FB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141419"/>
    <w:multiLevelType w:val="hybridMultilevel"/>
    <w:tmpl w:val="7F02D8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3E22C9"/>
    <w:multiLevelType w:val="hybridMultilevel"/>
    <w:tmpl w:val="73A64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4B64EF"/>
    <w:multiLevelType w:val="hybridMultilevel"/>
    <w:tmpl w:val="D9D68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E22960"/>
    <w:multiLevelType w:val="hybridMultilevel"/>
    <w:tmpl w:val="F6A4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470585"/>
    <w:multiLevelType w:val="hybridMultilevel"/>
    <w:tmpl w:val="ECF4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FD0980"/>
    <w:multiLevelType w:val="hybridMultilevel"/>
    <w:tmpl w:val="27FE8B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434002"/>
    <w:multiLevelType w:val="hybridMultilevel"/>
    <w:tmpl w:val="80E2B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7379A3"/>
    <w:multiLevelType w:val="hybridMultilevel"/>
    <w:tmpl w:val="55B20DB8"/>
    <w:lvl w:ilvl="0" w:tplc="99BC5B96">
      <w:start w:val="1"/>
      <w:numFmt w:val="bullet"/>
      <w:lvlText w:val=""/>
      <w:lvlJc w:val="left"/>
      <w:pPr>
        <w:tabs>
          <w:tab w:val="num" w:pos="720"/>
        </w:tabs>
        <w:ind w:left="720" w:hanging="360"/>
      </w:pPr>
      <w:rPr>
        <w:rFonts w:ascii="Wingdings" w:hAnsi="Wingdings" w:hint="default"/>
      </w:rPr>
    </w:lvl>
    <w:lvl w:ilvl="1" w:tplc="FF2252D8" w:tentative="1">
      <w:start w:val="1"/>
      <w:numFmt w:val="bullet"/>
      <w:lvlText w:val=""/>
      <w:lvlJc w:val="left"/>
      <w:pPr>
        <w:tabs>
          <w:tab w:val="num" w:pos="1440"/>
        </w:tabs>
        <w:ind w:left="1440" w:hanging="360"/>
      </w:pPr>
      <w:rPr>
        <w:rFonts w:ascii="Wingdings" w:hAnsi="Wingdings" w:hint="default"/>
      </w:rPr>
    </w:lvl>
    <w:lvl w:ilvl="2" w:tplc="9A2E5AA4" w:tentative="1">
      <w:start w:val="1"/>
      <w:numFmt w:val="bullet"/>
      <w:lvlText w:val=""/>
      <w:lvlJc w:val="left"/>
      <w:pPr>
        <w:tabs>
          <w:tab w:val="num" w:pos="2160"/>
        </w:tabs>
        <w:ind w:left="2160" w:hanging="360"/>
      </w:pPr>
      <w:rPr>
        <w:rFonts w:ascii="Wingdings" w:hAnsi="Wingdings" w:hint="default"/>
      </w:rPr>
    </w:lvl>
    <w:lvl w:ilvl="3" w:tplc="C9C07CD6" w:tentative="1">
      <w:start w:val="1"/>
      <w:numFmt w:val="bullet"/>
      <w:lvlText w:val=""/>
      <w:lvlJc w:val="left"/>
      <w:pPr>
        <w:tabs>
          <w:tab w:val="num" w:pos="2880"/>
        </w:tabs>
        <w:ind w:left="2880" w:hanging="360"/>
      </w:pPr>
      <w:rPr>
        <w:rFonts w:ascii="Wingdings" w:hAnsi="Wingdings" w:hint="default"/>
      </w:rPr>
    </w:lvl>
    <w:lvl w:ilvl="4" w:tplc="B0180154" w:tentative="1">
      <w:start w:val="1"/>
      <w:numFmt w:val="bullet"/>
      <w:lvlText w:val=""/>
      <w:lvlJc w:val="left"/>
      <w:pPr>
        <w:tabs>
          <w:tab w:val="num" w:pos="3600"/>
        </w:tabs>
        <w:ind w:left="3600" w:hanging="360"/>
      </w:pPr>
      <w:rPr>
        <w:rFonts w:ascii="Wingdings" w:hAnsi="Wingdings" w:hint="default"/>
      </w:rPr>
    </w:lvl>
    <w:lvl w:ilvl="5" w:tplc="54E2DAAA" w:tentative="1">
      <w:start w:val="1"/>
      <w:numFmt w:val="bullet"/>
      <w:lvlText w:val=""/>
      <w:lvlJc w:val="left"/>
      <w:pPr>
        <w:tabs>
          <w:tab w:val="num" w:pos="4320"/>
        </w:tabs>
        <w:ind w:left="4320" w:hanging="360"/>
      </w:pPr>
      <w:rPr>
        <w:rFonts w:ascii="Wingdings" w:hAnsi="Wingdings" w:hint="default"/>
      </w:rPr>
    </w:lvl>
    <w:lvl w:ilvl="6" w:tplc="4606C2D8" w:tentative="1">
      <w:start w:val="1"/>
      <w:numFmt w:val="bullet"/>
      <w:lvlText w:val=""/>
      <w:lvlJc w:val="left"/>
      <w:pPr>
        <w:tabs>
          <w:tab w:val="num" w:pos="5040"/>
        </w:tabs>
        <w:ind w:left="5040" w:hanging="360"/>
      </w:pPr>
      <w:rPr>
        <w:rFonts w:ascii="Wingdings" w:hAnsi="Wingdings" w:hint="default"/>
      </w:rPr>
    </w:lvl>
    <w:lvl w:ilvl="7" w:tplc="68200E2C" w:tentative="1">
      <w:start w:val="1"/>
      <w:numFmt w:val="bullet"/>
      <w:lvlText w:val=""/>
      <w:lvlJc w:val="left"/>
      <w:pPr>
        <w:tabs>
          <w:tab w:val="num" w:pos="5760"/>
        </w:tabs>
        <w:ind w:left="5760" w:hanging="360"/>
      </w:pPr>
      <w:rPr>
        <w:rFonts w:ascii="Wingdings" w:hAnsi="Wingdings" w:hint="default"/>
      </w:rPr>
    </w:lvl>
    <w:lvl w:ilvl="8" w:tplc="ECD07B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912B6A"/>
    <w:multiLevelType w:val="hybridMultilevel"/>
    <w:tmpl w:val="D2405F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A085D91"/>
    <w:multiLevelType w:val="hybridMultilevel"/>
    <w:tmpl w:val="84543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7B1818"/>
    <w:multiLevelType w:val="hybridMultilevel"/>
    <w:tmpl w:val="2F18F3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6A7023B"/>
    <w:multiLevelType w:val="hybridMultilevel"/>
    <w:tmpl w:val="79620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92C4702"/>
    <w:multiLevelType w:val="hybridMultilevel"/>
    <w:tmpl w:val="784C9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A82684"/>
    <w:multiLevelType w:val="hybridMultilevel"/>
    <w:tmpl w:val="B19AF6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C8C24AB"/>
    <w:multiLevelType w:val="multilevel"/>
    <w:tmpl w:val="F48AF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C14F4"/>
    <w:multiLevelType w:val="hybridMultilevel"/>
    <w:tmpl w:val="ED86A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9552F8E"/>
    <w:multiLevelType w:val="hybridMultilevel"/>
    <w:tmpl w:val="2B68B93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0" w15:restartNumberingAfterBreak="0">
    <w:nsid w:val="6C485623"/>
    <w:multiLevelType w:val="hybridMultilevel"/>
    <w:tmpl w:val="5B72A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57451"/>
    <w:multiLevelType w:val="hybridMultilevel"/>
    <w:tmpl w:val="38D46D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2C77C86"/>
    <w:multiLevelType w:val="hybridMultilevel"/>
    <w:tmpl w:val="0A8AB8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6846571"/>
    <w:multiLevelType w:val="hybridMultilevel"/>
    <w:tmpl w:val="F168B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DC4029"/>
    <w:multiLevelType w:val="multilevel"/>
    <w:tmpl w:val="4C6C5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0"/>
  </w:num>
  <w:num w:numId="4">
    <w:abstractNumId w:val="2"/>
  </w:num>
  <w:num w:numId="5">
    <w:abstractNumId w:val="21"/>
  </w:num>
  <w:num w:numId="6">
    <w:abstractNumId w:val="22"/>
  </w:num>
  <w:num w:numId="7">
    <w:abstractNumId w:val="16"/>
  </w:num>
  <w:num w:numId="8">
    <w:abstractNumId w:val="4"/>
  </w:num>
  <w:num w:numId="9">
    <w:abstractNumId w:val="15"/>
  </w:num>
  <w:num w:numId="10">
    <w:abstractNumId w:val="8"/>
  </w:num>
  <w:num w:numId="11">
    <w:abstractNumId w:val="0"/>
  </w:num>
  <w:num w:numId="12">
    <w:abstractNumId w:val="9"/>
  </w:num>
  <w:num w:numId="13">
    <w:abstractNumId w:val="6"/>
  </w:num>
  <w:num w:numId="14">
    <w:abstractNumId w:val="12"/>
  </w:num>
  <w:num w:numId="15">
    <w:abstractNumId w:val="13"/>
  </w:num>
  <w:num w:numId="16">
    <w:abstractNumId w:val="1"/>
  </w:num>
  <w:num w:numId="17">
    <w:abstractNumId w:val="24"/>
  </w:num>
  <w:num w:numId="18">
    <w:abstractNumId w:val="18"/>
  </w:num>
  <w:num w:numId="19">
    <w:abstractNumId w:val="14"/>
  </w:num>
  <w:num w:numId="20">
    <w:abstractNumId w:val="3"/>
  </w:num>
  <w:num w:numId="21">
    <w:abstractNumId w:val="11"/>
  </w:num>
  <w:num w:numId="22">
    <w:abstractNumId w:val="17"/>
  </w:num>
  <w:num w:numId="23">
    <w:abstractNumId w:val="5"/>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47C"/>
    <w:rsid w:val="0010564C"/>
    <w:rsid w:val="00281A2E"/>
    <w:rsid w:val="00441A49"/>
    <w:rsid w:val="004926DD"/>
    <w:rsid w:val="00522D97"/>
    <w:rsid w:val="00561D5B"/>
    <w:rsid w:val="006B0299"/>
    <w:rsid w:val="006C6E49"/>
    <w:rsid w:val="007C3DC7"/>
    <w:rsid w:val="008265A2"/>
    <w:rsid w:val="00857370"/>
    <w:rsid w:val="00892E56"/>
    <w:rsid w:val="008B157F"/>
    <w:rsid w:val="008F1A47"/>
    <w:rsid w:val="00944044"/>
    <w:rsid w:val="00B33947"/>
    <w:rsid w:val="00B80B9E"/>
    <w:rsid w:val="00BA4450"/>
    <w:rsid w:val="00BD77D8"/>
    <w:rsid w:val="00C12363"/>
    <w:rsid w:val="00C44963"/>
    <w:rsid w:val="00D13A28"/>
    <w:rsid w:val="00D25C6F"/>
    <w:rsid w:val="00D66796"/>
    <w:rsid w:val="00D9147C"/>
    <w:rsid w:val="00E23B5D"/>
    <w:rsid w:val="00F12AB5"/>
    <w:rsid w:val="00F91C6B"/>
    <w:rsid w:val="00FB3F8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F094C-46EE-4CFE-8C57-E6FC84C4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4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47C"/>
    <w:rPr>
      <w:rFonts w:ascii="Times New Roman" w:eastAsia="Times New Roman" w:hAnsi="Times New Roman" w:cs="Times New Roman"/>
      <w:b/>
      <w:bCs/>
      <w:kern w:val="36"/>
      <w:sz w:val="48"/>
      <w:szCs w:val="48"/>
      <w:lang w:eastAsia="en-IN" w:bidi="te-IN"/>
    </w:rPr>
  </w:style>
  <w:style w:type="paragraph" w:styleId="ListParagraph">
    <w:name w:val="List Paragraph"/>
    <w:basedOn w:val="Normal"/>
    <w:uiPriority w:val="34"/>
    <w:qFormat/>
    <w:rsid w:val="00D9147C"/>
    <w:pPr>
      <w:ind w:left="720"/>
      <w:contextualSpacing/>
    </w:pPr>
  </w:style>
  <w:style w:type="character" w:customStyle="1" w:styleId="apple-converted-space">
    <w:name w:val="apple-converted-space"/>
    <w:basedOn w:val="DefaultParagraphFont"/>
    <w:rsid w:val="006B0299"/>
  </w:style>
  <w:style w:type="paragraph" w:styleId="NormalWeb">
    <w:name w:val="Normal (Web)"/>
    <w:basedOn w:val="Normal"/>
    <w:uiPriority w:val="99"/>
    <w:semiHidden/>
    <w:unhideWhenUsed/>
    <w:rsid w:val="00522D97"/>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unhideWhenUsed/>
    <w:rsid w:val="007C3DC7"/>
    <w:rPr>
      <w:color w:val="0563C1" w:themeColor="hyperlink"/>
      <w:u w:val="single"/>
    </w:rPr>
  </w:style>
  <w:style w:type="character" w:styleId="FollowedHyperlink">
    <w:name w:val="FollowedHyperlink"/>
    <w:basedOn w:val="DefaultParagraphFont"/>
    <w:uiPriority w:val="99"/>
    <w:semiHidden/>
    <w:unhideWhenUsed/>
    <w:rsid w:val="007C3D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58393">
      <w:bodyDiv w:val="1"/>
      <w:marLeft w:val="0"/>
      <w:marRight w:val="0"/>
      <w:marTop w:val="0"/>
      <w:marBottom w:val="0"/>
      <w:divBdr>
        <w:top w:val="none" w:sz="0" w:space="0" w:color="auto"/>
        <w:left w:val="none" w:sz="0" w:space="0" w:color="auto"/>
        <w:bottom w:val="none" w:sz="0" w:space="0" w:color="auto"/>
        <w:right w:val="none" w:sz="0" w:space="0" w:color="auto"/>
      </w:divBdr>
    </w:div>
    <w:div w:id="720175933">
      <w:bodyDiv w:val="1"/>
      <w:marLeft w:val="0"/>
      <w:marRight w:val="0"/>
      <w:marTop w:val="0"/>
      <w:marBottom w:val="0"/>
      <w:divBdr>
        <w:top w:val="none" w:sz="0" w:space="0" w:color="auto"/>
        <w:left w:val="none" w:sz="0" w:space="0" w:color="auto"/>
        <w:bottom w:val="none" w:sz="0" w:space="0" w:color="auto"/>
        <w:right w:val="none" w:sz="0" w:space="0" w:color="auto"/>
      </w:divBdr>
      <w:divsChild>
        <w:div w:id="543365939">
          <w:marLeft w:val="547"/>
          <w:marRight w:val="0"/>
          <w:marTop w:val="200"/>
          <w:marBottom w:val="0"/>
          <w:divBdr>
            <w:top w:val="none" w:sz="0" w:space="0" w:color="auto"/>
            <w:left w:val="none" w:sz="0" w:space="0" w:color="auto"/>
            <w:bottom w:val="none" w:sz="0" w:space="0" w:color="auto"/>
            <w:right w:val="none" w:sz="0" w:space="0" w:color="auto"/>
          </w:divBdr>
        </w:div>
        <w:div w:id="556011725">
          <w:marLeft w:val="547"/>
          <w:marRight w:val="0"/>
          <w:marTop w:val="200"/>
          <w:marBottom w:val="0"/>
          <w:divBdr>
            <w:top w:val="none" w:sz="0" w:space="0" w:color="auto"/>
            <w:left w:val="none" w:sz="0" w:space="0" w:color="auto"/>
            <w:bottom w:val="none" w:sz="0" w:space="0" w:color="auto"/>
            <w:right w:val="none" w:sz="0" w:space="0" w:color="auto"/>
          </w:divBdr>
        </w:div>
        <w:div w:id="370031157">
          <w:marLeft w:val="547"/>
          <w:marRight w:val="0"/>
          <w:marTop w:val="200"/>
          <w:marBottom w:val="0"/>
          <w:divBdr>
            <w:top w:val="none" w:sz="0" w:space="0" w:color="auto"/>
            <w:left w:val="none" w:sz="0" w:space="0" w:color="auto"/>
            <w:bottom w:val="none" w:sz="0" w:space="0" w:color="auto"/>
            <w:right w:val="none" w:sz="0" w:space="0" w:color="auto"/>
          </w:divBdr>
        </w:div>
      </w:divsChild>
    </w:div>
    <w:div w:id="862400561">
      <w:bodyDiv w:val="1"/>
      <w:marLeft w:val="0"/>
      <w:marRight w:val="0"/>
      <w:marTop w:val="0"/>
      <w:marBottom w:val="0"/>
      <w:divBdr>
        <w:top w:val="none" w:sz="0" w:space="0" w:color="auto"/>
        <w:left w:val="none" w:sz="0" w:space="0" w:color="auto"/>
        <w:bottom w:val="none" w:sz="0" w:space="0" w:color="auto"/>
        <w:right w:val="none" w:sz="0" w:space="0" w:color="auto"/>
      </w:divBdr>
    </w:div>
    <w:div w:id="1213885695">
      <w:bodyDiv w:val="1"/>
      <w:marLeft w:val="0"/>
      <w:marRight w:val="0"/>
      <w:marTop w:val="0"/>
      <w:marBottom w:val="0"/>
      <w:divBdr>
        <w:top w:val="none" w:sz="0" w:space="0" w:color="auto"/>
        <w:left w:val="none" w:sz="0" w:space="0" w:color="auto"/>
        <w:bottom w:val="none" w:sz="0" w:space="0" w:color="auto"/>
        <w:right w:val="none" w:sz="0" w:space="0" w:color="auto"/>
      </w:divBdr>
    </w:div>
    <w:div w:id="1269049016">
      <w:bodyDiv w:val="1"/>
      <w:marLeft w:val="0"/>
      <w:marRight w:val="0"/>
      <w:marTop w:val="0"/>
      <w:marBottom w:val="0"/>
      <w:divBdr>
        <w:top w:val="none" w:sz="0" w:space="0" w:color="auto"/>
        <w:left w:val="none" w:sz="0" w:space="0" w:color="auto"/>
        <w:bottom w:val="none" w:sz="0" w:space="0" w:color="auto"/>
        <w:right w:val="none" w:sz="0" w:space="0" w:color="auto"/>
      </w:divBdr>
    </w:div>
    <w:div w:id="1389494604">
      <w:bodyDiv w:val="1"/>
      <w:marLeft w:val="0"/>
      <w:marRight w:val="0"/>
      <w:marTop w:val="0"/>
      <w:marBottom w:val="0"/>
      <w:divBdr>
        <w:top w:val="none" w:sz="0" w:space="0" w:color="auto"/>
        <w:left w:val="none" w:sz="0" w:space="0" w:color="auto"/>
        <w:bottom w:val="none" w:sz="0" w:space="0" w:color="auto"/>
        <w:right w:val="none" w:sz="0" w:space="0" w:color="auto"/>
      </w:divBdr>
    </w:div>
    <w:div w:id="1572037525">
      <w:bodyDiv w:val="1"/>
      <w:marLeft w:val="0"/>
      <w:marRight w:val="0"/>
      <w:marTop w:val="0"/>
      <w:marBottom w:val="0"/>
      <w:divBdr>
        <w:top w:val="none" w:sz="0" w:space="0" w:color="auto"/>
        <w:left w:val="none" w:sz="0" w:space="0" w:color="auto"/>
        <w:bottom w:val="none" w:sz="0" w:space="0" w:color="auto"/>
        <w:right w:val="none" w:sz="0" w:space="0" w:color="auto"/>
      </w:divBdr>
      <w:divsChild>
        <w:div w:id="542983989">
          <w:marLeft w:val="1080"/>
          <w:marRight w:val="0"/>
          <w:marTop w:val="100"/>
          <w:marBottom w:val="0"/>
          <w:divBdr>
            <w:top w:val="none" w:sz="0" w:space="0" w:color="auto"/>
            <w:left w:val="none" w:sz="0" w:space="0" w:color="auto"/>
            <w:bottom w:val="none" w:sz="0" w:space="0" w:color="auto"/>
            <w:right w:val="none" w:sz="0" w:space="0" w:color="auto"/>
          </w:divBdr>
        </w:div>
        <w:div w:id="2028750757">
          <w:marLeft w:val="1080"/>
          <w:marRight w:val="0"/>
          <w:marTop w:val="100"/>
          <w:marBottom w:val="0"/>
          <w:divBdr>
            <w:top w:val="none" w:sz="0" w:space="0" w:color="auto"/>
            <w:left w:val="none" w:sz="0" w:space="0" w:color="auto"/>
            <w:bottom w:val="none" w:sz="0" w:space="0" w:color="auto"/>
            <w:right w:val="none" w:sz="0" w:space="0" w:color="auto"/>
          </w:divBdr>
        </w:div>
        <w:div w:id="1505243222">
          <w:marLeft w:val="1080"/>
          <w:marRight w:val="0"/>
          <w:marTop w:val="100"/>
          <w:marBottom w:val="0"/>
          <w:divBdr>
            <w:top w:val="none" w:sz="0" w:space="0" w:color="auto"/>
            <w:left w:val="none" w:sz="0" w:space="0" w:color="auto"/>
            <w:bottom w:val="none" w:sz="0" w:space="0" w:color="auto"/>
            <w:right w:val="none" w:sz="0" w:space="0" w:color="auto"/>
          </w:divBdr>
        </w:div>
        <w:div w:id="521093159">
          <w:marLeft w:val="1080"/>
          <w:marRight w:val="0"/>
          <w:marTop w:val="100"/>
          <w:marBottom w:val="0"/>
          <w:divBdr>
            <w:top w:val="none" w:sz="0" w:space="0" w:color="auto"/>
            <w:left w:val="none" w:sz="0" w:space="0" w:color="auto"/>
            <w:bottom w:val="none" w:sz="0" w:space="0" w:color="auto"/>
            <w:right w:val="none" w:sz="0" w:space="0" w:color="auto"/>
          </w:divBdr>
        </w:div>
        <w:div w:id="370106829">
          <w:marLeft w:val="1080"/>
          <w:marRight w:val="0"/>
          <w:marTop w:val="100"/>
          <w:marBottom w:val="0"/>
          <w:divBdr>
            <w:top w:val="none" w:sz="0" w:space="0" w:color="auto"/>
            <w:left w:val="none" w:sz="0" w:space="0" w:color="auto"/>
            <w:bottom w:val="none" w:sz="0" w:space="0" w:color="auto"/>
            <w:right w:val="none" w:sz="0" w:space="0" w:color="auto"/>
          </w:divBdr>
        </w:div>
        <w:div w:id="1154180053">
          <w:marLeft w:val="1080"/>
          <w:marRight w:val="0"/>
          <w:marTop w:val="100"/>
          <w:marBottom w:val="0"/>
          <w:divBdr>
            <w:top w:val="none" w:sz="0" w:space="0" w:color="auto"/>
            <w:left w:val="none" w:sz="0" w:space="0" w:color="auto"/>
            <w:bottom w:val="none" w:sz="0" w:space="0" w:color="auto"/>
            <w:right w:val="none" w:sz="0" w:space="0" w:color="auto"/>
          </w:divBdr>
        </w:div>
        <w:div w:id="2096241765">
          <w:marLeft w:val="1080"/>
          <w:marRight w:val="0"/>
          <w:marTop w:val="100"/>
          <w:marBottom w:val="0"/>
          <w:divBdr>
            <w:top w:val="none" w:sz="0" w:space="0" w:color="auto"/>
            <w:left w:val="none" w:sz="0" w:space="0" w:color="auto"/>
            <w:bottom w:val="none" w:sz="0" w:space="0" w:color="auto"/>
            <w:right w:val="none" w:sz="0" w:space="0" w:color="auto"/>
          </w:divBdr>
        </w:div>
      </w:divsChild>
    </w:div>
    <w:div w:id="1660112794">
      <w:bodyDiv w:val="1"/>
      <w:marLeft w:val="0"/>
      <w:marRight w:val="0"/>
      <w:marTop w:val="0"/>
      <w:marBottom w:val="0"/>
      <w:divBdr>
        <w:top w:val="none" w:sz="0" w:space="0" w:color="auto"/>
        <w:left w:val="none" w:sz="0" w:space="0" w:color="auto"/>
        <w:bottom w:val="none" w:sz="0" w:space="0" w:color="auto"/>
        <w:right w:val="none" w:sz="0" w:space="0" w:color="auto"/>
      </w:divBdr>
    </w:div>
    <w:div w:id="1671713480">
      <w:bodyDiv w:val="1"/>
      <w:marLeft w:val="0"/>
      <w:marRight w:val="0"/>
      <w:marTop w:val="0"/>
      <w:marBottom w:val="0"/>
      <w:divBdr>
        <w:top w:val="none" w:sz="0" w:space="0" w:color="auto"/>
        <w:left w:val="none" w:sz="0" w:space="0" w:color="auto"/>
        <w:bottom w:val="none" w:sz="0" w:space="0" w:color="auto"/>
        <w:right w:val="none" w:sz="0" w:space="0" w:color="auto"/>
      </w:divBdr>
      <w:divsChild>
        <w:div w:id="1893926281">
          <w:marLeft w:val="360"/>
          <w:marRight w:val="0"/>
          <w:marTop w:val="200"/>
          <w:marBottom w:val="0"/>
          <w:divBdr>
            <w:top w:val="none" w:sz="0" w:space="0" w:color="auto"/>
            <w:left w:val="none" w:sz="0" w:space="0" w:color="auto"/>
            <w:bottom w:val="none" w:sz="0" w:space="0" w:color="auto"/>
            <w:right w:val="none" w:sz="0" w:space="0" w:color="auto"/>
          </w:divBdr>
        </w:div>
      </w:divsChild>
    </w:div>
    <w:div w:id="1790315789">
      <w:bodyDiv w:val="1"/>
      <w:marLeft w:val="0"/>
      <w:marRight w:val="0"/>
      <w:marTop w:val="0"/>
      <w:marBottom w:val="0"/>
      <w:divBdr>
        <w:top w:val="none" w:sz="0" w:space="0" w:color="auto"/>
        <w:left w:val="none" w:sz="0" w:space="0" w:color="auto"/>
        <w:bottom w:val="none" w:sz="0" w:space="0" w:color="auto"/>
        <w:right w:val="none" w:sz="0" w:space="0" w:color="auto"/>
      </w:divBdr>
      <w:divsChild>
        <w:div w:id="489950075">
          <w:marLeft w:val="360"/>
          <w:marRight w:val="0"/>
          <w:marTop w:val="200"/>
          <w:marBottom w:val="0"/>
          <w:divBdr>
            <w:top w:val="none" w:sz="0" w:space="0" w:color="auto"/>
            <w:left w:val="none" w:sz="0" w:space="0" w:color="auto"/>
            <w:bottom w:val="none" w:sz="0" w:space="0" w:color="auto"/>
            <w:right w:val="none" w:sz="0" w:space="0" w:color="auto"/>
          </w:divBdr>
        </w:div>
      </w:divsChild>
    </w:div>
    <w:div w:id="20206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Sai</dc:creator>
  <cp:keywords/>
  <dc:description/>
  <cp:lastModifiedBy>Manoj Sai</cp:lastModifiedBy>
  <cp:revision>3</cp:revision>
  <dcterms:created xsi:type="dcterms:W3CDTF">2016-07-29T09:05:00Z</dcterms:created>
  <dcterms:modified xsi:type="dcterms:W3CDTF">2016-07-29T10:43:00Z</dcterms:modified>
</cp:coreProperties>
</file>