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5F" w:rsidRPr="00DF295F" w:rsidRDefault="00DF295F" w:rsidP="00DF295F">
      <w:pPr>
        <w:spacing w:after="20"/>
        <w:jc w:val="center"/>
        <w:rPr>
          <w:rFonts w:eastAsiaTheme="minorEastAsia"/>
          <w:b/>
          <w:bCs/>
          <w:color w:val="2E74B5" w:themeColor="accent1" w:themeShade="BF"/>
          <w:sz w:val="32"/>
          <w:szCs w:val="32"/>
        </w:rPr>
      </w:pPr>
      <w:r w:rsidRPr="00DF295F">
        <w:rPr>
          <w:rFonts w:eastAsiaTheme="minorEastAsia"/>
          <w:b/>
          <w:bCs/>
          <w:color w:val="2E74B5" w:themeColor="accent1" w:themeShade="BF"/>
          <w:sz w:val="32"/>
          <w:szCs w:val="32"/>
        </w:rPr>
        <w:t>National Practitioner Data Bank</w:t>
      </w:r>
      <w:r>
        <w:rPr>
          <w:rFonts w:eastAsiaTheme="minorEastAsia"/>
          <w:b/>
          <w:bCs/>
          <w:color w:val="2E74B5" w:themeColor="accent1" w:themeShade="BF"/>
          <w:sz w:val="32"/>
          <w:szCs w:val="32"/>
        </w:rPr>
        <w:t>(NPDB)</w:t>
      </w:r>
    </w:p>
    <w:p w:rsidR="00DF295F" w:rsidRDefault="00DF295F" w:rsidP="00DF295F">
      <w:pPr>
        <w:spacing w:after="20" w:line="240" w:lineRule="auto"/>
        <w:jc w:val="center"/>
      </w:pPr>
    </w:p>
    <w:p w:rsidR="00DF295F" w:rsidRDefault="00DF295F" w:rsidP="00DF295F">
      <w:r w:rsidRPr="58744E0C">
        <w:rPr>
          <w:rFonts w:eastAsiaTheme="minorEastAsia"/>
          <w:b/>
          <w:bCs/>
        </w:rPr>
        <w:t>Brief Description:</w:t>
      </w:r>
      <w:r>
        <w:rPr>
          <w:rFonts w:eastAsiaTheme="minorEastAsia"/>
          <w:b/>
          <w:bCs/>
        </w:rPr>
        <w:t xml:space="preserve"> </w:t>
      </w:r>
      <w:r w:rsidRPr="58744E0C">
        <w:rPr>
          <w:rFonts w:eastAsiaTheme="minorEastAsia"/>
          <w:b/>
          <w:bCs/>
        </w:rPr>
        <w:t>-</w:t>
      </w:r>
    </w:p>
    <w:p w:rsidR="00DF295F" w:rsidRDefault="00DF295F" w:rsidP="00DF295F">
      <w:pPr>
        <w:numPr>
          <w:ilvl w:val="0"/>
          <w:numId w:val="1"/>
        </w:numPr>
        <w:rPr>
          <w:rFonts w:eastAsiaTheme="minorEastAsia"/>
        </w:rPr>
      </w:pPr>
      <w:r w:rsidRPr="00DF295F">
        <w:rPr>
          <w:rFonts w:eastAsiaTheme="minorEastAsia"/>
        </w:rPr>
        <w:t>The National Practitioner Data Bank is a U</w:t>
      </w:r>
      <w:r>
        <w:rPr>
          <w:rFonts w:eastAsiaTheme="minorEastAsia"/>
        </w:rPr>
        <w:t>nited States Government program</w:t>
      </w:r>
      <w:r w:rsidR="00D34EB7">
        <w:rPr>
          <w:rFonts w:eastAsiaTheme="minorEastAsia"/>
        </w:rPr>
        <w:t xml:space="preserve"> </w:t>
      </w:r>
      <w:r w:rsidR="00D34EB7" w:rsidRPr="00D34EB7">
        <w:rPr>
          <w:rFonts w:eastAsiaTheme="minorEastAsia"/>
        </w:rPr>
        <w:t>was established under Title IV of Public Law 99-660, the</w:t>
      </w:r>
      <w:r w:rsidR="00D34EB7" w:rsidRPr="00D34EB7">
        <w:rPr>
          <w:rFonts w:eastAsiaTheme="minorEastAsia"/>
        </w:rPr>
        <w:t> Health Care Quality Improvement Act of 1986</w:t>
      </w:r>
      <w:r w:rsidR="00D34EB7" w:rsidRPr="00D34EB7">
        <w:rPr>
          <w:rFonts w:eastAsiaTheme="minorEastAsia"/>
        </w:rPr>
        <w:t>, and is expanded by Section 1921, as amended by section 5(b) of the</w:t>
      </w:r>
      <w:r w:rsidR="00D34EB7">
        <w:rPr>
          <w:rFonts w:eastAsiaTheme="minorEastAsia"/>
        </w:rPr>
        <w:t xml:space="preserve"> </w:t>
      </w:r>
      <w:r w:rsidR="00D34EB7" w:rsidRPr="00D34EB7">
        <w:rPr>
          <w:rFonts w:eastAsiaTheme="minorEastAsia"/>
        </w:rPr>
        <w:t>Medicare and Medicaid Patient and Program Protection Act of 1987</w:t>
      </w:r>
      <w:r>
        <w:rPr>
          <w:rFonts w:eastAsiaTheme="minorEastAsia"/>
        </w:rPr>
        <w:t>.</w:t>
      </w:r>
    </w:p>
    <w:p w:rsidR="00DF295F" w:rsidRDefault="00DF295F" w:rsidP="00DF295F">
      <w:pPr>
        <w:numPr>
          <w:ilvl w:val="0"/>
          <w:numId w:val="1"/>
        </w:numPr>
        <w:rPr>
          <w:rFonts w:eastAsiaTheme="minorEastAsia"/>
        </w:rPr>
      </w:pPr>
      <w:r>
        <w:rPr>
          <w:rFonts w:eastAsiaTheme="minorEastAsia"/>
        </w:rPr>
        <w:t>It</w:t>
      </w:r>
      <w:r w:rsidRPr="00DF295F">
        <w:rPr>
          <w:rFonts w:eastAsiaTheme="minorEastAsia"/>
        </w:rPr>
        <w:t xml:space="preserve"> collects and discloses, only to authorized users, negative information on health care practitioners, including malpractice awards, loss of license or exclusion from participation in Medicare or Medicaid.</w:t>
      </w:r>
      <w:r>
        <w:rPr>
          <w:rFonts w:eastAsiaTheme="minorEastAsia"/>
        </w:rPr>
        <w:t xml:space="preserve"> </w:t>
      </w:r>
    </w:p>
    <w:p w:rsidR="00DF295F" w:rsidRDefault="00DF295F" w:rsidP="00990FE3">
      <w:pPr>
        <w:numPr>
          <w:ilvl w:val="0"/>
          <w:numId w:val="1"/>
        </w:numPr>
        <w:rPr>
          <w:rFonts w:eastAsiaTheme="minorEastAsia"/>
        </w:rPr>
      </w:pPr>
      <w:r w:rsidRPr="00DF295F">
        <w:rPr>
          <w:rFonts w:eastAsiaTheme="minorEastAsia"/>
        </w:rPr>
        <w:t>The Data Bank was created by Congress with the primary goals of improving health care quality, protecting the public and reducing health care fraud and abuse.</w:t>
      </w:r>
    </w:p>
    <w:p w:rsidR="00000000" w:rsidRPr="00B3568B" w:rsidRDefault="00B60666" w:rsidP="00B3568B">
      <w:pPr>
        <w:numPr>
          <w:ilvl w:val="0"/>
          <w:numId w:val="1"/>
        </w:numPr>
        <w:rPr>
          <w:rFonts w:eastAsiaTheme="minorEastAsia"/>
        </w:rPr>
      </w:pPr>
      <w:r w:rsidRPr="00B3568B">
        <w:rPr>
          <w:rFonts w:eastAsiaTheme="minorEastAsia"/>
        </w:rPr>
        <w:t xml:space="preserve">Congress passed a Section 1128E, </w:t>
      </w:r>
      <w:r w:rsidRPr="00B3568B">
        <w:rPr>
          <w:rFonts w:eastAsiaTheme="minorEastAsia"/>
        </w:rPr>
        <w:t>HIPDB</w:t>
      </w:r>
      <w:r w:rsidRPr="00B3568B">
        <w:rPr>
          <w:rFonts w:eastAsiaTheme="minorEastAsia"/>
        </w:rPr>
        <w:t xml:space="preserve"> (Healthcare Integrity and Protection Data Bank) was established</w:t>
      </w:r>
    </w:p>
    <w:p w:rsidR="00000000" w:rsidRPr="00B3568B" w:rsidRDefault="00B60666" w:rsidP="00B3568B">
      <w:pPr>
        <w:numPr>
          <w:ilvl w:val="0"/>
          <w:numId w:val="1"/>
        </w:numPr>
        <w:rPr>
          <w:rFonts w:eastAsiaTheme="minorEastAsia"/>
        </w:rPr>
      </w:pPr>
      <w:r w:rsidRPr="00B3568B">
        <w:rPr>
          <w:rFonts w:eastAsiaTheme="minorEastAsia"/>
        </w:rPr>
        <w:t>The HIPDB was a national bank that received and disclosed certain final adverse actions by Federal, state agencies and health plans against health care practitioners, providers and suppliers. The information are related to criminal co</w:t>
      </w:r>
      <w:r w:rsidRPr="00B3568B">
        <w:rPr>
          <w:rFonts w:eastAsiaTheme="minorEastAsia"/>
        </w:rPr>
        <w:t>nvictions and civil judgements</w:t>
      </w:r>
    </w:p>
    <w:p w:rsidR="00B3568B" w:rsidRPr="00B3568B" w:rsidRDefault="00B60666" w:rsidP="00B3568B">
      <w:pPr>
        <w:numPr>
          <w:ilvl w:val="0"/>
          <w:numId w:val="1"/>
        </w:numPr>
        <w:rPr>
          <w:rFonts w:eastAsiaTheme="minorEastAsia"/>
        </w:rPr>
      </w:pPr>
      <w:r w:rsidRPr="00B3568B">
        <w:rPr>
          <w:rFonts w:eastAsiaTheme="minorEastAsia"/>
        </w:rPr>
        <w:t>On May 6, 2013 NPDB and the HIPDB were consolidated to avoid duplication</w:t>
      </w:r>
    </w:p>
    <w:p w:rsidR="00DF295F" w:rsidRDefault="00087BA4" w:rsidP="00DF295F">
      <w:pPr>
        <w:spacing w:after="20" w:line="240" w:lineRule="auto"/>
      </w:pPr>
      <w:r>
        <w:rPr>
          <w:rFonts w:eastAsiaTheme="minorEastAsia"/>
          <w:b/>
          <w:bCs/>
        </w:rPr>
        <w:t>Information provided to Users</w:t>
      </w:r>
      <w:r w:rsidR="00DF295F" w:rsidRPr="58744E0C">
        <w:rPr>
          <w:rFonts w:eastAsiaTheme="minorEastAsia"/>
          <w:b/>
          <w:bCs/>
        </w:rPr>
        <w:t>:</w:t>
      </w:r>
      <w:r w:rsidR="00DF295F">
        <w:rPr>
          <w:rFonts w:eastAsiaTheme="minorEastAsia"/>
          <w:b/>
          <w:bCs/>
        </w:rPr>
        <w:t xml:space="preserve"> </w:t>
      </w:r>
      <w:r w:rsidR="00DF295F" w:rsidRPr="58744E0C">
        <w:rPr>
          <w:rFonts w:eastAsiaTheme="minorEastAsia"/>
          <w:b/>
          <w:bCs/>
        </w:rPr>
        <w:t>-</w:t>
      </w:r>
    </w:p>
    <w:p w:rsidR="00087BA4" w:rsidRDefault="00DF295F" w:rsidP="00087BA4">
      <w:pPr>
        <w:numPr>
          <w:ilvl w:val="0"/>
          <w:numId w:val="1"/>
        </w:numPr>
        <w:rPr>
          <w:rFonts w:eastAsiaTheme="minorEastAsia"/>
        </w:rPr>
      </w:pPr>
      <w:r w:rsidRPr="58744E0C">
        <w:rPr>
          <w:rFonts w:eastAsiaTheme="minorEastAsia"/>
        </w:rPr>
        <w:t>JSON document and it is made up of several data objects.</w:t>
      </w:r>
    </w:p>
    <w:p w:rsidR="00087BA4" w:rsidRDefault="00087BA4" w:rsidP="00087BA4">
      <w:pPr>
        <w:numPr>
          <w:ilvl w:val="0"/>
          <w:numId w:val="1"/>
        </w:numPr>
        <w:rPr>
          <w:rFonts w:eastAsiaTheme="minorEastAsia"/>
        </w:rPr>
      </w:pPr>
      <w:r w:rsidRPr="00087BA4">
        <w:rPr>
          <w:rFonts w:eastAsiaTheme="minorEastAsia"/>
        </w:rPr>
        <w:t>Medical malpractice payments.</w:t>
      </w:r>
    </w:p>
    <w:p w:rsidR="00087BA4" w:rsidRPr="00087BA4" w:rsidRDefault="00087BA4" w:rsidP="00087BA4">
      <w:pPr>
        <w:numPr>
          <w:ilvl w:val="0"/>
          <w:numId w:val="1"/>
        </w:numPr>
        <w:rPr>
          <w:rFonts w:eastAsiaTheme="minorEastAsia"/>
        </w:rPr>
      </w:pPr>
      <w:r w:rsidRPr="00087BA4">
        <w:rPr>
          <w:rFonts w:eastAsiaTheme="minorEastAsia"/>
        </w:rPr>
        <w:t>Any adverse licensure actions or loss of license</w:t>
      </w:r>
    </w:p>
    <w:p w:rsidR="00087BA4" w:rsidRPr="00087BA4" w:rsidRDefault="00087BA4" w:rsidP="00087BA4">
      <w:pPr>
        <w:numPr>
          <w:ilvl w:val="0"/>
          <w:numId w:val="1"/>
        </w:numPr>
        <w:rPr>
          <w:rFonts w:eastAsiaTheme="minorEastAsia"/>
        </w:rPr>
      </w:pPr>
      <w:r w:rsidRPr="00087BA4">
        <w:rPr>
          <w:rFonts w:eastAsiaTheme="minorEastAsia"/>
        </w:rPr>
        <w:t>Adverse clinical privileging actions, or Adverse professional society membership actions</w:t>
      </w:r>
    </w:p>
    <w:p w:rsidR="00087BA4" w:rsidRPr="00087BA4" w:rsidRDefault="00087BA4" w:rsidP="00087BA4">
      <w:pPr>
        <w:numPr>
          <w:ilvl w:val="0"/>
          <w:numId w:val="1"/>
        </w:numPr>
        <w:rPr>
          <w:rFonts w:eastAsiaTheme="minorEastAsia"/>
        </w:rPr>
      </w:pPr>
      <w:r w:rsidRPr="00087BA4">
        <w:rPr>
          <w:rFonts w:eastAsiaTheme="minorEastAsia"/>
        </w:rPr>
        <w:t>Any negative action or finding by a State licensing or certification authority</w:t>
      </w:r>
    </w:p>
    <w:p w:rsidR="00087BA4" w:rsidRPr="00087BA4" w:rsidRDefault="00087BA4" w:rsidP="00087BA4">
      <w:pPr>
        <w:numPr>
          <w:ilvl w:val="0"/>
          <w:numId w:val="1"/>
        </w:numPr>
        <w:rPr>
          <w:rFonts w:eastAsiaTheme="minorEastAsia"/>
        </w:rPr>
      </w:pPr>
      <w:r w:rsidRPr="00087BA4">
        <w:rPr>
          <w:rFonts w:eastAsiaTheme="minorEastAsia"/>
        </w:rPr>
        <w:t>Private accreditation organization negative actions or findings against a health care practitioner or entity</w:t>
      </w:r>
    </w:p>
    <w:p w:rsidR="00087BA4" w:rsidRPr="00087BA4" w:rsidRDefault="00087BA4" w:rsidP="00087BA4">
      <w:pPr>
        <w:numPr>
          <w:ilvl w:val="0"/>
          <w:numId w:val="1"/>
        </w:numPr>
        <w:rPr>
          <w:rFonts w:eastAsiaTheme="minorEastAsia"/>
        </w:rPr>
      </w:pPr>
      <w:r w:rsidRPr="00087BA4">
        <w:rPr>
          <w:rFonts w:eastAsiaTheme="minorEastAsia"/>
        </w:rPr>
        <w:t>Any negative action or finding by a Federal or State licensing and certification agency that is publicly available information</w:t>
      </w:r>
    </w:p>
    <w:p w:rsidR="00087BA4" w:rsidRPr="00087BA4" w:rsidRDefault="00087BA4" w:rsidP="00087BA4">
      <w:pPr>
        <w:numPr>
          <w:ilvl w:val="0"/>
          <w:numId w:val="1"/>
        </w:numPr>
        <w:rPr>
          <w:rFonts w:eastAsiaTheme="minorEastAsia"/>
        </w:rPr>
      </w:pPr>
      <w:r w:rsidRPr="00087BA4">
        <w:rPr>
          <w:rFonts w:eastAsiaTheme="minorEastAsia"/>
        </w:rPr>
        <w:t>Civil judgments or criminal convictions that are health care-related</w:t>
      </w:r>
    </w:p>
    <w:p w:rsidR="00087BA4" w:rsidRPr="00087BA4" w:rsidRDefault="00087BA4" w:rsidP="00087BA4">
      <w:pPr>
        <w:numPr>
          <w:ilvl w:val="0"/>
          <w:numId w:val="1"/>
        </w:numPr>
        <w:rPr>
          <w:rFonts w:eastAsiaTheme="minorEastAsia"/>
        </w:rPr>
      </w:pPr>
      <w:r w:rsidRPr="00087BA4">
        <w:rPr>
          <w:rFonts w:eastAsiaTheme="minorEastAsia"/>
        </w:rPr>
        <w:t>Exclusions from Federal or State health care programs</w:t>
      </w:r>
    </w:p>
    <w:p w:rsidR="00087BA4" w:rsidRDefault="00087BA4" w:rsidP="00087BA4">
      <w:pPr>
        <w:numPr>
          <w:ilvl w:val="0"/>
          <w:numId w:val="1"/>
        </w:numPr>
        <w:rPr>
          <w:rFonts w:eastAsiaTheme="minorEastAsia"/>
        </w:rPr>
      </w:pPr>
      <w:r w:rsidRPr="00087BA4">
        <w:rPr>
          <w:rFonts w:eastAsiaTheme="minorEastAsia"/>
        </w:rPr>
        <w:t>Other adjudicated actions or decisions (formal or official actions, involving a due process mechanism and based on acts or omissions that affect or could affect the payment, provision, or delivery of a health care item or service)</w:t>
      </w:r>
    </w:p>
    <w:p w:rsidR="005401BA" w:rsidRDefault="005401BA" w:rsidP="005401BA">
      <w:pPr>
        <w:spacing w:after="20" w:line="240" w:lineRule="auto"/>
      </w:pPr>
      <w:r>
        <w:rPr>
          <w:rFonts w:eastAsiaTheme="minorEastAsia"/>
          <w:b/>
          <w:bCs/>
        </w:rPr>
        <w:t>Information Access</w:t>
      </w:r>
      <w:r w:rsidRPr="58744E0C">
        <w:rPr>
          <w:rFonts w:eastAsiaTheme="minorEastAsia"/>
          <w:b/>
          <w:bCs/>
        </w:rPr>
        <w:t>:</w:t>
      </w:r>
      <w:r>
        <w:rPr>
          <w:rFonts w:eastAsiaTheme="minorEastAsia"/>
          <w:b/>
          <w:bCs/>
        </w:rPr>
        <w:t xml:space="preserve"> </w:t>
      </w:r>
      <w:r w:rsidRPr="58744E0C">
        <w:rPr>
          <w:rFonts w:eastAsiaTheme="minorEastAsia"/>
          <w:b/>
          <w:bCs/>
        </w:rPr>
        <w:t>-</w:t>
      </w:r>
    </w:p>
    <w:p w:rsidR="005401BA" w:rsidRPr="005401BA" w:rsidRDefault="005401BA" w:rsidP="005401BA">
      <w:pPr>
        <w:numPr>
          <w:ilvl w:val="0"/>
          <w:numId w:val="1"/>
        </w:numPr>
        <w:rPr>
          <w:rFonts w:eastAsiaTheme="minorEastAsia"/>
        </w:rPr>
      </w:pPr>
      <w:r w:rsidRPr="005401BA">
        <w:rPr>
          <w:rFonts w:eastAsiaTheme="minorEastAsia"/>
        </w:rPr>
        <w:t>Access to the information is limited, and is not available to the general public.</w:t>
      </w:r>
    </w:p>
    <w:p w:rsidR="005401BA" w:rsidRPr="005401BA" w:rsidRDefault="005401BA" w:rsidP="005401BA">
      <w:pPr>
        <w:numPr>
          <w:ilvl w:val="0"/>
          <w:numId w:val="1"/>
        </w:numPr>
        <w:rPr>
          <w:rFonts w:eastAsiaTheme="minorEastAsia"/>
        </w:rPr>
      </w:pPr>
      <w:r w:rsidRPr="005401BA">
        <w:rPr>
          <w:rFonts w:eastAsiaTheme="minorEastAsia"/>
        </w:rPr>
        <w:t>It is provided to hospitals, other health care entities, professional societies, state and federal licensing and certification authorities (including Medical and Dental Boards), and agencies or contractors administering Federal or State health care programs.</w:t>
      </w:r>
    </w:p>
    <w:p w:rsidR="005401BA" w:rsidRPr="005401BA" w:rsidRDefault="005401BA" w:rsidP="005401BA">
      <w:pPr>
        <w:numPr>
          <w:ilvl w:val="0"/>
          <w:numId w:val="1"/>
        </w:numPr>
        <w:rPr>
          <w:rFonts w:eastAsiaTheme="minorEastAsia"/>
        </w:rPr>
      </w:pPr>
      <w:r w:rsidRPr="005401BA">
        <w:rPr>
          <w:rFonts w:eastAsiaTheme="minorEastAsia"/>
        </w:rPr>
        <w:t>In addition, individual healthcare providers can obtain access to their own records</w:t>
      </w:r>
      <w:r>
        <w:rPr>
          <w:rFonts w:eastAsiaTheme="minorEastAsia"/>
        </w:rPr>
        <w:t>.</w:t>
      </w:r>
    </w:p>
    <w:p w:rsidR="005401BA" w:rsidRPr="00087BA4" w:rsidRDefault="005401BA" w:rsidP="005401BA">
      <w:pPr>
        <w:numPr>
          <w:ilvl w:val="0"/>
          <w:numId w:val="1"/>
        </w:numPr>
        <w:rPr>
          <w:rFonts w:eastAsiaTheme="minorEastAsia"/>
        </w:rPr>
      </w:pPr>
      <w:r>
        <w:rPr>
          <w:rFonts w:eastAsiaTheme="minorEastAsia"/>
        </w:rPr>
        <w:t>T</w:t>
      </w:r>
      <w:r w:rsidRPr="005401BA">
        <w:rPr>
          <w:rFonts w:eastAsiaTheme="minorEastAsia"/>
        </w:rPr>
        <w:t>his information is also in some cases available to those who may be suing them</w:t>
      </w:r>
      <w:r>
        <w:rPr>
          <w:rFonts w:eastAsiaTheme="minorEastAsia"/>
        </w:rPr>
        <w:t>.</w:t>
      </w:r>
    </w:p>
    <w:p w:rsidR="00087BA4" w:rsidRDefault="005401BA" w:rsidP="005401BA">
      <w:pPr>
        <w:numPr>
          <w:ilvl w:val="0"/>
          <w:numId w:val="1"/>
        </w:numPr>
        <w:rPr>
          <w:rFonts w:eastAsiaTheme="minorEastAsia"/>
        </w:rPr>
      </w:pPr>
      <w:r w:rsidRPr="005401BA">
        <w:rPr>
          <w:rFonts w:eastAsiaTheme="minorEastAsia"/>
        </w:rPr>
        <w:t>Researchers may also obtain statistical data, but not data on individuals.</w:t>
      </w:r>
    </w:p>
    <w:p w:rsidR="00000000" w:rsidRPr="00F65D9F" w:rsidRDefault="00B60666" w:rsidP="0025197E">
      <w:pPr>
        <w:numPr>
          <w:ilvl w:val="0"/>
          <w:numId w:val="1"/>
        </w:numPr>
        <w:rPr>
          <w:rFonts w:eastAsiaTheme="minorEastAsia"/>
          <w:lang w:val="en-US"/>
        </w:rPr>
      </w:pPr>
      <w:r w:rsidRPr="0025197E">
        <w:rPr>
          <w:rFonts w:eastAsiaTheme="minorEastAsia"/>
        </w:rPr>
        <w:lastRenderedPageBreak/>
        <w:t xml:space="preserve">An eligible entity receiving information from the NPDB may disclose the information to others who are part of the same investigation or peer review process, as long as the information is </w:t>
      </w:r>
      <w:r w:rsidRPr="0025197E">
        <w:rPr>
          <w:rFonts w:eastAsiaTheme="minorEastAsia"/>
        </w:rPr>
        <w:t>used for the purpose for which it was provided</w:t>
      </w:r>
      <w:r w:rsidR="00976509">
        <w:rPr>
          <w:rFonts w:eastAsiaTheme="minorEastAsia"/>
        </w:rPr>
        <w:t>.</w:t>
      </w:r>
    </w:p>
    <w:p w:rsidR="00F65D9F" w:rsidRPr="00F65D9F" w:rsidRDefault="00F65D9F" w:rsidP="00F65D9F">
      <w:pPr>
        <w:spacing w:after="20" w:line="240" w:lineRule="auto"/>
        <w:rPr>
          <w:rFonts w:eastAsiaTheme="minorEastAsia"/>
          <w:b/>
          <w:bCs/>
        </w:rPr>
      </w:pPr>
      <w:r w:rsidRPr="00F65D9F">
        <w:rPr>
          <w:rFonts w:eastAsiaTheme="minorEastAsia"/>
          <w:b/>
          <w:bCs/>
        </w:rPr>
        <w:t>Data Bank Security</w:t>
      </w:r>
      <w:r>
        <w:rPr>
          <w:rFonts w:eastAsiaTheme="minorEastAsia"/>
          <w:b/>
          <w:bCs/>
        </w:rPr>
        <w:t>: -</w:t>
      </w:r>
    </w:p>
    <w:p w:rsidR="00F65D9F" w:rsidRPr="00B3568B" w:rsidRDefault="00F65D9F" w:rsidP="00F65D9F">
      <w:pPr>
        <w:pStyle w:val="NormalWeb"/>
        <w:shd w:val="clear" w:color="auto" w:fill="FFFFFF"/>
        <w:spacing w:before="0" w:beforeAutospacing="0" w:after="225" w:afterAutospacing="0" w:line="312" w:lineRule="atLeast"/>
        <w:rPr>
          <w:rFonts w:asciiTheme="minorHAnsi" w:eastAsiaTheme="minorEastAsia" w:hAnsiTheme="minorHAnsi" w:cstheme="minorBidi"/>
          <w:sz w:val="22"/>
          <w:szCs w:val="22"/>
          <w:lang w:val="en-IN"/>
        </w:rPr>
      </w:pPr>
      <w:r w:rsidRPr="00B3568B">
        <w:rPr>
          <w:rFonts w:asciiTheme="minorHAnsi" w:eastAsiaTheme="minorEastAsia" w:hAnsiTheme="minorHAnsi" w:cstheme="minorBidi"/>
          <w:sz w:val="22"/>
          <w:szCs w:val="22"/>
          <w:lang w:val="en-IN"/>
        </w:rPr>
        <w:t>As previously stated, information reported to the Data Bank is confidential. Safeguarding that confidential information includes proper and secure retrieval, handling, and disposal of the information. Taking the following actions helps to ensure Data Bank security.</w:t>
      </w:r>
    </w:p>
    <w:p w:rsidR="00F65D9F" w:rsidRPr="00F65D9F" w:rsidRDefault="00F65D9F" w:rsidP="00F65D9F">
      <w:pPr>
        <w:numPr>
          <w:ilvl w:val="0"/>
          <w:numId w:val="1"/>
        </w:numPr>
        <w:rPr>
          <w:rFonts w:eastAsiaTheme="minorEastAsia"/>
        </w:rPr>
      </w:pPr>
      <w:r w:rsidRPr="00F65D9F">
        <w:rPr>
          <w:rFonts w:eastAsiaTheme="minorEastAsia"/>
        </w:rPr>
        <w:t>Every registered health care organization must have a unique Data Bank Identification number (DBID) and password. All individual users within the organization must also use the organization DBID and have their own user ID and password. To learn more, see</w:t>
      </w:r>
      <w:r w:rsidRPr="00F65D9F">
        <w:rPr>
          <w:rFonts w:eastAsiaTheme="minorEastAsia"/>
        </w:rPr>
        <w:t> </w:t>
      </w:r>
      <w:hyperlink r:id="rId6" w:history="1">
        <w:r w:rsidRPr="00F65D9F">
          <w:rPr>
            <w:rFonts w:eastAsiaTheme="minorEastAsia"/>
          </w:rPr>
          <w:t>Manage User IDs and Passwords.</w:t>
        </w:r>
      </w:hyperlink>
    </w:p>
    <w:p w:rsidR="00F65D9F" w:rsidRPr="00F65D9F" w:rsidRDefault="00F65D9F" w:rsidP="00F65D9F">
      <w:pPr>
        <w:numPr>
          <w:ilvl w:val="0"/>
          <w:numId w:val="1"/>
        </w:numPr>
        <w:rPr>
          <w:rFonts w:eastAsiaTheme="minorEastAsia"/>
        </w:rPr>
      </w:pPr>
      <w:r w:rsidRPr="00F65D9F">
        <w:rPr>
          <w:rFonts w:eastAsiaTheme="minorEastAsia"/>
        </w:rPr>
        <w:t>Sign out of the Data Bank after each session to keep unauthorized personnel from gaining access to you or your organization’s sensitive information.</w:t>
      </w:r>
    </w:p>
    <w:p w:rsidR="00F65D9F" w:rsidRPr="00F65D9F" w:rsidRDefault="00F65D9F" w:rsidP="00F65D9F">
      <w:pPr>
        <w:numPr>
          <w:ilvl w:val="0"/>
          <w:numId w:val="1"/>
        </w:numPr>
        <w:rPr>
          <w:rFonts w:eastAsiaTheme="minorEastAsia"/>
        </w:rPr>
      </w:pPr>
      <w:r w:rsidRPr="00F65D9F">
        <w:rPr>
          <w:rFonts w:eastAsiaTheme="minorEastAsia"/>
        </w:rPr>
        <w:t xml:space="preserve">After signing in to the Data Bank, verify the date and time when last accessed. If incorrect, change your password immediately, call the Customer Service </w:t>
      </w:r>
      <w:r w:rsidRPr="00F65D9F">
        <w:rPr>
          <w:rFonts w:eastAsiaTheme="minorEastAsia"/>
        </w:rPr>
        <w:t>Centre</w:t>
      </w:r>
      <w:r w:rsidRPr="00F65D9F">
        <w:rPr>
          <w:rFonts w:eastAsiaTheme="minorEastAsia"/>
        </w:rPr>
        <w:t xml:space="preserve"> (800-767-6732), and notify your organization’s Data Bank Administrator.</w:t>
      </w:r>
    </w:p>
    <w:p w:rsidR="00F65D9F" w:rsidRPr="00F65D9F" w:rsidRDefault="00F65D9F" w:rsidP="00F65D9F">
      <w:pPr>
        <w:numPr>
          <w:ilvl w:val="0"/>
          <w:numId w:val="1"/>
        </w:numPr>
        <w:rPr>
          <w:rFonts w:eastAsiaTheme="minorEastAsia"/>
        </w:rPr>
      </w:pPr>
      <w:r w:rsidRPr="00F65D9F">
        <w:rPr>
          <w:rFonts w:eastAsiaTheme="minorEastAsia"/>
        </w:rPr>
        <w:t>Do not </w:t>
      </w:r>
      <w:r w:rsidRPr="00F65D9F">
        <w:rPr>
          <w:rFonts w:eastAsiaTheme="minorEastAsia"/>
        </w:rPr>
        <w:t>share confidential Data Bank documents with anyone not authorized to see them. Also, handle the reports properly – do not leave them in plain sight at the office. Securely store and file the documents.</w:t>
      </w:r>
    </w:p>
    <w:p w:rsidR="00F65D9F" w:rsidRPr="00F65D9F" w:rsidRDefault="00F65D9F" w:rsidP="00F65D9F">
      <w:pPr>
        <w:numPr>
          <w:ilvl w:val="0"/>
          <w:numId w:val="1"/>
        </w:numPr>
        <w:rPr>
          <w:rFonts w:eastAsiaTheme="minorEastAsia"/>
        </w:rPr>
      </w:pPr>
      <w:r w:rsidRPr="00F65D9F">
        <w:rPr>
          <w:rFonts w:eastAsiaTheme="minorEastAsia"/>
        </w:rPr>
        <w:t>Refer to</w:t>
      </w:r>
      <w:r w:rsidRPr="00F65D9F">
        <w:rPr>
          <w:rFonts w:eastAsiaTheme="minorEastAsia"/>
        </w:rPr>
        <w:t> </w:t>
      </w:r>
      <w:hyperlink r:id="rId7" w:history="1">
        <w:r w:rsidRPr="00F65D9F">
          <w:rPr>
            <w:rFonts w:eastAsiaTheme="minorEastAsia"/>
          </w:rPr>
          <w:t>About Management Tools</w:t>
        </w:r>
      </w:hyperlink>
      <w:r w:rsidRPr="00F65D9F">
        <w:rPr>
          <w:rFonts w:eastAsiaTheme="minorEastAsia"/>
        </w:rPr>
        <w:t> </w:t>
      </w:r>
      <w:r w:rsidRPr="00F65D9F">
        <w:rPr>
          <w:rFonts w:eastAsiaTheme="minorEastAsia"/>
        </w:rPr>
        <w:t>for more details on Data Bank Administrator and user accounts.</w:t>
      </w:r>
    </w:p>
    <w:tbl>
      <w:tblPr>
        <w:tblW w:w="0" w:type="auto"/>
        <w:tblCellSpacing w:w="15" w:type="dxa"/>
        <w:shd w:val="clear" w:color="auto" w:fill="FFFFFF"/>
        <w:tblCellMar>
          <w:left w:w="0" w:type="dxa"/>
          <w:right w:w="0" w:type="dxa"/>
        </w:tblCellMar>
        <w:tblLook w:val="04A0" w:firstRow="1" w:lastRow="0" w:firstColumn="1" w:lastColumn="0" w:noHBand="0" w:noVBand="1"/>
        <w:tblDescription w:val="Table 1. The Data Bank at a Glance"/>
      </w:tblPr>
      <w:tblGrid>
        <w:gridCol w:w="9515"/>
        <w:gridCol w:w="51"/>
      </w:tblGrid>
      <w:tr w:rsidR="00F65D9F" w:rsidRPr="00F65D9F" w:rsidTr="00F65D9F">
        <w:trPr>
          <w:tblCellSpacing w:w="15" w:type="dxa"/>
        </w:trPr>
        <w:tc>
          <w:tcPr>
            <w:tcW w:w="0" w:type="auto"/>
            <w:gridSpan w:val="2"/>
            <w:shd w:val="clear" w:color="auto" w:fill="FFFFFF"/>
            <w:vAlign w:val="center"/>
            <w:hideMark/>
          </w:tcPr>
          <w:p w:rsidR="00F65D9F" w:rsidRPr="00F65D9F" w:rsidRDefault="00F65D9F" w:rsidP="00EA5962">
            <w:pPr>
              <w:spacing w:after="20" w:line="240" w:lineRule="auto"/>
              <w:rPr>
                <w:rFonts w:ascii="Arial" w:eastAsia="Times New Roman" w:hAnsi="Arial" w:cs="Arial"/>
                <w:color w:val="000000"/>
                <w:sz w:val="20"/>
                <w:szCs w:val="20"/>
                <w:lang w:val="en-US"/>
              </w:rPr>
            </w:pPr>
            <w:r>
              <w:rPr>
                <w:rFonts w:eastAsiaTheme="minorEastAsia"/>
                <w:b/>
                <w:bCs/>
              </w:rPr>
              <w:t>NPDB Data Source</w:t>
            </w:r>
            <w:r w:rsidR="00EA5962">
              <w:rPr>
                <w:rFonts w:eastAsiaTheme="minorEastAsia"/>
                <w:b/>
                <w:bCs/>
              </w:rPr>
              <w:t>: -</w:t>
            </w:r>
          </w:p>
        </w:tc>
      </w:tr>
      <w:tr w:rsidR="00F65D9F" w:rsidRPr="00F65D9F" w:rsidTr="00F65D9F">
        <w:trPr>
          <w:tblCellSpacing w:w="15" w:type="dxa"/>
        </w:trPr>
        <w:tc>
          <w:tcPr>
            <w:tcW w:w="0" w:type="auto"/>
            <w:shd w:val="clear" w:color="auto" w:fill="FFFFFF"/>
            <w:vAlign w:val="center"/>
            <w:hideMark/>
          </w:tcPr>
          <w:p w:rsidR="00F65D9F" w:rsidRPr="00F65D9F" w:rsidRDefault="00F65D9F" w:rsidP="00F65D9F">
            <w:pPr>
              <w:numPr>
                <w:ilvl w:val="0"/>
                <w:numId w:val="1"/>
              </w:numPr>
              <w:rPr>
                <w:rFonts w:eastAsiaTheme="minorEastAsia"/>
              </w:rPr>
            </w:pPr>
            <w:r w:rsidRPr="00F65D9F">
              <w:rPr>
                <w:rFonts w:eastAsiaTheme="minorEastAsia"/>
              </w:rPr>
              <w:t>Medical malpractice payers</w:t>
            </w:r>
          </w:p>
          <w:p w:rsidR="00F65D9F" w:rsidRPr="00F65D9F" w:rsidRDefault="00F65D9F" w:rsidP="00F65D9F">
            <w:pPr>
              <w:numPr>
                <w:ilvl w:val="0"/>
                <w:numId w:val="1"/>
              </w:numPr>
              <w:rPr>
                <w:rFonts w:eastAsiaTheme="minorEastAsia"/>
              </w:rPr>
            </w:pPr>
            <w:r w:rsidRPr="00F65D9F">
              <w:rPr>
                <w:rFonts w:eastAsiaTheme="minorEastAsia"/>
              </w:rPr>
              <w:t>State health care practitioner licensing and certification authorities (including medical and dental boards)</w:t>
            </w:r>
          </w:p>
          <w:p w:rsidR="00F65D9F" w:rsidRPr="00F65D9F" w:rsidRDefault="00F65D9F" w:rsidP="00F65D9F">
            <w:pPr>
              <w:numPr>
                <w:ilvl w:val="0"/>
                <w:numId w:val="1"/>
              </w:numPr>
              <w:rPr>
                <w:rFonts w:eastAsiaTheme="minorEastAsia"/>
              </w:rPr>
            </w:pPr>
            <w:r w:rsidRPr="00F65D9F">
              <w:rPr>
                <w:rFonts w:eastAsiaTheme="minorEastAsia"/>
              </w:rPr>
              <w:t>Hospitals</w:t>
            </w:r>
          </w:p>
          <w:p w:rsidR="00F65D9F" w:rsidRPr="00F65D9F" w:rsidRDefault="00F65D9F" w:rsidP="00F65D9F">
            <w:pPr>
              <w:numPr>
                <w:ilvl w:val="0"/>
                <w:numId w:val="1"/>
              </w:numPr>
              <w:rPr>
                <w:rFonts w:eastAsiaTheme="minorEastAsia"/>
              </w:rPr>
            </w:pPr>
            <w:r w:rsidRPr="00F65D9F">
              <w:rPr>
                <w:rFonts w:eastAsiaTheme="minorEastAsia"/>
              </w:rPr>
              <w:t>Other health care entities with formal peer review (HMOs, group practices, managed care organizations)</w:t>
            </w:r>
          </w:p>
          <w:p w:rsidR="00F65D9F" w:rsidRPr="00F65D9F" w:rsidRDefault="00F65D9F" w:rsidP="00F65D9F">
            <w:pPr>
              <w:numPr>
                <w:ilvl w:val="0"/>
                <w:numId w:val="1"/>
              </w:numPr>
              <w:rPr>
                <w:rFonts w:eastAsiaTheme="minorEastAsia"/>
              </w:rPr>
            </w:pPr>
            <w:r w:rsidRPr="00F65D9F">
              <w:rPr>
                <w:rFonts w:eastAsiaTheme="minorEastAsia"/>
              </w:rPr>
              <w:t>Professional societies with formal peer review</w:t>
            </w:r>
          </w:p>
          <w:p w:rsidR="00F65D9F" w:rsidRPr="00F65D9F" w:rsidRDefault="00F65D9F" w:rsidP="00F65D9F">
            <w:pPr>
              <w:numPr>
                <w:ilvl w:val="0"/>
                <w:numId w:val="1"/>
              </w:numPr>
              <w:rPr>
                <w:rFonts w:eastAsiaTheme="minorEastAsia"/>
              </w:rPr>
            </w:pPr>
            <w:r w:rsidRPr="00F65D9F">
              <w:rPr>
                <w:rFonts w:eastAsiaTheme="minorEastAsia"/>
              </w:rPr>
              <w:t>State entity licensing and certification authorities</w:t>
            </w:r>
          </w:p>
          <w:p w:rsidR="00F65D9F" w:rsidRPr="00F65D9F" w:rsidRDefault="00F65D9F" w:rsidP="00F65D9F">
            <w:pPr>
              <w:numPr>
                <w:ilvl w:val="0"/>
                <w:numId w:val="1"/>
              </w:numPr>
              <w:rPr>
                <w:rFonts w:eastAsiaTheme="minorEastAsia"/>
              </w:rPr>
            </w:pPr>
            <w:r w:rsidRPr="00F65D9F">
              <w:rPr>
                <w:rFonts w:eastAsiaTheme="minorEastAsia"/>
              </w:rPr>
              <w:t>Peer review organizations</w:t>
            </w:r>
          </w:p>
          <w:p w:rsidR="00F65D9F" w:rsidRPr="00F65D9F" w:rsidRDefault="00F65D9F" w:rsidP="00F65D9F">
            <w:pPr>
              <w:numPr>
                <w:ilvl w:val="0"/>
                <w:numId w:val="1"/>
              </w:numPr>
              <w:rPr>
                <w:rFonts w:eastAsiaTheme="minorEastAsia"/>
              </w:rPr>
            </w:pPr>
            <w:r w:rsidRPr="00F65D9F">
              <w:rPr>
                <w:rFonts w:eastAsiaTheme="minorEastAsia"/>
              </w:rPr>
              <w:t>Private accreditation organizations</w:t>
            </w:r>
          </w:p>
          <w:p w:rsidR="00F65D9F" w:rsidRPr="00F65D9F" w:rsidRDefault="00F65D9F" w:rsidP="00F65D9F">
            <w:pPr>
              <w:numPr>
                <w:ilvl w:val="0"/>
                <w:numId w:val="1"/>
              </w:numPr>
              <w:rPr>
                <w:rFonts w:eastAsiaTheme="minorEastAsia"/>
              </w:rPr>
            </w:pPr>
            <w:r w:rsidRPr="00F65D9F">
              <w:rPr>
                <w:rFonts w:eastAsiaTheme="minorEastAsia"/>
              </w:rPr>
              <w:t>Federal and State Government agencies</w:t>
            </w:r>
          </w:p>
          <w:p w:rsidR="00F65D9F" w:rsidRPr="00F65D9F" w:rsidRDefault="00F65D9F" w:rsidP="00F65D9F">
            <w:pPr>
              <w:numPr>
                <w:ilvl w:val="0"/>
                <w:numId w:val="1"/>
              </w:numPr>
              <w:rPr>
                <w:rFonts w:ascii="Arial" w:eastAsia="Times New Roman" w:hAnsi="Arial" w:cs="Arial"/>
                <w:i/>
                <w:iCs/>
                <w:color w:val="000000"/>
                <w:sz w:val="20"/>
                <w:szCs w:val="20"/>
                <w:lang w:val="en-US"/>
              </w:rPr>
            </w:pPr>
            <w:r w:rsidRPr="00F65D9F">
              <w:rPr>
                <w:rFonts w:eastAsiaTheme="minorEastAsia"/>
              </w:rPr>
              <w:t>Health plans</w:t>
            </w:r>
          </w:p>
        </w:tc>
        <w:tc>
          <w:tcPr>
            <w:tcW w:w="0" w:type="auto"/>
            <w:shd w:val="clear" w:color="auto" w:fill="FFFFFF"/>
            <w:vAlign w:val="center"/>
            <w:hideMark/>
          </w:tcPr>
          <w:p w:rsidR="00F65D9F" w:rsidRPr="00F65D9F" w:rsidRDefault="00F65D9F" w:rsidP="00F65D9F">
            <w:pPr>
              <w:numPr>
                <w:ilvl w:val="0"/>
                <w:numId w:val="10"/>
              </w:numPr>
              <w:spacing w:after="30" w:line="312" w:lineRule="atLeast"/>
              <w:ind w:left="0"/>
              <w:rPr>
                <w:rFonts w:ascii="Arial" w:eastAsia="Times New Roman" w:hAnsi="Arial" w:cs="Arial"/>
                <w:i/>
                <w:iCs/>
                <w:color w:val="000000"/>
                <w:sz w:val="20"/>
                <w:szCs w:val="20"/>
                <w:lang w:val="en-US"/>
              </w:rPr>
            </w:pPr>
          </w:p>
        </w:tc>
      </w:tr>
    </w:tbl>
    <w:p w:rsidR="00230D9C" w:rsidRPr="00230D9C" w:rsidRDefault="00B60666" w:rsidP="00230D9C">
      <w:pPr>
        <w:spacing w:after="20" w:line="240" w:lineRule="auto"/>
        <w:rPr>
          <w:rFonts w:eastAsiaTheme="minorEastAsia"/>
          <w:b/>
          <w:bCs/>
        </w:rPr>
      </w:pPr>
      <w:r>
        <w:rPr>
          <w:rFonts w:eastAsiaTheme="minorEastAsia"/>
          <w:b/>
          <w:bCs/>
        </w:rPr>
        <w:t xml:space="preserve">NPDB and HIPDB </w:t>
      </w:r>
      <w:r w:rsidR="00230D9C" w:rsidRPr="00230D9C">
        <w:rPr>
          <w:rFonts w:eastAsiaTheme="minorEastAsia"/>
          <w:b/>
          <w:bCs/>
        </w:rPr>
        <w:t>Data Bank Merger Highlights</w:t>
      </w:r>
      <w:r w:rsidR="00230D9C">
        <w:rPr>
          <w:rFonts w:eastAsiaTheme="minorEastAsia"/>
          <w:b/>
          <w:bCs/>
        </w:rPr>
        <w:t>: -</w:t>
      </w:r>
      <w:bookmarkStart w:id="0" w:name="_GoBack"/>
      <w:bookmarkEnd w:id="0"/>
    </w:p>
    <w:p w:rsidR="00230D9C" w:rsidRPr="00230D9C" w:rsidRDefault="00230D9C" w:rsidP="00230D9C">
      <w:pPr>
        <w:numPr>
          <w:ilvl w:val="0"/>
          <w:numId w:val="1"/>
        </w:numPr>
        <w:rPr>
          <w:rFonts w:eastAsiaTheme="minorEastAsia"/>
        </w:rPr>
      </w:pPr>
      <w:r w:rsidRPr="00230D9C">
        <w:rPr>
          <w:rFonts w:eastAsiaTheme="minorEastAsia"/>
        </w:rPr>
        <w:t>Reports that are currently stored in both the NPDB and HIPDB will remain, but will reside in the NPDB only</w:t>
      </w:r>
    </w:p>
    <w:p w:rsidR="00230D9C" w:rsidRPr="00230D9C" w:rsidRDefault="00230D9C" w:rsidP="00230D9C">
      <w:pPr>
        <w:numPr>
          <w:ilvl w:val="0"/>
          <w:numId w:val="1"/>
        </w:numPr>
        <w:rPr>
          <w:rFonts w:eastAsiaTheme="minorEastAsia"/>
        </w:rPr>
      </w:pPr>
      <w:r w:rsidRPr="00230D9C">
        <w:rPr>
          <w:rFonts w:eastAsiaTheme="minorEastAsia"/>
        </w:rPr>
        <w:t>There will be no need to re-register with the Data Bank, registration flagging systems will be automatically re-aligned</w:t>
      </w:r>
    </w:p>
    <w:p w:rsidR="00230D9C" w:rsidRPr="00230D9C" w:rsidRDefault="00230D9C" w:rsidP="00230D9C">
      <w:pPr>
        <w:numPr>
          <w:ilvl w:val="0"/>
          <w:numId w:val="1"/>
        </w:numPr>
        <w:rPr>
          <w:rFonts w:eastAsiaTheme="minorEastAsia"/>
        </w:rPr>
      </w:pPr>
      <w:r w:rsidRPr="00230D9C">
        <w:rPr>
          <w:rFonts w:eastAsiaTheme="minorEastAsia"/>
        </w:rPr>
        <w:t>The authority for certain reportable actions has changed, but no user action is required</w:t>
      </w:r>
    </w:p>
    <w:p w:rsidR="00230D9C" w:rsidRPr="00230D9C" w:rsidRDefault="00230D9C" w:rsidP="00230D9C">
      <w:pPr>
        <w:numPr>
          <w:ilvl w:val="0"/>
          <w:numId w:val="1"/>
        </w:numPr>
        <w:rPr>
          <w:rFonts w:eastAsiaTheme="minorEastAsia"/>
        </w:rPr>
      </w:pPr>
      <w:r w:rsidRPr="00230D9C">
        <w:rPr>
          <w:rFonts w:eastAsiaTheme="minorEastAsia"/>
        </w:rPr>
        <w:t>If you query both the NPDB and the HIPDB, after the merger you will only need to query the NPDB</w:t>
      </w:r>
    </w:p>
    <w:p w:rsidR="00F65D9F" w:rsidRPr="008C366E" w:rsidRDefault="00F65D9F" w:rsidP="00F65D9F">
      <w:pPr>
        <w:rPr>
          <w:rFonts w:eastAsiaTheme="minorEastAsia"/>
          <w:lang w:val="en-US"/>
        </w:rPr>
      </w:pPr>
    </w:p>
    <w:p w:rsidR="00E47761" w:rsidRPr="00E47761" w:rsidRDefault="00E47761" w:rsidP="00E47761">
      <w:pPr>
        <w:spacing w:after="20" w:line="240" w:lineRule="auto"/>
        <w:rPr>
          <w:rFonts w:eastAsiaTheme="minorEastAsia"/>
          <w:b/>
          <w:bCs/>
        </w:rPr>
      </w:pPr>
      <w:r w:rsidRPr="00E47761">
        <w:rPr>
          <w:rFonts w:eastAsiaTheme="minorEastAsia"/>
          <w:b/>
          <w:bCs/>
        </w:rPr>
        <w:lastRenderedPageBreak/>
        <w:t>Applicable federal law for the NPDB includes</w:t>
      </w:r>
      <w:r w:rsidRPr="58744E0C">
        <w:rPr>
          <w:rFonts w:eastAsiaTheme="minorEastAsia"/>
          <w:b/>
          <w:bCs/>
        </w:rPr>
        <w:t>:</w:t>
      </w:r>
      <w:r>
        <w:rPr>
          <w:rFonts w:eastAsiaTheme="minorEastAsia"/>
          <w:b/>
          <w:bCs/>
        </w:rPr>
        <w:t xml:space="preserve"> </w:t>
      </w:r>
      <w:r w:rsidRPr="58744E0C">
        <w:rPr>
          <w:rFonts w:eastAsiaTheme="minorEastAsia"/>
          <w:b/>
          <w:bCs/>
        </w:rPr>
        <w:t>-</w:t>
      </w:r>
    </w:p>
    <w:p w:rsidR="00E47761" w:rsidRPr="00E47761" w:rsidRDefault="00E47761" w:rsidP="00E47761">
      <w:pPr>
        <w:numPr>
          <w:ilvl w:val="0"/>
          <w:numId w:val="1"/>
        </w:numPr>
        <w:rPr>
          <w:rFonts w:eastAsiaTheme="minorEastAsia"/>
        </w:rPr>
      </w:pPr>
      <w:r w:rsidRPr="00E47761">
        <w:rPr>
          <w:rFonts w:eastAsiaTheme="minorEastAsia"/>
        </w:rPr>
        <w:t>Title IV of Public Law 99-660 </w:t>
      </w:r>
    </w:p>
    <w:p w:rsidR="00E47761" w:rsidRPr="00E47761" w:rsidRDefault="00E47761" w:rsidP="00E47761">
      <w:pPr>
        <w:numPr>
          <w:ilvl w:val="0"/>
          <w:numId w:val="1"/>
        </w:numPr>
        <w:rPr>
          <w:rFonts w:eastAsiaTheme="minorEastAsia"/>
        </w:rPr>
      </w:pPr>
      <w:r w:rsidRPr="00E47761">
        <w:rPr>
          <w:rFonts w:eastAsiaTheme="minorEastAsia"/>
        </w:rPr>
        <w:t>Section 1921 of the Social Security Act </w:t>
      </w:r>
    </w:p>
    <w:p w:rsidR="00E47761" w:rsidRPr="00E47761" w:rsidRDefault="00E47761" w:rsidP="00E47761">
      <w:pPr>
        <w:numPr>
          <w:ilvl w:val="0"/>
          <w:numId w:val="1"/>
        </w:numPr>
        <w:rPr>
          <w:rFonts w:eastAsiaTheme="minorEastAsia"/>
        </w:rPr>
      </w:pPr>
      <w:r w:rsidRPr="00E47761">
        <w:rPr>
          <w:rFonts w:eastAsiaTheme="minorEastAsia"/>
        </w:rPr>
        <w:t>Section 1128E of the Social Security Act</w:t>
      </w:r>
    </w:p>
    <w:p w:rsidR="000967A2" w:rsidRPr="00D44641" w:rsidRDefault="000967A2" w:rsidP="00D44641">
      <w:pPr>
        <w:spacing w:after="20" w:line="240" w:lineRule="auto"/>
        <w:rPr>
          <w:rFonts w:eastAsiaTheme="minorEastAsia"/>
          <w:b/>
          <w:bCs/>
        </w:rPr>
      </w:pPr>
    </w:p>
    <w:p w:rsidR="00DF295F" w:rsidRDefault="00D460FA" w:rsidP="00DF295F">
      <w:pPr>
        <w:spacing w:after="20" w:line="240" w:lineRule="auto"/>
      </w:pPr>
      <w:r>
        <w:rPr>
          <w:rFonts w:eastAsiaTheme="minorEastAsia"/>
          <w:b/>
          <w:bCs/>
        </w:rPr>
        <w:t>FAQ</w:t>
      </w:r>
      <w:r w:rsidR="00DF295F" w:rsidRPr="58744E0C">
        <w:rPr>
          <w:rFonts w:eastAsiaTheme="minorEastAsia"/>
          <w:b/>
          <w:bCs/>
        </w:rPr>
        <w:t>:</w:t>
      </w:r>
      <w:r w:rsidR="00DF295F">
        <w:rPr>
          <w:rFonts w:eastAsiaTheme="minorEastAsia"/>
          <w:b/>
          <w:bCs/>
        </w:rPr>
        <w:t xml:space="preserve"> </w:t>
      </w:r>
      <w:r w:rsidR="00DF295F" w:rsidRPr="58744E0C">
        <w:rPr>
          <w:rFonts w:eastAsiaTheme="minorEastAsia"/>
          <w:b/>
          <w:bCs/>
        </w:rPr>
        <w:t>-</w:t>
      </w:r>
    </w:p>
    <w:p w:rsidR="0074110A" w:rsidRPr="00DF295F" w:rsidRDefault="00E47761" w:rsidP="00E47761">
      <w:pPr>
        <w:pStyle w:val="ListParagraph"/>
        <w:numPr>
          <w:ilvl w:val="0"/>
          <w:numId w:val="2"/>
        </w:numPr>
        <w:rPr>
          <w:rFonts w:eastAsiaTheme="minorEastAsia"/>
        </w:rPr>
      </w:pPr>
      <w:r w:rsidRPr="00E47761">
        <w:rPr>
          <w:rFonts w:eastAsiaTheme="minorEastAsia"/>
        </w:rPr>
        <w:t>https://www.npdb.hrsa.gov/</w:t>
      </w:r>
    </w:p>
    <w:sectPr w:rsidR="0074110A" w:rsidRPr="00DF295F" w:rsidSect="0025197E">
      <w:pgSz w:w="11906" w:h="16838"/>
      <w:pgMar w:top="540" w:right="1440" w:bottom="63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2D2A"/>
    <w:multiLevelType w:val="hybridMultilevel"/>
    <w:tmpl w:val="D9226DDC"/>
    <w:lvl w:ilvl="0" w:tplc="002A8232">
      <w:start w:val="1"/>
      <w:numFmt w:val="bullet"/>
      <w:lvlText w:val="•"/>
      <w:lvlJc w:val="left"/>
      <w:pPr>
        <w:tabs>
          <w:tab w:val="num" w:pos="720"/>
        </w:tabs>
        <w:ind w:left="720" w:hanging="360"/>
      </w:pPr>
      <w:rPr>
        <w:rFonts w:ascii="Arial" w:hAnsi="Arial" w:hint="default"/>
      </w:rPr>
    </w:lvl>
    <w:lvl w:ilvl="1" w:tplc="5AC23CFE" w:tentative="1">
      <w:start w:val="1"/>
      <w:numFmt w:val="bullet"/>
      <w:lvlText w:val="•"/>
      <w:lvlJc w:val="left"/>
      <w:pPr>
        <w:tabs>
          <w:tab w:val="num" w:pos="1440"/>
        </w:tabs>
        <w:ind w:left="1440" w:hanging="360"/>
      </w:pPr>
      <w:rPr>
        <w:rFonts w:ascii="Arial" w:hAnsi="Arial" w:hint="default"/>
      </w:rPr>
    </w:lvl>
    <w:lvl w:ilvl="2" w:tplc="4DD68ACC" w:tentative="1">
      <w:start w:val="1"/>
      <w:numFmt w:val="bullet"/>
      <w:lvlText w:val="•"/>
      <w:lvlJc w:val="left"/>
      <w:pPr>
        <w:tabs>
          <w:tab w:val="num" w:pos="2160"/>
        </w:tabs>
        <w:ind w:left="2160" w:hanging="360"/>
      </w:pPr>
      <w:rPr>
        <w:rFonts w:ascii="Arial" w:hAnsi="Arial" w:hint="default"/>
      </w:rPr>
    </w:lvl>
    <w:lvl w:ilvl="3" w:tplc="2F2ADA8C" w:tentative="1">
      <w:start w:val="1"/>
      <w:numFmt w:val="bullet"/>
      <w:lvlText w:val="•"/>
      <w:lvlJc w:val="left"/>
      <w:pPr>
        <w:tabs>
          <w:tab w:val="num" w:pos="2880"/>
        </w:tabs>
        <w:ind w:left="2880" w:hanging="360"/>
      </w:pPr>
      <w:rPr>
        <w:rFonts w:ascii="Arial" w:hAnsi="Arial" w:hint="default"/>
      </w:rPr>
    </w:lvl>
    <w:lvl w:ilvl="4" w:tplc="E17A9F22" w:tentative="1">
      <w:start w:val="1"/>
      <w:numFmt w:val="bullet"/>
      <w:lvlText w:val="•"/>
      <w:lvlJc w:val="left"/>
      <w:pPr>
        <w:tabs>
          <w:tab w:val="num" w:pos="3600"/>
        </w:tabs>
        <w:ind w:left="3600" w:hanging="360"/>
      </w:pPr>
      <w:rPr>
        <w:rFonts w:ascii="Arial" w:hAnsi="Arial" w:hint="default"/>
      </w:rPr>
    </w:lvl>
    <w:lvl w:ilvl="5" w:tplc="8C566628" w:tentative="1">
      <w:start w:val="1"/>
      <w:numFmt w:val="bullet"/>
      <w:lvlText w:val="•"/>
      <w:lvlJc w:val="left"/>
      <w:pPr>
        <w:tabs>
          <w:tab w:val="num" w:pos="4320"/>
        </w:tabs>
        <w:ind w:left="4320" w:hanging="360"/>
      </w:pPr>
      <w:rPr>
        <w:rFonts w:ascii="Arial" w:hAnsi="Arial" w:hint="default"/>
      </w:rPr>
    </w:lvl>
    <w:lvl w:ilvl="6" w:tplc="8744D72E" w:tentative="1">
      <w:start w:val="1"/>
      <w:numFmt w:val="bullet"/>
      <w:lvlText w:val="•"/>
      <w:lvlJc w:val="left"/>
      <w:pPr>
        <w:tabs>
          <w:tab w:val="num" w:pos="5040"/>
        </w:tabs>
        <w:ind w:left="5040" w:hanging="360"/>
      </w:pPr>
      <w:rPr>
        <w:rFonts w:ascii="Arial" w:hAnsi="Arial" w:hint="default"/>
      </w:rPr>
    </w:lvl>
    <w:lvl w:ilvl="7" w:tplc="92E6216A" w:tentative="1">
      <w:start w:val="1"/>
      <w:numFmt w:val="bullet"/>
      <w:lvlText w:val="•"/>
      <w:lvlJc w:val="left"/>
      <w:pPr>
        <w:tabs>
          <w:tab w:val="num" w:pos="5760"/>
        </w:tabs>
        <w:ind w:left="5760" w:hanging="360"/>
      </w:pPr>
      <w:rPr>
        <w:rFonts w:ascii="Arial" w:hAnsi="Arial" w:hint="default"/>
      </w:rPr>
    </w:lvl>
    <w:lvl w:ilvl="8" w:tplc="3BF47EBE" w:tentative="1">
      <w:start w:val="1"/>
      <w:numFmt w:val="bullet"/>
      <w:lvlText w:val="•"/>
      <w:lvlJc w:val="left"/>
      <w:pPr>
        <w:tabs>
          <w:tab w:val="num" w:pos="6480"/>
        </w:tabs>
        <w:ind w:left="6480" w:hanging="360"/>
      </w:pPr>
      <w:rPr>
        <w:rFonts w:ascii="Arial" w:hAnsi="Arial" w:hint="default"/>
      </w:rPr>
    </w:lvl>
  </w:abstractNum>
  <w:abstractNum w:abstractNumId="1">
    <w:nsid w:val="05CA53E5"/>
    <w:multiLevelType w:val="hybridMultilevel"/>
    <w:tmpl w:val="6C2C3EFA"/>
    <w:lvl w:ilvl="0" w:tplc="8312C840">
      <w:start w:val="1"/>
      <w:numFmt w:val="bullet"/>
      <w:lvlText w:val="•"/>
      <w:lvlJc w:val="left"/>
      <w:pPr>
        <w:tabs>
          <w:tab w:val="num" w:pos="720"/>
        </w:tabs>
        <w:ind w:left="720" w:hanging="360"/>
      </w:pPr>
      <w:rPr>
        <w:rFonts w:ascii="Arial" w:hAnsi="Arial" w:hint="default"/>
      </w:rPr>
    </w:lvl>
    <w:lvl w:ilvl="1" w:tplc="D4BEFB58" w:tentative="1">
      <w:start w:val="1"/>
      <w:numFmt w:val="bullet"/>
      <w:lvlText w:val="•"/>
      <w:lvlJc w:val="left"/>
      <w:pPr>
        <w:tabs>
          <w:tab w:val="num" w:pos="1440"/>
        </w:tabs>
        <w:ind w:left="1440" w:hanging="360"/>
      </w:pPr>
      <w:rPr>
        <w:rFonts w:ascii="Arial" w:hAnsi="Arial" w:hint="default"/>
      </w:rPr>
    </w:lvl>
    <w:lvl w:ilvl="2" w:tplc="0EB2178A" w:tentative="1">
      <w:start w:val="1"/>
      <w:numFmt w:val="bullet"/>
      <w:lvlText w:val="•"/>
      <w:lvlJc w:val="left"/>
      <w:pPr>
        <w:tabs>
          <w:tab w:val="num" w:pos="2160"/>
        </w:tabs>
        <w:ind w:left="2160" w:hanging="360"/>
      </w:pPr>
      <w:rPr>
        <w:rFonts w:ascii="Arial" w:hAnsi="Arial" w:hint="default"/>
      </w:rPr>
    </w:lvl>
    <w:lvl w:ilvl="3" w:tplc="5C102FB6" w:tentative="1">
      <w:start w:val="1"/>
      <w:numFmt w:val="bullet"/>
      <w:lvlText w:val="•"/>
      <w:lvlJc w:val="left"/>
      <w:pPr>
        <w:tabs>
          <w:tab w:val="num" w:pos="2880"/>
        </w:tabs>
        <w:ind w:left="2880" w:hanging="360"/>
      </w:pPr>
      <w:rPr>
        <w:rFonts w:ascii="Arial" w:hAnsi="Arial" w:hint="default"/>
      </w:rPr>
    </w:lvl>
    <w:lvl w:ilvl="4" w:tplc="C29A22EE" w:tentative="1">
      <w:start w:val="1"/>
      <w:numFmt w:val="bullet"/>
      <w:lvlText w:val="•"/>
      <w:lvlJc w:val="left"/>
      <w:pPr>
        <w:tabs>
          <w:tab w:val="num" w:pos="3600"/>
        </w:tabs>
        <w:ind w:left="3600" w:hanging="360"/>
      </w:pPr>
      <w:rPr>
        <w:rFonts w:ascii="Arial" w:hAnsi="Arial" w:hint="default"/>
      </w:rPr>
    </w:lvl>
    <w:lvl w:ilvl="5" w:tplc="4C606E6E" w:tentative="1">
      <w:start w:val="1"/>
      <w:numFmt w:val="bullet"/>
      <w:lvlText w:val="•"/>
      <w:lvlJc w:val="left"/>
      <w:pPr>
        <w:tabs>
          <w:tab w:val="num" w:pos="4320"/>
        </w:tabs>
        <w:ind w:left="4320" w:hanging="360"/>
      </w:pPr>
      <w:rPr>
        <w:rFonts w:ascii="Arial" w:hAnsi="Arial" w:hint="default"/>
      </w:rPr>
    </w:lvl>
    <w:lvl w:ilvl="6" w:tplc="1576BA4E" w:tentative="1">
      <w:start w:val="1"/>
      <w:numFmt w:val="bullet"/>
      <w:lvlText w:val="•"/>
      <w:lvlJc w:val="left"/>
      <w:pPr>
        <w:tabs>
          <w:tab w:val="num" w:pos="5040"/>
        </w:tabs>
        <w:ind w:left="5040" w:hanging="360"/>
      </w:pPr>
      <w:rPr>
        <w:rFonts w:ascii="Arial" w:hAnsi="Arial" w:hint="default"/>
      </w:rPr>
    </w:lvl>
    <w:lvl w:ilvl="7" w:tplc="E7867C74" w:tentative="1">
      <w:start w:val="1"/>
      <w:numFmt w:val="bullet"/>
      <w:lvlText w:val="•"/>
      <w:lvlJc w:val="left"/>
      <w:pPr>
        <w:tabs>
          <w:tab w:val="num" w:pos="5760"/>
        </w:tabs>
        <w:ind w:left="5760" w:hanging="360"/>
      </w:pPr>
      <w:rPr>
        <w:rFonts w:ascii="Arial" w:hAnsi="Arial" w:hint="default"/>
      </w:rPr>
    </w:lvl>
    <w:lvl w:ilvl="8" w:tplc="EEB2D252" w:tentative="1">
      <w:start w:val="1"/>
      <w:numFmt w:val="bullet"/>
      <w:lvlText w:val="•"/>
      <w:lvlJc w:val="left"/>
      <w:pPr>
        <w:tabs>
          <w:tab w:val="num" w:pos="6480"/>
        </w:tabs>
        <w:ind w:left="6480" w:hanging="360"/>
      </w:pPr>
      <w:rPr>
        <w:rFonts w:ascii="Arial" w:hAnsi="Arial" w:hint="default"/>
      </w:rPr>
    </w:lvl>
  </w:abstractNum>
  <w:abstractNum w:abstractNumId="2">
    <w:nsid w:val="0D4D7B29"/>
    <w:multiLevelType w:val="multilevel"/>
    <w:tmpl w:val="33A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747DFD"/>
    <w:multiLevelType w:val="hybridMultilevel"/>
    <w:tmpl w:val="0A70A488"/>
    <w:lvl w:ilvl="0" w:tplc="81E4AAB2">
      <w:start w:val="1"/>
      <w:numFmt w:val="bullet"/>
      <w:lvlText w:val="•"/>
      <w:lvlJc w:val="left"/>
      <w:pPr>
        <w:tabs>
          <w:tab w:val="num" w:pos="720"/>
        </w:tabs>
        <w:ind w:left="720" w:hanging="360"/>
      </w:pPr>
      <w:rPr>
        <w:rFonts w:ascii="Arial" w:hAnsi="Arial" w:hint="default"/>
        <w:color w:val="auto"/>
      </w:rPr>
    </w:lvl>
    <w:lvl w:ilvl="1" w:tplc="EEFE447C" w:tentative="1">
      <w:start w:val="1"/>
      <w:numFmt w:val="bullet"/>
      <w:lvlText w:val="•"/>
      <w:lvlJc w:val="left"/>
      <w:pPr>
        <w:tabs>
          <w:tab w:val="num" w:pos="1440"/>
        </w:tabs>
        <w:ind w:left="1440" w:hanging="360"/>
      </w:pPr>
      <w:rPr>
        <w:rFonts w:ascii="Arial" w:hAnsi="Arial" w:hint="default"/>
      </w:rPr>
    </w:lvl>
    <w:lvl w:ilvl="2" w:tplc="CCB23E4E" w:tentative="1">
      <w:start w:val="1"/>
      <w:numFmt w:val="bullet"/>
      <w:lvlText w:val="•"/>
      <w:lvlJc w:val="left"/>
      <w:pPr>
        <w:tabs>
          <w:tab w:val="num" w:pos="2160"/>
        </w:tabs>
        <w:ind w:left="2160" w:hanging="360"/>
      </w:pPr>
      <w:rPr>
        <w:rFonts w:ascii="Arial" w:hAnsi="Arial" w:hint="default"/>
      </w:rPr>
    </w:lvl>
    <w:lvl w:ilvl="3" w:tplc="A27038EC" w:tentative="1">
      <w:start w:val="1"/>
      <w:numFmt w:val="bullet"/>
      <w:lvlText w:val="•"/>
      <w:lvlJc w:val="left"/>
      <w:pPr>
        <w:tabs>
          <w:tab w:val="num" w:pos="2880"/>
        </w:tabs>
        <w:ind w:left="2880" w:hanging="360"/>
      </w:pPr>
      <w:rPr>
        <w:rFonts w:ascii="Arial" w:hAnsi="Arial" w:hint="default"/>
      </w:rPr>
    </w:lvl>
    <w:lvl w:ilvl="4" w:tplc="2EA0286E" w:tentative="1">
      <w:start w:val="1"/>
      <w:numFmt w:val="bullet"/>
      <w:lvlText w:val="•"/>
      <w:lvlJc w:val="left"/>
      <w:pPr>
        <w:tabs>
          <w:tab w:val="num" w:pos="3600"/>
        </w:tabs>
        <w:ind w:left="3600" w:hanging="360"/>
      </w:pPr>
      <w:rPr>
        <w:rFonts w:ascii="Arial" w:hAnsi="Arial" w:hint="default"/>
      </w:rPr>
    </w:lvl>
    <w:lvl w:ilvl="5" w:tplc="7A78CCEE" w:tentative="1">
      <w:start w:val="1"/>
      <w:numFmt w:val="bullet"/>
      <w:lvlText w:val="•"/>
      <w:lvlJc w:val="left"/>
      <w:pPr>
        <w:tabs>
          <w:tab w:val="num" w:pos="4320"/>
        </w:tabs>
        <w:ind w:left="4320" w:hanging="360"/>
      </w:pPr>
      <w:rPr>
        <w:rFonts w:ascii="Arial" w:hAnsi="Arial" w:hint="default"/>
      </w:rPr>
    </w:lvl>
    <w:lvl w:ilvl="6" w:tplc="3E8A7F38" w:tentative="1">
      <w:start w:val="1"/>
      <w:numFmt w:val="bullet"/>
      <w:lvlText w:val="•"/>
      <w:lvlJc w:val="left"/>
      <w:pPr>
        <w:tabs>
          <w:tab w:val="num" w:pos="5040"/>
        </w:tabs>
        <w:ind w:left="5040" w:hanging="360"/>
      </w:pPr>
      <w:rPr>
        <w:rFonts w:ascii="Arial" w:hAnsi="Arial" w:hint="default"/>
      </w:rPr>
    </w:lvl>
    <w:lvl w:ilvl="7" w:tplc="FF701352" w:tentative="1">
      <w:start w:val="1"/>
      <w:numFmt w:val="bullet"/>
      <w:lvlText w:val="•"/>
      <w:lvlJc w:val="left"/>
      <w:pPr>
        <w:tabs>
          <w:tab w:val="num" w:pos="5760"/>
        </w:tabs>
        <w:ind w:left="5760" w:hanging="360"/>
      </w:pPr>
      <w:rPr>
        <w:rFonts w:ascii="Arial" w:hAnsi="Arial" w:hint="default"/>
      </w:rPr>
    </w:lvl>
    <w:lvl w:ilvl="8" w:tplc="6CC2A684" w:tentative="1">
      <w:start w:val="1"/>
      <w:numFmt w:val="bullet"/>
      <w:lvlText w:val="•"/>
      <w:lvlJc w:val="left"/>
      <w:pPr>
        <w:tabs>
          <w:tab w:val="num" w:pos="6480"/>
        </w:tabs>
        <w:ind w:left="6480" w:hanging="360"/>
      </w:pPr>
      <w:rPr>
        <w:rFonts w:ascii="Arial" w:hAnsi="Arial" w:hint="default"/>
      </w:rPr>
    </w:lvl>
  </w:abstractNum>
  <w:abstractNum w:abstractNumId="4">
    <w:nsid w:val="312469AD"/>
    <w:multiLevelType w:val="multilevel"/>
    <w:tmpl w:val="B264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D17DD"/>
    <w:multiLevelType w:val="multilevel"/>
    <w:tmpl w:val="562E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C42934"/>
    <w:multiLevelType w:val="multilevel"/>
    <w:tmpl w:val="CBC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3E05B5"/>
    <w:multiLevelType w:val="multilevel"/>
    <w:tmpl w:val="39FAB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BF6575"/>
    <w:multiLevelType w:val="multilevel"/>
    <w:tmpl w:val="EABE1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BF5D68"/>
    <w:multiLevelType w:val="multilevel"/>
    <w:tmpl w:val="77D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CF78EC"/>
    <w:multiLevelType w:val="hybridMultilevel"/>
    <w:tmpl w:val="A96870D8"/>
    <w:lvl w:ilvl="0" w:tplc="8176E9D0">
      <w:start w:val="1"/>
      <w:numFmt w:val="bullet"/>
      <w:lvlText w:val=""/>
      <w:lvlJc w:val="left"/>
      <w:pPr>
        <w:ind w:left="720" w:hanging="360"/>
      </w:pPr>
      <w:rPr>
        <w:rFonts w:ascii="Symbol" w:hAnsi="Symbol" w:hint="default"/>
      </w:rPr>
    </w:lvl>
    <w:lvl w:ilvl="1" w:tplc="4E50E34A">
      <w:start w:val="1"/>
      <w:numFmt w:val="bullet"/>
      <w:lvlText w:val="o"/>
      <w:lvlJc w:val="left"/>
      <w:pPr>
        <w:ind w:left="1440" w:hanging="360"/>
      </w:pPr>
      <w:rPr>
        <w:rFonts w:ascii="Courier New" w:hAnsi="Courier New" w:hint="default"/>
      </w:rPr>
    </w:lvl>
    <w:lvl w:ilvl="2" w:tplc="52783B08">
      <w:start w:val="1"/>
      <w:numFmt w:val="bullet"/>
      <w:lvlText w:val=""/>
      <w:lvlJc w:val="left"/>
      <w:pPr>
        <w:ind w:left="2160" w:hanging="360"/>
      </w:pPr>
      <w:rPr>
        <w:rFonts w:ascii="Wingdings" w:hAnsi="Wingdings" w:hint="default"/>
      </w:rPr>
    </w:lvl>
    <w:lvl w:ilvl="3" w:tplc="06E28858">
      <w:start w:val="1"/>
      <w:numFmt w:val="bullet"/>
      <w:lvlText w:val=""/>
      <w:lvlJc w:val="left"/>
      <w:pPr>
        <w:ind w:left="2880" w:hanging="360"/>
      </w:pPr>
      <w:rPr>
        <w:rFonts w:ascii="Symbol" w:hAnsi="Symbol" w:hint="default"/>
      </w:rPr>
    </w:lvl>
    <w:lvl w:ilvl="4" w:tplc="02DCF68C">
      <w:start w:val="1"/>
      <w:numFmt w:val="bullet"/>
      <w:lvlText w:val="o"/>
      <w:lvlJc w:val="left"/>
      <w:pPr>
        <w:ind w:left="3600" w:hanging="360"/>
      </w:pPr>
      <w:rPr>
        <w:rFonts w:ascii="Courier New" w:hAnsi="Courier New" w:hint="default"/>
      </w:rPr>
    </w:lvl>
    <w:lvl w:ilvl="5" w:tplc="E42ACDDC">
      <w:start w:val="1"/>
      <w:numFmt w:val="bullet"/>
      <w:lvlText w:val=""/>
      <w:lvlJc w:val="left"/>
      <w:pPr>
        <w:ind w:left="4320" w:hanging="360"/>
      </w:pPr>
      <w:rPr>
        <w:rFonts w:ascii="Wingdings" w:hAnsi="Wingdings" w:hint="default"/>
      </w:rPr>
    </w:lvl>
    <w:lvl w:ilvl="6" w:tplc="0FEAE09A">
      <w:start w:val="1"/>
      <w:numFmt w:val="bullet"/>
      <w:lvlText w:val=""/>
      <w:lvlJc w:val="left"/>
      <w:pPr>
        <w:ind w:left="5040" w:hanging="360"/>
      </w:pPr>
      <w:rPr>
        <w:rFonts w:ascii="Symbol" w:hAnsi="Symbol" w:hint="default"/>
      </w:rPr>
    </w:lvl>
    <w:lvl w:ilvl="7" w:tplc="F95A7296">
      <w:start w:val="1"/>
      <w:numFmt w:val="bullet"/>
      <w:lvlText w:val="o"/>
      <w:lvlJc w:val="left"/>
      <w:pPr>
        <w:ind w:left="5760" w:hanging="360"/>
      </w:pPr>
      <w:rPr>
        <w:rFonts w:ascii="Courier New" w:hAnsi="Courier New" w:hint="default"/>
      </w:rPr>
    </w:lvl>
    <w:lvl w:ilvl="8" w:tplc="48CC0CA4">
      <w:start w:val="1"/>
      <w:numFmt w:val="bullet"/>
      <w:lvlText w:val=""/>
      <w:lvlJc w:val="left"/>
      <w:pPr>
        <w:ind w:left="6480" w:hanging="360"/>
      </w:pPr>
      <w:rPr>
        <w:rFonts w:ascii="Wingdings" w:hAnsi="Wingdings" w:hint="default"/>
      </w:rPr>
    </w:lvl>
  </w:abstractNum>
  <w:abstractNum w:abstractNumId="11">
    <w:nsid w:val="71B334C6"/>
    <w:multiLevelType w:val="multilevel"/>
    <w:tmpl w:val="926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9"/>
  </w:num>
  <w:num w:numId="4">
    <w:abstractNumId w:val="2"/>
  </w:num>
  <w:num w:numId="5">
    <w:abstractNumId w:val="0"/>
  </w:num>
  <w:num w:numId="6">
    <w:abstractNumId w:val="7"/>
  </w:num>
  <w:num w:numId="7">
    <w:abstractNumId w:val="5"/>
  </w:num>
  <w:num w:numId="8">
    <w:abstractNumId w:val="4"/>
  </w:num>
  <w:num w:numId="9">
    <w:abstractNumId w:val="11"/>
  </w:num>
  <w:num w:numId="10">
    <w:abstractNumId w:val="6"/>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95F"/>
    <w:rsid w:val="00087BA4"/>
    <w:rsid w:val="000967A2"/>
    <w:rsid w:val="00230D9C"/>
    <w:rsid w:val="0025197E"/>
    <w:rsid w:val="005401BA"/>
    <w:rsid w:val="00674AF4"/>
    <w:rsid w:val="0074110A"/>
    <w:rsid w:val="00811056"/>
    <w:rsid w:val="008C366E"/>
    <w:rsid w:val="008E692C"/>
    <w:rsid w:val="00976509"/>
    <w:rsid w:val="00990FE3"/>
    <w:rsid w:val="00AD5DD1"/>
    <w:rsid w:val="00B3568B"/>
    <w:rsid w:val="00B60666"/>
    <w:rsid w:val="00D34EB7"/>
    <w:rsid w:val="00D44641"/>
    <w:rsid w:val="00D460FA"/>
    <w:rsid w:val="00DF295F"/>
    <w:rsid w:val="00E47761"/>
    <w:rsid w:val="00EA5962"/>
    <w:rsid w:val="00F65D9F"/>
    <w:rsid w:val="00FD7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913AA-60E0-49F1-94F8-8CAAEF6B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95F"/>
  </w:style>
  <w:style w:type="paragraph" w:styleId="Heading1">
    <w:name w:val="heading 1"/>
    <w:basedOn w:val="Normal"/>
    <w:link w:val="Heading1Char"/>
    <w:uiPriority w:val="9"/>
    <w:qFormat/>
    <w:rsid w:val="00DF2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30D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D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5F"/>
    <w:pPr>
      <w:spacing w:after="0" w:line="240" w:lineRule="auto"/>
      <w:ind w:left="720"/>
      <w:contextualSpacing/>
    </w:pPr>
    <w:rPr>
      <w:lang w:val="en-US"/>
    </w:rPr>
  </w:style>
  <w:style w:type="character" w:customStyle="1" w:styleId="Heading1Char">
    <w:name w:val="Heading 1 Char"/>
    <w:basedOn w:val="DefaultParagraphFont"/>
    <w:link w:val="Heading1"/>
    <w:uiPriority w:val="9"/>
    <w:rsid w:val="00DF295F"/>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DF295F"/>
  </w:style>
  <w:style w:type="character" w:styleId="Hyperlink">
    <w:name w:val="Hyperlink"/>
    <w:basedOn w:val="DefaultParagraphFont"/>
    <w:uiPriority w:val="99"/>
    <w:semiHidden/>
    <w:unhideWhenUsed/>
    <w:rsid w:val="00087BA4"/>
    <w:rPr>
      <w:color w:val="0000FF"/>
      <w:u w:val="single"/>
    </w:rPr>
  </w:style>
  <w:style w:type="table" w:styleId="TableGrid">
    <w:name w:val="Table Grid"/>
    <w:basedOn w:val="TableNormal"/>
    <w:uiPriority w:val="39"/>
    <w:rsid w:val="00FD7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65D9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65D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65D9F"/>
    <w:rPr>
      <w:i/>
      <w:iCs/>
    </w:rPr>
  </w:style>
  <w:style w:type="character" w:styleId="Strong">
    <w:name w:val="Strong"/>
    <w:basedOn w:val="DefaultParagraphFont"/>
    <w:uiPriority w:val="22"/>
    <w:qFormat/>
    <w:rsid w:val="00F65D9F"/>
    <w:rPr>
      <w:b/>
      <w:bCs/>
    </w:rPr>
  </w:style>
  <w:style w:type="character" w:customStyle="1" w:styleId="Heading2Char">
    <w:name w:val="Heading 2 Char"/>
    <w:basedOn w:val="DefaultParagraphFont"/>
    <w:link w:val="Heading2"/>
    <w:uiPriority w:val="9"/>
    <w:semiHidden/>
    <w:rsid w:val="00230D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0675">
      <w:bodyDiv w:val="1"/>
      <w:marLeft w:val="0"/>
      <w:marRight w:val="0"/>
      <w:marTop w:val="0"/>
      <w:marBottom w:val="0"/>
      <w:divBdr>
        <w:top w:val="none" w:sz="0" w:space="0" w:color="auto"/>
        <w:left w:val="none" w:sz="0" w:space="0" w:color="auto"/>
        <w:bottom w:val="none" w:sz="0" w:space="0" w:color="auto"/>
        <w:right w:val="none" w:sz="0" w:space="0" w:color="auto"/>
      </w:divBdr>
    </w:div>
    <w:div w:id="204801477">
      <w:bodyDiv w:val="1"/>
      <w:marLeft w:val="0"/>
      <w:marRight w:val="0"/>
      <w:marTop w:val="0"/>
      <w:marBottom w:val="0"/>
      <w:divBdr>
        <w:top w:val="none" w:sz="0" w:space="0" w:color="auto"/>
        <w:left w:val="none" w:sz="0" w:space="0" w:color="auto"/>
        <w:bottom w:val="none" w:sz="0" w:space="0" w:color="auto"/>
        <w:right w:val="none" w:sz="0" w:space="0" w:color="auto"/>
      </w:divBdr>
    </w:div>
    <w:div w:id="573852545">
      <w:bodyDiv w:val="1"/>
      <w:marLeft w:val="0"/>
      <w:marRight w:val="0"/>
      <w:marTop w:val="0"/>
      <w:marBottom w:val="0"/>
      <w:divBdr>
        <w:top w:val="none" w:sz="0" w:space="0" w:color="auto"/>
        <w:left w:val="none" w:sz="0" w:space="0" w:color="auto"/>
        <w:bottom w:val="none" w:sz="0" w:space="0" w:color="auto"/>
        <w:right w:val="none" w:sz="0" w:space="0" w:color="auto"/>
      </w:divBdr>
    </w:div>
    <w:div w:id="586695633">
      <w:bodyDiv w:val="1"/>
      <w:marLeft w:val="0"/>
      <w:marRight w:val="0"/>
      <w:marTop w:val="0"/>
      <w:marBottom w:val="0"/>
      <w:divBdr>
        <w:top w:val="none" w:sz="0" w:space="0" w:color="auto"/>
        <w:left w:val="none" w:sz="0" w:space="0" w:color="auto"/>
        <w:bottom w:val="none" w:sz="0" w:space="0" w:color="auto"/>
        <w:right w:val="none" w:sz="0" w:space="0" w:color="auto"/>
      </w:divBdr>
    </w:div>
    <w:div w:id="610936800">
      <w:bodyDiv w:val="1"/>
      <w:marLeft w:val="0"/>
      <w:marRight w:val="0"/>
      <w:marTop w:val="0"/>
      <w:marBottom w:val="0"/>
      <w:divBdr>
        <w:top w:val="none" w:sz="0" w:space="0" w:color="auto"/>
        <w:left w:val="none" w:sz="0" w:space="0" w:color="auto"/>
        <w:bottom w:val="none" w:sz="0" w:space="0" w:color="auto"/>
        <w:right w:val="none" w:sz="0" w:space="0" w:color="auto"/>
      </w:divBdr>
    </w:div>
    <w:div w:id="910233584">
      <w:bodyDiv w:val="1"/>
      <w:marLeft w:val="0"/>
      <w:marRight w:val="0"/>
      <w:marTop w:val="0"/>
      <w:marBottom w:val="0"/>
      <w:divBdr>
        <w:top w:val="none" w:sz="0" w:space="0" w:color="auto"/>
        <w:left w:val="none" w:sz="0" w:space="0" w:color="auto"/>
        <w:bottom w:val="none" w:sz="0" w:space="0" w:color="auto"/>
        <w:right w:val="none" w:sz="0" w:space="0" w:color="auto"/>
      </w:divBdr>
    </w:div>
    <w:div w:id="958611616">
      <w:bodyDiv w:val="1"/>
      <w:marLeft w:val="0"/>
      <w:marRight w:val="0"/>
      <w:marTop w:val="0"/>
      <w:marBottom w:val="0"/>
      <w:divBdr>
        <w:top w:val="none" w:sz="0" w:space="0" w:color="auto"/>
        <w:left w:val="none" w:sz="0" w:space="0" w:color="auto"/>
        <w:bottom w:val="none" w:sz="0" w:space="0" w:color="auto"/>
        <w:right w:val="none" w:sz="0" w:space="0" w:color="auto"/>
      </w:divBdr>
      <w:divsChild>
        <w:div w:id="1403135971">
          <w:marLeft w:val="45"/>
          <w:marRight w:val="45"/>
          <w:marTop w:val="0"/>
          <w:marBottom w:val="0"/>
          <w:divBdr>
            <w:top w:val="none" w:sz="0" w:space="0" w:color="auto"/>
            <w:left w:val="none" w:sz="0" w:space="0" w:color="auto"/>
            <w:bottom w:val="none" w:sz="0" w:space="0" w:color="auto"/>
            <w:right w:val="none" w:sz="0" w:space="0" w:color="auto"/>
          </w:divBdr>
          <w:divsChild>
            <w:div w:id="7468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7568">
      <w:bodyDiv w:val="1"/>
      <w:marLeft w:val="0"/>
      <w:marRight w:val="0"/>
      <w:marTop w:val="0"/>
      <w:marBottom w:val="0"/>
      <w:divBdr>
        <w:top w:val="none" w:sz="0" w:space="0" w:color="auto"/>
        <w:left w:val="none" w:sz="0" w:space="0" w:color="auto"/>
        <w:bottom w:val="none" w:sz="0" w:space="0" w:color="auto"/>
        <w:right w:val="none" w:sz="0" w:space="0" w:color="auto"/>
      </w:divBdr>
      <w:divsChild>
        <w:div w:id="2068410087">
          <w:marLeft w:val="360"/>
          <w:marRight w:val="0"/>
          <w:marTop w:val="200"/>
          <w:marBottom w:val="0"/>
          <w:divBdr>
            <w:top w:val="none" w:sz="0" w:space="0" w:color="auto"/>
            <w:left w:val="none" w:sz="0" w:space="0" w:color="auto"/>
            <w:bottom w:val="none" w:sz="0" w:space="0" w:color="auto"/>
            <w:right w:val="none" w:sz="0" w:space="0" w:color="auto"/>
          </w:divBdr>
        </w:div>
      </w:divsChild>
    </w:div>
    <w:div w:id="1042289755">
      <w:bodyDiv w:val="1"/>
      <w:marLeft w:val="0"/>
      <w:marRight w:val="0"/>
      <w:marTop w:val="0"/>
      <w:marBottom w:val="0"/>
      <w:divBdr>
        <w:top w:val="none" w:sz="0" w:space="0" w:color="auto"/>
        <w:left w:val="none" w:sz="0" w:space="0" w:color="auto"/>
        <w:bottom w:val="none" w:sz="0" w:space="0" w:color="auto"/>
        <w:right w:val="none" w:sz="0" w:space="0" w:color="auto"/>
      </w:divBdr>
    </w:div>
    <w:div w:id="1163396281">
      <w:bodyDiv w:val="1"/>
      <w:marLeft w:val="0"/>
      <w:marRight w:val="0"/>
      <w:marTop w:val="0"/>
      <w:marBottom w:val="0"/>
      <w:divBdr>
        <w:top w:val="none" w:sz="0" w:space="0" w:color="auto"/>
        <w:left w:val="none" w:sz="0" w:space="0" w:color="auto"/>
        <w:bottom w:val="none" w:sz="0" w:space="0" w:color="auto"/>
        <w:right w:val="none" w:sz="0" w:space="0" w:color="auto"/>
      </w:divBdr>
    </w:div>
    <w:div w:id="1217162275">
      <w:bodyDiv w:val="1"/>
      <w:marLeft w:val="0"/>
      <w:marRight w:val="0"/>
      <w:marTop w:val="0"/>
      <w:marBottom w:val="0"/>
      <w:divBdr>
        <w:top w:val="none" w:sz="0" w:space="0" w:color="auto"/>
        <w:left w:val="none" w:sz="0" w:space="0" w:color="auto"/>
        <w:bottom w:val="none" w:sz="0" w:space="0" w:color="auto"/>
        <w:right w:val="none" w:sz="0" w:space="0" w:color="auto"/>
      </w:divBdr>
    </w:div>
    <w:div w:id="1340697800">
      <w:bodyDiv w:val="1"/>
      <w:marLeft w:val="0"/>
      <w:marRight w:val="0"/>
      <w:marTop w:val="0"/>
      <w:marBottom w:val="0"/>
      <w:divBdr>
        <w:top w:val="none" w:sz="0" w:space="0" w:color="auto"/>
        <w:left w:val="none" w:sz="0" w:space="0" w:color="auto"/>
        <w:bottom w:val="none" w:sz="0" w:space="0" w:color="auto"/>
        <w:right w:val="none" w:sz="0" w:space="0" w:color="auto"/>
      </w:divBdr>
    </w:div>
    <w:div w:id="1533692447">
      <w:bodyDiv w:val="1"/>
      <w:marLeft w:val="0"/>
      <w:marRight w:val="0"/>
      <w:marTop w:val="0"/>
      <w:marBottom w:val="0"/>
      <w:divBdr>
        <w:top w:val="none" w:sz="0" w:space="0" w:color="auto"/>
        <w:left w:val="none" w:sz="0" w:space="0" w:color="auto"/>
        <w:bottom w:val="none" w:sz="0" w:space="0" w:color="auto"/>
        <w:right w:val="none" w:sz="0" w:space="0" w:color="auto"/>
      </w:divBdr>
    </w:div>
    <w:div w:id="1552308312">
      <w:bodyDiv w:val="1"/>
      <w:marLeft w:val="0"/>
      <w:marRight w:val="0"/>
      <w:marTop w:val="0"/>
      <w:marBottom w:val="0"/>
      <w:divBdr>
        <w:top w:val="none" w:sz="0" w:space="0" w:color="auto"/>
        <w:left w:val="none" w:sz="0" w:space="0" w:color="auto"/>
        <w:bottom w:val="none" w:sz="0" w:space="0" w:color="auto"/>
        <w:right w:val="none" w:sz="0" w:space="0" w:color="auto"/>
      </w:divBdr>
    </w:div>
    <w:div w:id="1568539593">
      <w:bodyDiv w:val="1"/>
      <w:marLeft w:val="0"/>
      <w:marRight w:val="0"/>
      <w:marTop w:val="0"/>
      <w:marBottom w:val="0"/>
      <w:divBdr>
        <w:top w:val="none" w:sz="0" w:space="0" w:color="auto"/>
        <w:left w:val="none" w:sz="0" w:space="0" w:color="auto"/>
        <w:bottom w:val="none" w:sz="0" w:space="0" w:color="auto"/>
        <w:right w:val="none" w:sz="0" w:space="0" w:color="auto"/>
      </w:divBdr>
      <w:divsChild>
        <w:div w:id="1170675084">
          <w:marLeft w:val="360"/>
          <w:marRight w:val="0"/>
          <w:marTop w:val="200"/>
          <w:marBottom w:val="0"/>
          <w:divBdr>
            <w:top w:val="none" w:sz="0" w:space="0" w:color="auto"/>
            <w:left w:val="none" w:sz="0" w:space="0" w:color="auto"/>
            <w:bottom w:val="none" w:sz="0" w:space="0" w:color="auto"/>
            <w:right w:val="none" w:sz="0" w:space="0" w:color="auto"/>
          </w:divBdr>
        </w:div>
        <w:div w:id="698241146">
          <w:marLeft w:val="360"/>
          <w:marRight w:val="0"/>
          <w:marTop w:val="200"/>
          <w:marBottom w:val="0"/>
          <w:divBdr>
            <w:top w:val="none" w:sz="0" w:space="0" w:color="auto"/>
            <w:left w:val="none" w:sz="0" w:space="0" w:color="auto"/>
            <w:bottom w:val="none" w:sz="0" w:space="0" w:color="auto"/>
            <w:right w:val="none" w:sz="0" w:space="0" w:color="auto"/>
          </w:divBdr>
        </w:div>
        <w:div w:id="1573002625">
          <w:marLeft w:val="360"/>
          <w:marRight w:val="0"/>
          <w:marTop w:val="200"/>
          <w:marBottom w:val="0"/>
          <w:divBdr>
            <w:top w:val="none" w:sz="0" w:space="0" w:color="auto"/>
            <w:left w:val="none" w:sz="0" w:space="0" w:color="auto"/>
            <w:bottom w:val="none" w:sz="0" w:space="0" w:color="auto"/>
            <w:right w:val="none" w:sz="0" w:space="0" w:color="auto"/>
          </w:divBdr>
        </w:div>
      </w:divsChild>
    </w:div>
    <w:div w:id="1959793882">
      <w:bodyDiv w:val="1"/>
      <w:marLeft w:val="0"/>
      <w:marRight w:val="0"/>
      <w:marTop w:val="0"/>
      <w:marBottom w:val="0"/>
      <w:divBdr>
        <w:top w:val="none" w:sz="0" w:space="0" w:color="auto"/>
        <w:left w:val="none" w:sz="0" w:space="0" w:color="auto"/>
        <w:bottom w:val="none" w:sz="0" w:space="0" w:color="auto"/>
        <w:right w:val="none" w:sz="0" w:space="0" w:color="auto"/>
      </w:divBdr>
    </w:div>
    <w:div w:id="211061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pdb-hipdb.com/healthcare-organisations/management-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pdb-hipdb.com/healthcare-organisations/management-tools/manage-user-ids-and-passwor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DDE0C-22A5-469A-88FC-88A05AF0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cp:lastModifiedBy>
  <cp:revision>33</cp:revision>
  <dcterms:created xsi:type="dcterms:W3CDTF">2016-07-28T11:40:00Z</dcterms:created>
  <dcterms:modified xsi:type="dcterms:W3CDTF">2016-07-29T07:16:00Z</dcterms:modified>
</cp:coreProperties>
</file>