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27353320"/>
        <w:docPartObj>
          <w:docPartGallery w:val="Cover Pages"/>
          <w:docPartUnique/>
        </w:docPartObj>
      </w:sdtPr>
      <w:sdtEndPr>
        <w:rPr>
          <w:noProof/>
        </w:rPr>
      </w:sdtEndPr>
      <w:sdtContent>
        <w:p w:rsidR="00A41745" w:rsidRDefault="00A41745" w:rsidP="00A41745">
          <w:r>
            <w:rPr>
              <w:noProof/>
              <w:lang w:eastAsia="en-IN"/>
            </w:rPr>
            <mc:AlternateContent>
              <mc:Choice Requires="wps">
                <w:drawing>
                  <wp:anchor distT="0" distB="0" distL="114300" distR="114300" simplePos="0" relativeHeight="251660288" behindDoc="0" locked="0" layoutInCell="0" allowOverlap="1" wp14:anchorId="42BAE00E" wp14:editId="16324E35">
                    <wp:simplePos x="0" y="0"/>
                    <wp:positionH relativeFrom="margin">
                      <wp:posOffset>-552893</wp:posOffset>
                    </wp:positionH>
                    <wp:positionV relativeFrom="topMargin">
                      <wp:posOffset>457200</wp:posOffset>
                    </wp:positionV>
                    <wp:extent cx="5411972" cy="1339067"/>
                    <wp:effectExtent l="0" t="0" r="0" b="0"/>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11972" cy="1339067"/>
                            </a:xfrm>
                            <a:prstGeom prst="rect">
                              <a:avLst/>
                            </a:prstGeom>
                            <a:noFill/>
                            <a:ln w="19050">
                              <a:noFill/>
                              <a:miter lim="800000"/>
                              <a:headEnd/>
                              <a:tailEnd/>
                            </a:ln>
                          </wps:spPr>
                          <wps:txbx>
                            <w:txbxContent>
                              <w:sdt>
                                <w:sdtPr>
                                  <w:rPr>
                                    <w:rFonts w:ascii="Times New Roman" w:hAnsi="Times New Roman" w:cs="Times New Roman"/>
                                    <w:b/>
                                    <w:color w:val="FFFFFF" w:themeColor="background1"/>
                                    <w:sz w:val="96"/>
                                    <w:szCs w:val="72"/>
                                  </w:rPr>
                                  <w:alias w:val="Title"/>
                                  <w:id w:val="-882020553"/>
                                  <w:dataBinding w:prefixMappings="xmlns:ns0='http://schemas.openxmlformats.org/package/2006/metadata/core-properties' xmlns:ns1='http://purl.org/dc/elements/1.1/'" w:xpath="/ns0:coreProperties[1]/ns1:title[1]" w:storeItemID="{6C3C8BC8-F283-45AE-878A-BAB7291924A1}"/>
                                  <w:text/>
                                </w:sdtPr>
                                <w:sdtEndPr/>
                                <w:sdtContent>
                                  <w:p w:rsidR="00A41745" w:rsidRPr="00295770" w:rsidRDefault="00A41745" w:rsidP="00A41745">
                                    <w:pPr>
                                      <w:pStyle w:val="NoSpacing"/>
                                      <w:rPr>
                                        <w:b/>
                                        <w:color w:val="FFFFFF" w:themeColor="background1"/>
                                        <w:sz w:val="96"/>
                                        <w:szCs w:val="72"/>
                                      </w:rPr>
                                    </w:pPr>
                                    <w:r w:rsidRPr="00A41745">
                                      <w:rPr>
                                        <w:rFonts w:ascii="Times New Roman" w:hAnsi="Times New Roman" w:cs="Times New Roman"/>
                                        <w:b/>
                                        <w:color w:val="FFFFFF" w:themeColor="background1"/>
                                        <w:sz w:val="96"/>
                                        <w:szCs w:val="72"/>
                                      </w:rPr>
                                      <w:t>CredAxis Software</w:t>
                                    </w:r>
                                  </w:p>
                                </w:sdtContent>
                              </w:sdt>
                              <w:p w:rsidR="00A41745" w:rsidRPr="00295770" w:rsidRDefault="00A41745" w:rsidP="00A41745">
                                <w:pPr>
                                  <w:pStyle w:val="NoSpacing"/>
                                  <w:rPr>
                                    <w:color w:val="FFFFFF" w:themeColor="background1"/>
                                    <w:sz w:val="66"/>
                                    <w:szCs w:val="66"/>
                                  </w:rPr>
                                </w:pPr>
                                <w:r>
                                  <w:rPr>
                                    <w:color w:val="FFFFFF" w:themeColor="background1"/>
                                    <w:sz w:val="66"/>
                                    <w:szCs w:val="66"/>
                                  </w:rPr>
                                  <w:t>OIG Documentation</w:t>
                                </w:r>
                              </w:p>
                            </w:txbxContent>
                          </wps:txbx>
                          <wps:bodyPr rot="0" vert="horz" wrap="square" lIns="182880" tIns="45720" rIns="18288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2BAE00E" id="Rectangle 16" o:spid="_x0000_s1026" style="position:absolute;margin-left:-43.55pt;margin-top:36pt;width:426.15pt;height:105.4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op-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" o:allowincell="f" filled="f" stroked="f" strokeweight="1.5pt">
                    <v:textbox inset="14.4pt,,14.4pt">
                      <w:txbxContent>
                        <w:sdt>
                          <w:sdtPr>
                            <w:rPr>
                              <w:rFonts w:ascii="Times New Roman" w:hAnsi="Times New Roman" w:cs="Times New Roman"/>
                              <w:b/>
                              <w:color w:val="FFFFFF" w:themeColor="background1"/>
                              <w:sz w:val="96"/>
                              <w:szCs w:val="72"/>
                            </w:rPr>
                            <w:alias w:val="Title"/>
                            <w:id w:val="-882020553"/>
                            <w:dataBinding w:prefixMappings="xmlns:ns0='http://schemas.openxmlformats.org/package/2006/metadata/core-properties' xmlns:ns1='http://purl.org/dc/elements/1.1/'" w:xpath="/ns0:coreProperties[1]/ns1:title[1]" w:storeItemID="{6C3C8BC8-F283-45AE-878A-BAB7291924A1}"/>
                            <w:text/>
                          </w:sdtPr>
                          <w:sdtEndPr/>
                          <w:sdtContent>
                            <w:p w:rsidR="00A41745" w:rsidRPr="00295770" w:rsidRDefault="00A41745" w:rsidP="00A41745">
                              <w:pPr>
                                <w:pStyle w:val="NoSpacing"/>
                                <w:rPr>
                                  <w:b/>
                                  <w:color w:val="FFFFFF" w:themeColor="background1"/>
                                  <w:sz w:val="96"/>
                                  <w:szCs w:val="72"/>
                                </w:rPr>
                              </w:pPr>
                              <w:r w:rsidRPr="00A41745">
                                <w:rPr>
                                  <w:rFonts w:ascii="Times New Roman" w:hAnsi="Times New Roman" w:cs="Times New Roman"/>
                                  <w:b/>
                                  <w:color w:val="FFFFFF" w:themeColor="background1"/>
                                  <w:sz w:val="96"/>
                                  <w:szCs w:val="72"/>
                                </w:rPr>
                                <w:t>CredAxis Software</w:t>
                              </w:r>
                            </w:p>
                          </w:sdtContent>
                        </w:sdt>
                        <w:p w:rsidR="00A41745" w:rsidRPr="00295770" w:rsidRDefault="00A41745" w:rsidP="00A41745">
                          <w:pPr>
                            <w:pStyle w:val="NoSpacing"/>
                            <w:rPr>
                              <w:color w:val="FFFFFF" w:themeColor="background1"/>
                              <w:sz w:val="66"/>
                              <w:szCs w:val="66"/>
                            </w:rPr>
                          </w:pPr>
                          <w:r>
                            <w:rPr>
                              <w:color w:val="FFFFFF" w:themeColor="background1"/>
                              <w:sz w:val="66"/>
                              <w:szCs w:val="66"/>
                            </w:rPr>
                            <w:t>OIG Documentation</w:t>
                          </w:r>
                        </w:p>
                      </w:txbxContent>
                    </v:textbox>
                    <w10:wrap anchorx="margin" anchory="margin"/>
                  </v:rect>
                </w:pict>
              </mc:Fallback>
            </mc:AlternateContent>
          </w:r>
          <w:r>
            <w:rPr>
              <w:noProof/>
              <w:lang w:eastAsia="en-IN"/>
            </w:rPr>
            <w:drawing>
              <wp:anchor distT="0" distB="0" distL="114300" distR="114300" simplePos="0" relativeHeight="251659264" behindDoc="0" locked="0" layoutInCell="1" allowOverlap="1">
                <wp:simplePos x="0" y="0"/>
                <wp:positionH relativeFrom="column">
                  <wp:posOffset>-904240</wp:posOffset>
                </wp:positionH>
                <wp:positionV relativeFrom="paragraph">
                  <wp:posOffset>-903605</wp:posOffset>
                </wp:positionV>
                <wp:extent cx="7551420" cy="10680065"/>
                <wp:effectExtent l="0" t="0" r="0" b="6985"/>
                <wp:wrapNone/>
                <wp:docPr id="2" name="Picture 2" descr="Credaxis cover page bla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redaxis cover page blank"/>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551420" cy="10680065"/>
                        </a:xfrm>
                        <a:prstGeom prst="rect">
                          <a:avLst/>
                        </a:prstGeom>
                        <a:noFill/>
                      </pic:spPr>
                    </pic:pic>
                  </a:graphicData>
                </a:graphic>
                <wp14:sizeRelH relativeFrom="page">
                  <wp14:pctWidth>0</wp14:pctWidth>
                </wp14:sizeRelH>
                <wp14:sizeRelV relativeFrom="page">
                  <wp14:pctHeight>0</wp14:pctHeight>
                </wp14:sizeRelV>
              </wp:anchor>
            </w:drawing>
          </w:r>
        </w:p>
        <w:p w:rsidR="00A41745" w:rsidRDefault="00A41745" w:rsidP="00A41745">
          <w:pPr>
            <w:rPr>
              <w:noProof/>
            </w:rPr>
          </w:pPr>
          <w:r w:rsidRPr="00FE2AF5">
            <w:rPr>
              <w:noProof/>
              <w:lang w:eastAsia="en-IN"/>
            </w:rPr>
            <w:drawing>
              <wp:anchor distT="0" distB="0" distL="114300" distR="114300" simplePos="0" relativeHeight="251661312" behindDoc="0" locked="0" layoutInCell="1" allowOverlap="1" wp14:anchorId="22EF07EB" wp14:editId="470F92D8">
                <wp:simplePos x="0" y="0"/>
                <wp:positionH relativeFrom="column">
                  <wp:posOffset>74768</wp:posOffset>
                </wp:positionH>
                <wp:positionV relativeFrom="paragraph">
                  <wp:posOffset>8091170</wp:posOffset>
                </wp:positionV>
                <wp:extent cx="2491209" cy="1267035"/>
                <wp:effectExtent l="0" t="0" r="0" b="0"/>
                <wp:wrapNone/>
                <wp:docPr id="1" name="Picture 1" descr="D:\Logo Design\Credaxis\Final Logo-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Logo Design\Credaxis\Final Logo-01.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491209" cy="12670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br w:type="page"/>
          </w:r>
        </w:p>
      </w:sdtContent>
    </w:sdt>
    <w:p w:rsidR="00A41745" w:rsidRDefault="00A41745" w:rsidP="00A41745">
      <w:pPr>
        <w:rPr>
          <w:noProof/>
        </w:rPr>
      </w:pPr>
    </w:p>
    <w:sdt>
      <w:sdtPr>
        <w:rPr>
          <w:rFonts w:asciiTheme="minorHAnsi" w:eastAsiaTheme="minorHAnsi" w:hAnsiTheme="minorHAnsi" w:cstheme="minorBidi"/>
          <w:color w:val="auto"/>
          <w:sz w:val="22"/>
          <w:szCs w:val="22"/>
          <w:lang w:val="en-IN"/>
        </w:rPr>
        <w:id w:val="1702815688"/>
        <w:docPartObj>
          <w:docPartGallery w:val="Table of Contents"/>
          <w:docPartUnique/>
        </w:docPartObj>
      </w:sdtPr>
      <w:sdtEndPr>
        <w:rPr>
          <w:b/>
          <w:bCs/>
          <w:noProof/>
        </w:rPr>
      </w:sdtEndPr>
      <w:sdtContent>
        <w:p w:rsidR="00A41745" w:rsidRPr="00822399" w:rsidRDefault="00A41745">
          <w:pPr>
            <w:pStyle w:val="TOCHeading"/>
            <w:rPr>
              <w:rFonts w:asciiTheme="minorHAnsi" w:hAnsiTheme="minorHAnsi"/>
            </w:rPr>
          </w:pPr>
          <w:r w:rsidRPr="00822399">
            <w:rPr>
              <w:rFonts w:asciiTheme="minorHAnsi" w:hAnsiTheme="minorHAnsi"/>
            </w:rPr>
            <w:t>Table of Contents</w:t>
          </w:r>
          <w:bookmarkStart w:id="0" w:name="_GoBack"/>
          <w:bookmarkEnd w:id="0"/>
        </w:p>
        <w:p w:rsidR="00822399" w:rsidRDefault="00A41745">
          <w:pPr>
            <w:pStyle w:val="TOC1"/>
            <w:tabs>
              <w:tab w:val="right" w:leader="dot" w:pos="9016"/>
            </w:tabs>
            <w:rPr>
              <w:rFonts w:eastAsiaTheme="minorEastAsia"/>
              <w:noProof/>
              <w:lang w:eastAsia="en-IN"/>
            </w:rPr>
          </w:pPr>
          <w:r>
            <w:fldChar w:fldCharType="begin"/>
          </w:r>
          <w:r>
            <w:instrText xml:space="preserve"> TOC \o "1-3" \h \z \u </w:instrText>
          </w:r>
          <w:r>
            <w:fldChar w:fldCharType="separate"/>
          </w:r>
          <w:hyperlink w:anchor="_Toc458520013" w:history="1">
            <w:r w:rsidR="00822399" w:rsidRPr="00353D40">
              <w:rPr>
                <w:rStyle w:val="Hyperlink"/>
                <w:rFonts w:eastAsia="Times New Roman"/>
                <w:noProof/>
                <w:lang w:eastAsia="en-IN"/>
              </w:rPr>
              <w:t>Office of Inspector General</w:t>
            </w:r>
            <w:r w:rsidR="00822399">
              <w:rPr>
                <w:noProof/>
                <w:webHidden/>
              </w:rPr>
              <w:tab/>
            </w:r>
            <w:r w:rsidR="00822399">
              <w:rPr>
                <w:noProof/>
                <w:webHidden/>
              </w:rPr>
              <w:fldChar w:fldCharType="begin"/>
            </w:r>
            <w:r w:rsidR="00822399">
              <w:rPr>
                <w:noProof/>
                <w:webHidden/>
              </w:rPr>
              <w:instrText xml:space="preserve"> PAGEREF _Toc458520013 \h </w:instrText>
            </w:r>
            <w:r w:rsidR="00822399">
              <w:rPr>
                <w:noProof/>
                <w:webHidden/>
              </w:rPr>
            </w:r>
            <w:r w:rsidR="00822399">
              <w:rPr>
                <w:noProof/>
                <w:webHidden/>
              </w:rPr>
              <w:fldChar w:fldCharType="separate"/>
            </w:r>
            <w:r w:rsidR="00EF1848">
              <w:rPr>
                <w:noProof/>
                <w:webHidden/>
              </w:rPr>
              <w:t>3</w:t>
            </w:r>
            <w:r w:rsidR="00822399">
              <w:rPr>
                <w:noProof/>
                <w:webHidden/>
              </w:rPr>
              <w:fldChar w:fldCharType="end"/>
            </w:r>
          </w:hyperlink>
        </w:p>
        <w:p w:rsidR="00822399" w:rsidRDefault="00822399">
          <w:pPr>
            <w:pStyle w:val="TOC1"/>
            <w:tabs>
              <w:tab w:val="right" w:leader="dot" w:pos="9016"/>
            </w:tabs>
            <w:rPr>
              <w:rFonts w:eastAsiaTheme="minorEastAsia"/>
              <w:noProof/>
              <w:lang w:eastAsia="en-IN"/>
            </w:rPr>
          </w:pPr>
          <w:hyperlink w:anchor="_Toc458520014" w:history="1">
            <w:r w:rsidRPr="00353D40">
              <w:rPr>
                <w:rStyle w:val="Hyperlink"/>
                <w:noProof/>
              </w:rPr>
              <w:t>What is the List of Excluded Individuals/Entities (LEIE)?</w:t>
            </w:r>
            <w:r>
              <w:rPr>
                <w:noProof/>
                <w:webHidden/>
              </w:rPr>
              <w:tab/>
            </w:r>
            <w:r>
              <w:rPr>
                <w:noProof/>
                <w:webHidden/>
              </w:rPr>
              <w:fldChar w:fldCharType="begin"/>
            </w:r>
            <w:r>
              <w:rPr>
                <w:noProof/>
                <w:webHidden/>
              </w:rPr>
              <w:instrText xml:space="preserve"> PAGEREF _Toc458520014 \h </w:instrText>
            </w:r>
            <w:r>
              <w:rPr>
                <w:noProof/>
                <w:webHidden/>
              </w:rPr>
            </w:r>
            <w:r>
              <w:rPr>
                <w:noProof/>
                <w:webHidden/>
              </w:rPr>
              <w:fldChar w:fldCharType="separate"/>
            </w:r>
            <w:r w:rsidR="00EF1848">
              <w:rPr>
                <w:noProof/>
                <w:webHidden/>
              </w:rPr>
              <w:t>3</w:t>
            </w:r>
            <w:r>
              <w:rPr>
                <w:noProof/>
                <w:webHidden/>
              </w:rPr>
              <w:fldChar w:fldCharType="end"/>
            </w:r>
          </w:hyperlink>
        </w:p>
        <w:p w:rsidR="00822399" w:rsidRDefault="00822399">
          <w:pPr>
            <w:pStyle w:val="TOC2"/>
            <w:tabs>
              <w:tab w:val="right" w:leader="dot" w:pos="9016"/>
            </w:tabs>
            <w:rPr>
              <w:rFonts w:eastAsiaTheme="minorEastAsia"/>
              <w:noProof/>
              <w:lang w:eastAsia="en-IN"/>
            </w:rPr>
          </w:pPr>
          <w:hyperlink w:anchor="_Toc458520015" w:history="1">
            <w:r w:rsidRPr="00353D40">
              <w:rPr>
                <w:rStyle w:val="Hyperlink"/>
                <w:rFonts w:ascii="Arial" w:hAnsi="Arial" w:cs="Arial"/>
                <w:noProof/>
              </w:rPr>
              <w:t>Types of Exclusion:</w:t>
            </w:r>
            <w:r>
              <w:rPr>
                <w:noProof/>
                <w:webHidden/>
              </w:rPr>
              <w:tab/>
            </w:r>
            <w:r>
              <w:rPr>
                <w:noProof/>
                <w:webHidden/>
              </w:rPr>
              <w:fldChar w:fldCharType="begin"/>
            </w:r>
            <w:r>
              <w:rPr>
                <w:noProof/>
                <w:webHidden/>
              </w:rPr>
              <w:instrText xml:space="preserve"> PAGEREF _Toc458520015 \h </w:instrText>
            </w:r>
            <w:r>
              <w:rPr>
                <w:noProof/>
                <w:webHidden/>
              </w:rPr>
            </w:r>
            <w:r>
              <w:rPr>
                <w:noProof/>
                <w:webHidden/>
              </w:rPr>
              <w:fldChar w:fldCharType="separate"/>
            </w:r>
            <w:r w:rsidR="00EF1848">
              <w:rPr>
                <w:noProof/>
                <w:webHidden/>
              </w:rPr>
              <w:t>3</w:t>
            </w:r>
            <w:r>
              <w:rPr>
                <w:noProof/>
                <w:webHidden/>
              </w:rPr>
              <w:fldChar w:fldCharType="end"/>
            </w:r>
          </w:hyperlink>
        </w:p>
        <w:p w:rsidR="00822399" w:rsidRDefault="00822399">
          <w:pPr>
            <w:pStyle w:val="TOC3"/>
            <w:tabs>
              <w:tab w:val="right" w:leader="dot" w:pos="9016"/>
            </w:tabs>
            <w:rPr>
              <w:rFonts w:eastAsiaTheme="minorEastAsia"/>
              <w:noProof/>
              <w:lang w:eastAsia="en-IN"/>
            </w:rPr>
          </w:pPr>
          <w:hyperlink w:anchor="_Toc458520016" w:history="1">
            <w:r w:rsidRPr="00353D40">
              <w:rPr>
                <w:rStyle w:val="Hyperlink"/>
                <w:rFonts w:ascii="Arial" w:hAnsi="Arial" w:cs="Arial"/>
                <w:noProof/>
                <w:lang w:eastAsia="en-IN"/>
              </w:rPr>
              <w:t>Permissive exclusions</w:t>
            </w:r>
            <w:r>
              <w:rPr>
                <w:noProof/>
                <w:webHidden/>
              </w:rPr>
              <w:tab/>
            </w:r>
            <w:r>
              <w:rPr>
                <w:noProof/>
                <w:webHidden/>
              </w:rPr>
              <w:fldChar w:fldCharType="begin"/>
            </w:r>
            <w:r>
              <w:rPr>
                <w:noProof/>
                <w:webHidden/>
              </w:rPr>
              <w:instrText xml:space="preserve"> PAGEREF _Toc458520016 \h </w:instrText>
            </w:r>
            <w:r>
              <w:rPr>
                <w:noProof/>
                <w:webHidden/>
              </w:rPr>
            </w:r>
            <w:r>
              <w:rPr>
                <w:noProof/>
                <w:webHidden/>
              </w:rPr>
              <w:fldChar w:fldCharType="separate"/>
            </w:r>
            <w:r w:rsidR="00EF1848">
              <w:rPr>
                <w:noProof/>
                <w:webHidden/>
              </w:rPr>
              <w:t>3</w:t>
            </w:r>
            <w:r>
              <w:rPr>
                <w:noProof/>
                <w:webHidden/>
              </w:rPr>
              <w:fldChar w:fldCharType="end"/>
            </w:r>
          </w:hyperlink>
        </w:p>
        <w:p w:rsidR="00822399" w:rsidRDefault="00822399">
          <w:pPr>
            <w:pStyle w:val="TOC3"/>
            <w:tabs>
              <w:tab w:val="right" w:leader="dot" w:pos="9016"/>
            </w:tabs>
            <w:rPr>
              <w:rFonts w:eastAsiaTheme="minorEastAsia"/>
              <w:noProof/>
              <w:lang w:eastAsia="en-IN"/>
            </w:rPr>
          </w:pPr>
          <w:hyperlink w:anchor="_Toc458520017" w:history="1">
            <w:r w:rsidRPr="00353D40">
              <w:rPr>
                <w:rStyle w:val="Hyperlink"/>
                <w:rFonts w:ascii="Arial" w:hAnsi="Arial" w:cs="Arial"/>
                <w:noProof/>
                <w:lang w:eastAsia="en-IN"/>
              </w:rPr>
              <w:t>Mandatory exclusions</w:t>
            </w:r>
            <w:r>
              <w:rPr>
                <w:noProof/>
                <w:webHidden/>
              </w:rPr>
              <w:tab/>
            </w:r>
            <w:r>
              <w:rPr>
                <w:noProof/>
                <w:webHidden/>
              </w:rPr>
              <w:fldChar w:fldCharType="begin"/>
            </w:r>
            <w:r>
              <w:rPr>
                <w:noProof/>
                <w:webHidden/>
              </w:rPr>
              <w:instrText xml:space="preserve"> PAGEREF _Toc458520017 \h </w:instrText>
            </w:r>
            <w:r>
              <w:rPr>
                <w:noProof/>
                <w:webHidden/>
              </w:rPr>
            </w:r>
            <w:r>
              <w:rPr>
                <w:noProof/>
                <w:webHidden/>
              </w:rPr>
              <w:fldChar w:fldCharType="separate"/>
            </w:r>
            <w:r w:rsidR="00EF1848">
              <w:rPr>
                <w:noProof/>
                <w:webHidden/>
              </w:rPr>
              <w:t>3</w:t>
            </w:r>
            <w:r>
              <w:rPr>
                <w:noProof/>
                <w:webHidden/>
              </w:rPr>
              <w:fldChar w:fldCharType="end"/>
            </w:r>
          </w:hyperlink>
        </w:p>
        <w:p w:rsidR="00822399" w:rsidRDefault="00822399">
          <w:pPr>
            <w:pStyle w:val="TOC1"/>
            <w:tabs>
              <w:tab w:val="right" w:leader="dot" w:pos="9016"/>
            </w:tabs>
            <w:rPr>
              <w:rFonts w:eastAsiaTheme="minorEastAsia"/>
              <w:noProof/>
              <w:lang w:eastAsia="en-IN"/>
            </w:rPr>
          </w:pPr>
          <w:hyperlink w:anchor="_Toc458520018" w:history="1">
            <w:r w:rsidRPr="00353D40">
              <w:rPr>
                <w:rStyle w:val="Hyperlink"/>
                <w:noProof/>
              </w:rPr>
              <w:t>What is the extent and effect of LEIE exclusion?</w:t>
            </w:r>
            <w:r>
              <w:rPr>
                <w:noProof/>
                <w:webHidden/>
              </w:rPr>
              <w:tab/>
            </w:r>
            <w:r>
              <w:rPr>
                <w:noProof/>
                <w:webHidden/>
              </w:rPr>
              <w:fldChar w:fldCharType="begin"/>
            </w:r>
            <w:r>
              <w:rPr>
                <w:noProof/>
                <w:webHidden/>
              </w:rPr>
              <w:instrText xml:space="preserve"> PAGEREF _Toc458520018 \h </w:instrText>
            </w:r>
            <w:r>
              <w:rPr>
                <w:noProof/>
                <w:webHidden/>
              </w:rPr>
            </w:r>
            <w:r>
              <w:rPr>
                <w:noProof/>
                <w:webHidden/>
              </w:rPr>
              <w:fldChar w:fldCharType="separate"/>
            </w:r>
            <w:r w:rsidR="00EF1848">
              <w:rPr>
                <w:noProof/>
                <w:webHidden/>
              </w:rPr>
              <w:t>3</w:t>
            </w:r>
            <w:r>
              <w:rPr>
                <w:noProof/>
                <w:webHidden/>
              </w:rPr>
              <w:fldChar w:fldCharType="end"/>
            </w:r>
          </w:hyperlink>
        </w:p>
        <w:p w:rsidR="00822399" w:rsidRDefault="00822399">
          <w:pPr>
            <w:pStyle w:val="TOC1"/>
            <w:tabs>
              <w:tab w:val="right" w:leader="dot" w:pos="9016"/>
            </w:tabs>
            <w:rPr>
              <w:rFonts w:eastAsiaTheme="minorEastAsia"/>
              <w:noProof/>
              <w:lang w:eastAsia="en-IN"/>
            </w:rPr>
          </w:pPr>
          <w:hyperlink w:anchor="_Toc458520019" w:history="1">
            <w:r w:rsidRPr="00353D40">
              <w:rPr>
                <w:rStyle w:val="Hyperlink"/>
                <w:noProof/>
              </w:rPr>
              <w:t>What happens if a claim is submitted from an excluded individual/entity?</w:t>
            </w:r>
            <w:r>
              <w:rPr>
                <w:noProof/>
                <w:webHidden/>
              </w:rPr>
              <w:tab/>
            </w:r>
            <w:r>
              <w:rPr>
                <w:noProof/>
                <w:webHidden/>
              </w:rPr>
              <w:fldChar w:fldCharType="begin"/>
            </w:r>
            <w:r>
              <w:rPr>
                <w:noProof/>
                <w:webHidden/>
              </w:rPr>
              <w:instrText xml:space="preserve"> PAGEREF _Toc458520019 \h </w:instrText>
            </w:r>
            <w:r>
              <w:rPr>
                <w:noProof/>
                <w:webHidden/>
              </w:rPr>
            </w:r>
            <w:r>
              <w:rPr>
                <w:noProof/>
                <w:webHidden/>
              </w:rPr>
              <w:fldChar w:fldCharType="separate"/>
            </w:r>
            <w:r w:rsidR="00EF1848">
              <w:rPr>
                <w:noProof/>
                <w:webHidden/>
              </w:rPr>
              <w:t>4</w:t>
            </w:r>
            <w:r>
              <w:rPr>
                <w:noProof/>
                <w:webHidden/>
              </w:rPr>
              <w:fldChar w:fldCharType="end"/>
            </w:r>
          </w:hyperlink>
        </w:p>
        <w:p w:rsidR="00822399" w:rsidRDefault="00822399">
          <w:pPr>
            <w:pStyle w:val="TOC2"/>
            <w:tabs>
              <w:tab w:val="right" w:leader="dot" w:pos="9016"/>
            </w:tabs>
            <w:rPr>
              <w:rFonts w:eastAsiaTheme="minorEastAsia"/>
              <w:noProof/>
              <w:lang w:eastAsia="en-IN"/>
            </w:rPr>
          </w:pPr>
          <w:hyperlink w:anchor="_Toc458520020" w:history="1">
            <w:r w:rsidRPr="00353D40">
              <w:rPr>
                <w:rStyle w:val="Hyperlink"/>
                <w:rFonts w:ascii="Arial" w:hAnsi="Arial" w:cs="Arial"/>
                <w:noProof/>
              </w:rPr>
              <w:t>Financial penalties:</w:t>
            </w:r>
            <w:r>
              <w:rPr>
                <w:noProof/>
                <w:webHidden/>
              </w:rPr>
              <w:tab/>
            </w:r>
            <w:r>
              <w:rPr>
                <w:noProof/>
                <w:webHidden/>
              </w:rPr>
              <w:fldChar w:fldCharType="begin"/>
            </w:r>
            <w:r>
              <w:rPr>
                <w:noProof/>
                <w:webHidden/>
              </w:rPr>
              <w:instrText xml:space="preserve"> PAGEREF _Toc458520020 \h </w:instrText>
            </w:r>
            <w:r>
              <w:rPr>
                <w:noProof/>
                <w:webHidden/>
              </w:rPr>
            </w:r>
            <w:r>
              <w:rPr>
                <w:noProof/>
                <w:webHidden/>
              </w:rPr>
              <w:fldChar w:fldCharType="separate"/>
            </w:r>
            <w:r w:rsidR="00EF1848">
              <w:rPr>
                <w:noProof/>
                <w:webHidden/>
              </w:rPr>
              <w:t>4</w:t>
            </w:r>
            <w:r>
              <w:rPr>
                <w:noProof/>
                <w:webHidden/>
              </w:rPr>
              <w:fldChar w:fldCharType="end"/>
            </w:r>
          </w:hyperlink>
        </w:p>
        <w:p w:rsidR="00822399" w:rsidRDefault="00822399">
          <w:pPr>
            <w:pStyle w:val="TOC1"/>
            <w:tabs>
              <w:tab w:val="right" w:leader="dot" w:pos="9016"/>
            </w:tabs>
            <w:rPr>
              <w:rFonts w:eastAsiaTheme="minorEastAsia"/>
              <w:noProof/>
              <w:lang w:eastAsia="en-IN"/>
            </w:rPr>
          </w:pPr>
          <w:hyperlink w:anchor="_Toc458520021" w:history="1">
            <w:r w:rsidRPr="00353D40">
              <w:rPr>
                <w:rStyle w:val="Hyperlink"/>
                <w:noProof/>
              </w:rPr>
              <w:t>What happens if a health care provider contracts with an excluded individual for services?</w:t>
            </w:r>
            <w:r>
              <w:rPr>
                <w:noProof/>
                <w:webHidden/>
              </w:rPr>
              <w:tab/>
            </w:r>
            <w:r>
              <w:rPr>
                <w:noProof/>
                <w:webHidden/>
              </w:rPr>
              <w:fldChar w:fldCharType="begin"/>
            </w:r>
            <w:r>
              <w:rPr>
                <w:noProof/>
                <w:webHidden/>
              </w:rPr>
              <w:instrText xml:space="preserve"> PAGEREF _Toc458520021 \h </w:instrText>
            </w:r>
            <w:r>
              <w:rPr>
                <w:noProof/>
                <w:webHidden/>
              </w:rPr>
            </w:r>
            <w:r>
              <w:rPr>
                <w:noProof/>
                <w:webHidden/>
              </w:rPr>
              <w:fldChar w:fldCharType="separate"/>
            </w:r>
            <w:r w:rsidR="00EF1848">
              <w:rPr>
                <w:noProof/>
                <w:webHidden/>
              </w:rPr>
              <w:t>4</w:t>
            </w:r>
            <w:r>
              <w:rPr>
                <w:noProof/>
                <w:webHidden/>
              </w:rPr>
              <w:fldChar w:fldCharType="end"/>
            </w:r>
          </w:hyperlink>
        </w:p>
        <w:p w:rsidR="00822399" w:rsidRDefault="00822399">
          <w:pPr>
            <w:pStyle w:val="TOC2"/>
            <w:tabs>
              <w:tab w:val="right" w:leader="dot" w:pos="9016"/>
            </w:tabs>
            <w:rPr>
              <w:rFonts w:eastAsiaTheme="minorEastAsia"/>
              <w:noProof/>
              <w:lang w:eastAsia="en-IN"/>
            </w:rPr>
          </w:pPr>
          <w:hyperlink w:anchor="_Toc458520022" w:history="1">
            <w:r w:rsidRPr="00353D40">
              <w:rPr>
                <w:rStyle w:val="Hyperlink"/>
                <w:rFonts w:ascii="Arial" w:hAnsi="Arial" w:cs="Arial"/>
                <w:noProof/>
              </w:rPr>
              <w:t>Criminal penalties:</w:t>
            </w:r>
            <w:r>
              <w:rPr>
                <w:noProof/>
                <w:webHidden/>
              </w:rPr>
              <w:tab/>
            </w:r>
            <w:r>
              <w:rPr>
                <w:noProof/>
                <w:webHidden/>
              </w:rPr>
              <w:fldChar w:fldCharType="begin"/>
            </w:r>
            <w:r>
              <w:rPr>
                <w:noProof/>
                <w:webHidden/>
              </w:rPr>
              <w:instrText xml:space="preserve"> PAGEREF _Toc458520022 \h </w:instrText>
            </w:r>
            <w:r>
              <w:rPr>
                <w:noProof/>
                <w:webHidden/>
              </w:rPr>
            </w:r>
            <w:r>
              <w:rPr>
                <w:noProof/>
                <w:webHidden/>
              </w:rPr>
              <w:fldChar w:fldCharType="separate"/>
            </w:r>
            <w:r w:rsidR="00EF1848">
              <w:rPr>
                <w:noProof/>
                <w:webHidden/>
              </w:rPr>
              <w:t>4</w:t>
            </w:r>
            <w:r>
              <w:rPr>
                <w:noProof/>
                <w:webHidden/>
              </w:rPr>
              <w:fldChar w:fldCharType="end"/>
            </w:r>
          </w:hyperlink>
        </w:p>
        <w:p w:rsidR="00822399" w:rsidRDefault="00822399">
          <w:pPr>
            <w:pStyle w:val="TOC1"/>
            <w:tabs>
              <w:tab w:val="right" w:leader="dot" w:pos="9016"/>
            </w:tabs>
            <w:rPr>
              <w:rFonts w:eastAsiaTheme="minorEastAsia"/>
              <w:noProof/>
              <w:lang w:eastAsia="en-IN"/>
            </w:rPr>
          </w:pPr>
          <w:hyperlink w:anchor="_Toc458520023" w:history="1">
            <w:r w:rsidRPr="00353D40">
              <w:rPr>
                <w:rStyle w:val="Hyperlink"/>
                <w:noProof/>
              </w:rPr>
              <w:t>How Often Should Exclusion Checks Be Done?</w:t>
            </w:r>
            <w:r>
              <w:rPr>
                <w:noProof/>
                <w:webHidden/>
              </w:rPr>
              <w:tab/>
            </w:r>
            <w:r>
              <w:rPr>
                <w:noProof/>
                <w:webHidden/>
              </w:rPr>
              <w:fldChar w:fldCharType="begin"/>
            </w:r>
            <w:r>
              <w:rPr>
                <w:noProof/>
                <w:webHidden/>
              </w:rPr>
              <w:instrText xml:space="preserve"> PAGEREF _Toc458520023 \h </w:instrText>
            </w:r>
            <w:r>
              <w:rPr>
                <w:noProof/>
                <w:webHidden/>
              </w:rPr>
            </w:r>
            <w:r>
              <w:rPr>
                <w:noProof/>
                <w:webHidden/>
              </w:rPr>
              <w:fldChar w:fldCharType="separate"/>
            </w:r>
            <w:r w:rsidR="00EF1848">
              <w:rPr>
                <w:noProof/>
                <w:webHidden/>
              </w:rPr>
              <w:t>4</w:t>
            </w:r>
            <w:r>
              <w:rPr>
                <w:noProof/>
                <w:webHidden/>
              </w:rPr>
              <w:fldChar w:fldCharType="end"/>
            </w:r>
          </w:hyperlink>
        </w:p>
        <w:p w:rsidR="00822399" w:rsidRDefault="00822399">
          <w:pPr>
            <w:pStyle w:val="TOC1"/>
            <w:tabs>
              <w:tab w:val="right" w:leader="dot" w:pos="9016"/>
            </w:tabs>
            <w:rPr>
              <w:rFonts w:eastAsiaTheme="minorEastAsia"/>
              <w:noProof/>
              <w:lang w:eastAsia="en-IN"/>
            </w:rPr>
          </w:pPr>
          <w:hyperlink w:anchor="_Toc458520024" w:history="1">
            <w:r w:rsidRPr="00353D40">
              <w:rPr>
                <w:rStyle w:val="Hyperlink"/>
                <w:noProof/>
              </w:rPr>
              <w:t>Reinstatement</w:t>
            </w:r>
            <w:r>
              <w:rPr>
                <w:noProof/>
                <w:webHidden/>
              </w:rPr>
              <w:tab/>
            </w:r>
            <w:r>
              <w:rPr>
                <w:noProof/>
                <w:webHidden/>
              </w:rPr>
              <w:fldChar w:fldCharType="begin"/>
            </w:r>
            <w:r>
              <w:rPr>
                <w:noProof/>
                <w:webHidden/>
              </w:rPr>
              <w:instrText xml:space="preserve"> PAGEREF _Toc458520024 \h </w:instrText>
            </w:r>
            <w:r>
              <w:rPr>
                <w:noProof/>
                <w:webHidden/>
              </w:rPr>
            </w:r>
            <w:r>
              <w:rPr>
                <w:noProof/>
                <w:webHidden/>
              </w:rPr>
              <w:fldChar w:fldCharType="separate"/>
            </w:r>
            <w:r w:rsidR="00EF1848">
              <w:rPr>
                <w:noProof/>
                <w:webHidden/>
              </w:rPr>
              <w:t>5</w:t>
            </w:r>
            <w:r>
              <w:rPr>
                <w:noProof/>
                <w:webHidden/>
              </w:rPr>
              <w:fldChar w:fldCharType="end"/>
            </w:r>
          </w:hyperlink>
        </w:p>
        <w:p w:rsidR="00822399" w:rsidRDefault="00822399">
          <w:pPr>
            <w:pStyle w:val="TOC2"/>
            <w:tabs>
              <w:tab w:val="right" w:leader="dot" w:pos="9016"/>
            </w:tabs>
            <w:rPr>
              <w:rFonts w:eastAsiaTheme="minorEastAsia"/>
              <w:noProof/>
              <w:lang w:eastAsia="en-IN"/>
            </w:rPr>
          </w:pPr>
          <w:hyperlink w:anchor="_Toc458520025" w:history="1">
            <w:r w:rsidRPr="00353D40">
              <w:rPr>
                <w:rStyle w:val="Hyperlink"/>
                <w:rFonts w:ascii="Arial" w:hAnsi="Arial" w:cs="Arial"/>
                <w:noProof/>
              </w:rPr>
              <w:t>Applying for Reinstatement</w:t>
            </w:r>
            <w:r>
              <w:rPr>
                <w:noProof/>
                <w:webHidden/>
              </w:rPr>
              <w:tab/>
            </w:r>
            <w:r>
              <w:rPr>
                <w:noProof/>
                <w:webHidden/>
              </w:rPr>
              <w:fldChar w:fldCharType="begin"/>
            </w:r>
            <w:r>
              <w:rPr>
                <w:noProof/>
                <w:webHidden/>
              </w:rPr>
              <w:instrText xml:space="preserve"> PAGEREF _Toc458520025 \h </w:instrText>
            </w:r>
            <w:r>
              <w:rPr>
                <w:noProof/>
                <w:webHidden/>
              </w:rPr>
            </w:r>
            <w:r>
              <w:rPr>
                <w:noProof/>
                <w:webHidden/>
              </w:rPr>
              <w:fldChar w:fldCharType="separate"/>
            </w:r>
            <w:r w:rsidR="00EF1848">
              <w:rPr>
                <w:noProof/>
                <w:webHidden/>
              </w:rPr>
              <w:t>5</w:t>
            </w:r>
            <w:r>
              <w:rPr>
                <w:noProof/>
                <w:webHidden/>
              </w:rPr>
              <w:fldChar w:fldCharType="end"/>
            </w:r>
          </w:hyperlink>
        </w:p>
        <w:p w:rsidR="00822399" w:rsidRDefault="00822399">
          <w:pPr>
            <w:pStyle w:val="TOC1"/>
            <w:tabs>
              <w:tab w:val="right" w:leader="dot" w:pos="9016"/>
            </w:tabs>
            <w:rPr>
              <w:rFonts w:eastAsiaTheme="minorEastAsia"/>
              <w:noProof/>
              <w:lang w:eastAsia="en-IN"/>
            </w:rPr>
          </w:pPr>
          <w:hyperlink w:anchor="_Toc458520026" w:history="1">
            <w:r w:rsidRPr="00353D40">
              <w:rPr>
                <w:rStyle w:val="Hyperlink"/>
                <w:noProof/>
              </w:rPr>
              <w:t>Input Data:</w:t>
            </w:r>
            <w:r>
              <w:rPr>
                <w:noProof/>
                <w:webHidden/>
              </w:rPr>
              <w:tab/>
            </w:r>
            <w:r>
              <w:rPr>
                <w:noProof/>
                <w:webHidden/>
              </w:rPr>
              <w:fldChar w:fldCharType="begin"/>
            </w:r>
            <w:r>
              <w:rPr>
                <w:noProof/>
                <w:webHidden/>
              </w:rPr>
              <w:instrText xml:space="preserve"> PAGEREF _Toc458520026 \h </w:instrText>
            </w:r>
            <w:r>
              <w:rPr>
                <w:noProof/>
                <w:webHidden/>
              </w:rPr>
            </w:r>
            <w:r>
              <w:rPr>
                <w:noProof/>
                <w:webHidden/>
              </w:rPr>
              <w:fldChar w:fldCharType="separate"/>
            </w:r>
            <w:r w:rsidR="00EF1848">
              <w:rPr>
                <w:noProof/>
                <w:webHidden/>
              </w:rPr>
              <w:t>5</w:t>
            </w:r>
            <w:r>
              <w:rPr>
                <w:noProof/>
                <w:webHidden/>
              </w:rPr>
              <w:fldChar w:fldCharType="end"/>
            </w:r>
          </w:hyperlink>
        </w:p>
        <w:p w:rsidR="00822399" w:rsidRDefault="00822399">
          <w:pPr>
            <w:pStyle w:val="TOC1"/>
            <w:tabs>
              <w:tab w:val="right" w:leader="dot" w:pos="9016"/>
            </w:tabs>
            <w:rPr>
              <w:rFonts w:eastAsiaTheme="minorEastAsia"/>
              <w:noProof/>
              <w:lang w:eastAsia="en-IN"/>
            </w:rPr>
          </w:pPr>
          <w:hyperlink w:anchor="_Toc458520027" w:history="1">
            <w:r w:rsidRPr="00353D40">
              <w:rPr>
                <w:rStyle w:val="Hyperlink"/>
                <w:noProof/>
              </w:rPr>
              <w:t>Output Data:</w:t>
            </w:r>
            <w:r>
              <w:rPr>
                <w:noProof/>
                <w:webHidden/>
              </w:rPr>
              <w:tab/>
            </w:r>
            <w:r>
              <w:rPr>
                <w:noProof/>
                <w:webHidden/>
              </w:rPr>
              <w:fldChar w:fldCharType="begin"/>
            </w:r>
            <w:r>
              <w:rPr>
                <w:noProof/>
                <w:webHidden/>
              </w:rPr>
              <w:instrText xml:space="preserve"> PAGEREF _Toc458520027 \h </w:instrText>
            </w:r>
            <w:r>
              <w:rPr>
                <w:noProof/>
                <w:webHidden/>
              </w:rPr>
            </w:r>
            <w:r>
              <w:rPr>
                <w:noProof/>
                <w:webHidden/>
              </w:rPr>
              <w:fldChar w:fldCharType="separate"/>
            </w:r>
            <w:r w:rsidR="00EF1848">
              <w:rPr>
                <w:noProof/>
                <w:webHidden/>
              </w:rPr>
              <w:t>5</w:t>
            </w:r>
            <w:r>
              <w:rPr>
                <w:noProof/>
                <w:webHidden/>
              </w:rPr>
              <w:fldChar w:fldCharType="end"/>
            </w:r>
          </w:hyperlink>
        </w:p>
        <w:p w:rsidR="00A41745" w:rsidRDefault="00A41745">
          <w:r>
            <w:rPr>
              <w:b/>
              <w:bCs/>
              <w:noProof/>
            </w:rPr>
            <w:fldChar w:fldCharType="end"/>
          </w:r>
        </w:p>
      </w:sdtContent>
    </w:sdt>
    <w:p w:rsidR="00A41745" w:rsidRDefault="00A41745"/>
    <w:p w:rsidR="00A41745" w:rsidRDefault="00A41745">
      <w:r>
        <w:br w:type="page"/>
      </w:r>
    </w:p>
    <w:p w:rsidR="00847572" w:rsidRDefault="00847572"/>
    <w:p w:rsidR="00847572" w:rsidRPr="00822399" w:rsidRDefault="00A41745" w:rsidP="00847572">
      <w:pPr>
        <w:pStyle w:val="Heading1"/>
        <w:rPr>
          <w:rFonts w:asciiTheme="minorHAnsi" w:eastAsia="Times New Roman" w:hAnsiTheme="minorHAnsi"/>
          <w:lang w:eastAsia="en-IN"/>
        </w:rPr>
      </w:pPr>
      <w:bookmarkStart w:id="1" w:name="_Toc458520013"/>
      <w:r w:rsidRPr="00822399">
        <w:rPr>
          <w:rFonts w:asciiTheme="minorHAnsi" w:eastAsia="Times New Roman" w:hAnsiTheme="minorHAnsi"/>
          <w:lang w:eastAsia="en-IN"/>
        </w:rPr>
        <w:t>O</w:t>
      </w:r>
      <w:r w:rsidR="00847572" w:rsidRPr="00822399">
        <w:rPr>
          <w:rFonts w:asciiTheme="minorHAnsi" w:eastAsia="Times New Roman" w:hAnsiTheme="minorHAnsi"/>
          <w:lang w:eastAsia="en-IN"/>
        </w:rPr>
        <w:t>ffice of Inspector General</w:t>
      </w:r>
      <w:bookmarkEnd w:id="1"/>
    </w:p>
    <w:p w:rsidR="00847572" w:rsidRPr="00847572" w:rsidRDefault="00847572" w:rsidP="00847572">
      <w:pPr>
        <w:shd w:val="clear" w:color="auto" w:fill="FFFFFF"/>
        <w:spacing w:line="240" w:lineRule="auto"/>
        <w:rPr>
          <w:rFonts w:ascii="Arial" w:eastAsia="Times New Roman" w:hAnsi="Arial" w:cs="Arial"/>
          <w:color w:val="000000" w:themeColor="text1"/>
          <w:lang w:eastAsia="en-IN"/>
        </w:rPr>
      </w:pPr>
      <w:r w:rsidRPr="00847572">
        <w:rPr>
          <w:rFonts w:ascii="Arial" w:eastAsia="Times New Roman" w:hAnsi="Arial" w:cs="Arial"/>
          <w:color w:val="000000" w:themeColor="text1"/>
          <w:lang w:eastAsia="en-IN"/>
        </w:rPr>
        <w:t>The Office of Inspector General (OIG) seeks to improve the efficiency and effectiveness of the Department of Commerce's programs and operations. OIG also endeavours to detect and deter waste, fraud, and abuse.</w:t>
      </w:r>
    </w:p>
    <w:p w:rsidR="00847572" w:rsidRPr="00847572" w:rsidRDefault="00847572" w:rsidP="00847572">
      <w:pPr>
        <w:shd w:val="clear" w:color="auto" w:fill="FFFFFF"/>
        <w:spacing w:after="0" w:line="299" w:lineRule="atLeast"/>
        <w:rPr>
          <w:rFonts w:ascii="Arial" w:eastAsia="Times New Roman" w:hAnsi="Arial" w:cs="Arial"/>
          <w:color w:val="000000" w:themeColor="text1"/>
          <w:lang w:eastAsia="en-IN"/>
        </w:rPr>
      </w:pPr>
      <w:r w:rsidRPr="00847572">
        <w:rPr>
          <w:rFonts w:ascii="Arial" w:eastAsia="Times New Roman" w:hAnsi="Arial" w:cs="Arial"/>
          <w:color w:val="000000" w:themeColor="text1"/>
          <w:lang w:eastAsia="en-IN"/>
        </w:rPr>
        <w:t>OIG monitors and tracks the use of taxpayer dollars through audits, inspections, evaluations, and investigations. The Inspector General keeps the Secretary of Commerce and Congress fully and currently informed about problems and deficiencies relating to Commerce's activities and the need for corrective action.</w:t>
      </w:r>
    </w:p>
    <w:p w:rsidR="00847572" w:rsidRPr="00847572" w:rsidRDefault="00847572" w:rsidP="00847572">
      <w:pPr>
        <w:shd w:val="clear" w:color="auto" w:fill="FFFFFF"/>
        <w:spacing w:after="0" w:line="299" w:lineRule="atLeast"/>
        <w:rPr>
          <w:rFonts w:ascii="Arial" w:eastAsia="Times New Roman" w:hAnsi="Arial" w:cs="Arial"/>
          <w:color w:val="5C5C5C"/>
          <w:sz w:val="20"/>
          <w:szCs w:val="20"/>
          <w:lang w:eastAsia="en-IN"/>
        </w:rPr>
      </w:pPr>
      <w:r w:rsidRPr="00847572">
        <w:rPr>
          <w:rFonts w:ascii="Arial" w:eastAsia="Times New Roman" w:hAnsi="Arial" w:cs="Arial"/>
          <w:color w:val="5C5C5C"/>
          <w:sz w:val="20"/>
          <w:szCs w:val="20"/>
          <w:lang w:eastAsia="en-IN"/>
        </w:rPr>
        <w:t> </w:t>
      </w:r>
    </w:p>
    <w:p w:rsidR="00DF0391" w:rsidRPr="00822399" w:rsidRDefault="00847572" w:rsidP="00847572">
      <w:pPr>
        <w:pStyle w:val="Heading1"/>
        <w:rPr>
          <w:rFonts w:asciiTheme="minorHAnsi" w:hAnsiTheme="minorHAnsi"/>
        </w:rPr>
      </w:pPr>
      <w:bookmarkStart w:id="2" w:name="_Toc458520014"/>
      <w:r w:rsidRPr="00822399">
        <w:rPr>
          <w:rFonts w:asciiTheme="minorHAnsi" w:hAnsiTheme="minorHAnsi"/>
        </w:rPr>
        <w:t>What is the List of Excluded Individuals/Entities (LEIE)?</w:t>
      </w:r>
      <w:bookmarkEnd w:id="2"/>
    </w:p>
    <w:p w:rsidR="00847572" w:rsidRDefault="00847572" w:rsidP="00847572">
      <w:pPr>
        <w:rPr>
          <w:rFonts w:ascii="Arial" w:hAnsi="Arial" w:cs="Arial"/>
        </w:rPr>
      </w:pPr>
      <w:r w:rsidRPr="00847572">
        <w:rPr>
          <w:rFonts w:ascii="Arial" w:hAnsi="Arial" w:cs="Arial"/>
        </w:rPr>
        <w:t>The Office of the Inspector General’s (OIG) List of Excluded Individuals/Entities (LEIE) provides information to the health care industry, patients and the public regarding individuals and entities currently excluded from participation in Medicare, Medicaid and all other Federal health care programs.</w:t>
      </w:r>
    </w:p>
    <w:p w:rsidR="00847572" w:rsidRPr="00822399" w:rsidRDefault="00847572" w:rsidP="00847572">
      <w:pPr>
        <w:pStyle w:val="Heading2"/>
        <w:rPr>
          <w:rFonts w:ascii="Arial" w:hAnsi="Arial" w:cs="Arial"/>
          <w:sz w:val="24"/>
          <w:szCs w:val="24"/>
        </w:rPr>
      </w:pPr>
      <w:bookmarkStart w:id="3" w:name="_Toc458520015"/>
      <w:r w:rsidRPr="00822399">
        <w:rPr>
          <w:rFonts w:ascii="Arial" w:hAnsi="Arial" w:cs="Arial"/>
          <w:sz w:val="24"/>
          <w:szCs w:val="24"/>
        </w:rPr>
        <w:t>Types of Exclusion:</w:t>
      </w:r>
      <w:bookmarkEnd w:id="3"/>
      <w:r w:rsidRPr="00822399">
        <w:rPr>
          <w:rFonts w:ascii="Arial" w:hAnsi="Arial" w:cs="Arial"/>
          <w:sz w:val="24"/>
          <w:szCs w:val="24"/>
        </w:rPr>
        <w:t xml:space="preserve"> </w:t>
      </w:r>
    </w:p>
    <w:p w:rsidR="00847572" w:rsidRPr="00847572" w:rsidRDefault="00847572" w:rsidP="00847572">
      <w:pPr>
        <w:spacing w:after="0" w:line="240" w:lineRule="auto"/>
        <w:rPr>
          <w:rFonts w:ascii="Times New Roman" w:eastAsia="Times New Roman" w:hAnsi="Times New Roman" w:cs="Times New Roman"/>
          <w:color w:val="000000" w:themeColor="text1"/>
          <w:lang w:eastAsia="en-IN"/>
        </w:rPr>
      </w:pPr>
      <w:r w:rsidRPr="00847572">
        <w:rPr>
          <w:rFonts w:ascii="Arial" w:eastAsia="Times New Roman" w:hAnsi="Arial" w:cs="Arial"/>
          <w:color w:val="000000" w:themeColor="text1"/>
          <w:shd w:val="clear" w:color="auto" w:fill="FFFFFF"/>
          <w:lang w:eastAsia="en-IN"/>
        </w:rPr>
        <w:t>There are two types of exclusions: permissive and mandatory.</w:t>
      </w:r>
      <w:r w:rsidRPr="00847572">
        <w:rPr>
          <w:rFonts w:ascii="Arial" w:eastAsia="Times New Roman" w:hAnsi="Arial" w:cs="Arial"/>
          <w:color w:val="000000" w:themeColor="text1"/>
          <w:lang w:eastAsia="en-IN"/>
        </w:rPr>
        <w:br/>
      </w:r>
    </w:p>
    <w:tbl>
      <w:tblPr>
        <w:tblW w:w="10490"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320"/>
        <w:gridCol w:w="10170"/>
      </w:tblGrid>
      <w:tr w:rsidR="00847572" w:rsidRPr="00847572" w:rsidTr="00847572">
        <w:trPr>
          <w:tblCellSpacing w:w="15" w:type="dxa"/>
        </w:trPr>
        <w:tc>
          <w:tcPr>
            <w:tcW w:w="275" w:type="dxa"/>
            <w:shd w:val="clear" w:color="auto" w:fill="FFFFFF"/>
            <w:hideMark/>
          </w:tcPr>
          <w:p w:rsidR="00847572" w:rsidRPr="00847572" w:rsidRDefault="00847572" w:rsidP="00847572">
            <w:pPr>
              <w:spacing w:after="0" w:line="240" w:lineRule="atLeast"/>
              <w:rPr>
                <w:rFonts w:ascii="Arial" w:eastAsia="Times New Roman" w:hAnsi="Arial" w:cs="Arial"/>
                <w:color w:val="000000" w:themeColor="text1"/>
                <w:lang w:eastAsia="en-IN"/>
              </w:rPr>
            </w:pPr>
            <w:r w:rsidRPr="00847572">
              <w:rPr>
                <w:rFonts w:ascii="Arial" w:eastAsia="Times New Roman" w:hAnsi="Arial" w:cs="Arial"/>
                <w:color w:val="000000" w:themeColor="text1"/>
                <w:lang w:eastAsia="en-IN"/>
              </w:rPr>
              <w:t>    </w:t>
            </w:r>
          </w:p>
        </w:tc>
        <w:tc>
          <w:tcPr>
            <w:tcW w:w="10125" w:type="dxa"/>
            <w:shd w:val="clear" w:color="auto" w:fill="FFFFFF"/>
            <w:hideMark/>
          </w:tcPr>
          <w:p w:rsidR="00847572" w:rsidRPr="00847572" w:rsidRDefault="00847572" w:rsidP="00A30AFB">
            <w:pPr>
              <w:spacing w:after="100" w:afterAutospacing="1" w:line="240" w:lineRule="atLeast"/>
              <w:rPr>
                <w:rFonts w:ascii="Arial" w:eastAsia="Times New Roman" w:hAnsi="Arial" w:cs="Arial"/>
                <w:color w:val="000000" w:themeColor="text1"/>
                <w:lang w:eastAsia="en-IN"/>
              </w:rPr>
            </w:pPr>
            <w:bookmarkStart w:id="4" w:name="_Toc458520016"/>
            <w:r w:rsidRPr="00822399">
              <w:rPr>
                <w:rStyle w:val="Heading3Char"/>
                <w:rFonts w:ascii="Arial" w:hAnsi="Arial" w:cs="Arial"/>
                <w:sz w:val="22"/>
                <w:szCs w:val="22"/>
                <w:lang w:eastAsia="en-IN"/>
              </w:rPr>
              <w:t>Permissive exclusions</w:t>
            </w:r>
            <w:bookmarkEnd w:id="4"/>
            <w:r w:rsidRPr="00847572">
              <w:rPr>
                <w:rFonts w:ascii="Arial" w:eastAsia="Times New Roman" w:hAnsi="Arial" w:cs="Arial"/>
                <w:b/>
                <w:color w:val="000000" w:themeColor="text1"/>
                <w:lang w:eastAsia="en-IN"/>
              </w:rPr>
              <w:t>:</w:t>
            </w:r>
            <w:r w:rsidRPr="00847572">
              <w:rPr>
                <w:rFonts w:ascii="Arial" w:eastAsia="Times New Roman" w:hAnsi="Arial" w:cs="Arial"/>
                <w:color w:val="000000" w:themeColor="text1"/>
                <w:lang w:eastAsia="en-IN"/>
              </w:rPr>
              <w:t>  the OIG has discretionary authority to exclude individuals and entities from participation in all Federal health care programs for a number of reasons, including but not limited to misdemeanour convictions relating to the unlawful manufacture, distribution, prescription, or dispensing of controlled substances; suspension, revocation, or surrender of a license to provide health care for reasons bearing on professional competence or financial integrity; submission of false or fraudulent claims to a Federal health care program; defaulting on health education loan or scholarship obligations; and controlling a sanctioned entity as an manager, officer, or owner.</w:t>
            </w:r>
            <w:r w:rsidRPr="00847572">
              <w:rPr>
                <w:rFonts w:ascii="Arial" w:eastAsia="Times New Roman" w:hAnsi="Arial" w:cs="Arial"/>
                <w:color w:val="000000" w:themeColor="text1"/>
                <w:lang w:eastAsia="en-IN"/>
              </w:rPr>
              <w:br/>
            </w:r>
            <w:r w:rsidRPr="00847572">
              <w:rPr>
                <w:rFonts w:ascii="Arial" w:eastAsia="Times New Roman" w:hAnsi="Arial" w:cs="Arial"/>
                <w:color w:val="000000" w:themeColor="text1"/>
                <w:lang w:eastAsia="en-IN"/>
              </w:rPr>
              <w:br/>
            </w:r>
          </w:p>
        </w:tc>
      </w:tr>
      <w:tr w:rsidR="00847572" w:rsidRPr="00847572" w:rsidTr="00847572">
        <w:trPr>
          <w:trHeight w:val="2102"/>
          <w:tblCellSpacing w:w="15" w:type="dxa"/>
        </w:trPr>
        <w:tc>
          <w:tcPr>
            <w:tcW w:w="275" w:type="dxa"/>
            <w:shd w:val="clear" w:color="auto" w:fill="FFFFFF"/>
            <w:hideMark/>
          </w:tcPr>
          <w:p w:rsidR="00847572" w:rsidRPr="00847572" w:rsidRDefault="00847572" w:rsidP="00847572">
            <w:pPr>
              <w:spacing w:after="0" w:line="240" w:lineRule="atLeast"/>
              <w:rPr>
                <w:rFonts w:ascii="Arial" w:eastAsia="Times New Roman" w:hAnsi="Arial" w:cs="Arial"/>
                <w:color w:val="000000" w:themeColor="text1"/>
                <w:lang w:eastAsia="en-IN"/>
              </w:rPr>
            </w:pPr>
            <w:r w:rsidRPr="00847572">
              <w:rPr>
                <w:rFonts w:ascii="Arial" w:eastAsia="Times New Roman" w:hAnsi="Arial" w:cs="Arial"/>
                <w:color w:val="000000" w:themeColor="text1"/>
                <w:lang w:eastAsia="en-IN"/>
              </w:rPr>
              <w:t> </w:t>
            </w:r>
          </w:p>
        </w:tc>
        <w:tc>
          <w:tcPr>
            <w:tcW w:w="10125" w:type="dxa"/>
            <w:shd w:val="clear" w:color="auto" w:fill="FFFFFF"/>
            <w:hideMark/>
          </w:tcPr>
          <w:p w:rsidR="00847572" w:rsidRDefault="00847572" w:rsidP="00847572">
            <w:pPr>
              <w:spacing w:after="0" w:line="240" w:lineRule="atLeast"/>
              <w:rPr>
                <w:rFonts w:ascii="Arial" w:eastAsia="Times New Roman" w:hAnsi="Arial" w:cs="Arial"/>
                <w:color w:val="000000" w:themeColor="text1"/>
                <w:lang w:eastAsia="en-IN"/>
              </w:rPr>
            </w:pPr>
            <w:bookmarkStart w:id="5" w:name="_Toc458520017"/>
            <w:r w:rsidRPr="00822399">
              <w:rPr>
                <w:rStyle w:val="Heading3Char"/>
                <w:rFonts w:ascii="Arial" w:hAnsi="Arial" w:cs="Arial"/>
                <w:sz w:val="22"/>
                <w:szCs w:val="22"/>
                <w:lang w:eastAsia="en-IN"/>
              </w:rPr>
              <w:t>Mandatory exclusions</w:t>
            </w:r>
            <w:bookmarkEnd w:id="5"/>
            <w:r w:rsidRPr="00847572">
              <w:rPr>
                <w:rFonts w:ascii="Arial" w:eastAsia="Times New Roman" w:hAnsi="Arial" w:cs="Arial"/>
                <w:b/>
                <w:color w:val="000000" w:themeColor="text1"/>
                <w:lang w:eastAsia="en-IN"/>
              </w:rPr>
              <w:t>:</w:t>
            </w:r>
            <w:r w:rsidRPr="00847572">
              <w:rPr>
                <w:rFonts w:ascii="Arial" w:eastAsia="Times New Roman" w:hAnsi="Arial" w:cs="Arial"/>
                <w:color w:val="000000" w:themeColor="text1"/>
                <w:lang w:eastAsia="en-IN"/>
              </w:rPr>
              <w:t>  the OIG is required by law to exclude from participation in all Federal health care programs individuals and entities on a number of grounds, including but not limited to conviction of Medicare or Medicaid fraud; patient abuse or neglect; felony convictions for other health care-related fraud, theft, or other financial misconduct; and felony convictions relating to unlawful manufacture, distribution, prescription, or dispensing of controlled substances. </w:t>
            </w:r>
          </w:p>
          <w:p w:rsidR="00847572" w:rsidRDefault="00847572" w:rsidP="00847572">
            <w:pPr>
              <w:spacing w:after="0" w:line="240" w:lineRule="atLeast"/>
              <w:rPr>
                <w:rFonts w:ascii="Arial" w:eastAsia="Times New Roman" w:hAnsi="Arial" w:cs="Arial"/>
                <w:color w:val="000000" w:themeColor="text1"/>
                <w:lang w:eastAsia="en-IN"/>
              </w:rPr>
            </w:pPr>
          </w:p>
          <w:p w:rsidR="00847572" w:rsidRPr="00847572" w:rsidRDefault="00847572" w:rsidP="00847572">
            <w:pPr>
              <w:pStyle w:val="Heading1"/>
              <w:rPr>
                <w:rFonts w:asciiTheme="minorHAnsi" w:eastAsia="Times New Roman" w:hAnsiTheme="minorHAnsi" w:cs="Arial"/>
                <w:color w:val="000000" w:themeColor="text1"/>
                <w:sz w:val="22"/>
                <w:szCs w:val="22"/>
                <w:lang w:eastAsia="en-IN"/>
              </w:rPr>
            </w:pPr>
            <w:bookmarkStart w:id="6" w:name="_Toc458520018"/>
            <w:r w:rsidRPr="00847572">
              <w:rPr>
                <w:rFonts w:asciiTheme="minorHAnsi" w:hAnsiTheme="minorHAnsi"/>
              </w:rPr>
              <w:t>What is the extent and effect of LEIE exclusion?</w:t>
            </w:r>
            <w:bookmarkEnd w:id="6"/>
          </w:p>
        </w:tc>
      </w:tr>
    </w:tbl>
    <w:p w:rsidR="00847572" w:rsidRDefault="00847572" w:rsidP="00A30AFB">
      <w:pPr>
        <w:spacing w:after="0"/>
        <w:rPr>
          <w:rFonts w:ascii="Arial" w:hAnsi="Arial" w:cs="Arial"/>
          <w:color w:val="000000" w:themeColor="text1"/>
        </w:rPr>
      </w:pPr>
      <w:r w:rsidRPr="00847572">
        <w:rPr>
          <w:rFonts w:ascii="Arial" w:hAnsi="Arial" w:cs="Arial"/>
          <w:color w:val="000000" w:themeColor="text1"/>
        </w:rPr>
        <w:t>The scope of exclusion is from all Federal health care programs including:</w:t>
      </w:r>
    </w:p>
    <w:p w:rsidR="00847572" w:rsidRDefault="00847572" w:rsidP="00847572">
      <w:pPr>
        <w:spacing w:after="0"/>
        <w:rPr>
          <w:rFonts w:ascii="Arial" w:hAnsi="Arial" w:cs="Arial"/>
          <w:color w:val="000000" w:themeColor="text1"/>
        </w:rPr>
      </w:pPr>
      <w:r w:rsidRPr="00847572">
        <w:rPr>
          <w:rFonts w:ascii="Arial" w:hAnsi="Arial" w:cs="Arial"/>
          <w:color w:val="000000" w:themeColor="text1"/>
        </w:rPr>
        <w:t xml:space="preserve"> • Medicare</w:t>
      </w:r>
    </w:p>
    <w:p w:rsidR="00847572" w:rsidRDefault="00847572" w:rsidP="00847572">
      <w:pPr>
        <w:spacing w:after="0"/>
        <w:rPr>
          <w:rFonts w:ascii="Arial" w:hAnsi="Arial" w:cs="Arial"/>
          <w:color w:val="000000" w:themeColor="text1"/>
        </w:rPr>
      </w:pPr>
      <w:r w:rsidRPr="00847572">
        <w:rPr>
          <w:rFonts w:ascii="Arial" w:hAnsi="Arial" w:cs="Arial"/>
          <w:color w:val="000000" w:themeColor="text1"/>
        </w:rPr>
        <w:t xml:space="preserve"> • Medicaid, and </w:t>
      </w:r>
    </w:p>
    <w:p w:rsidR="00847572" w:rsidRDefault="00847572" w:rsidP="00847572">
      <w:pPr>
        <w:spacing w:after="0"/>
        <w:rPr>
          <w:rFonts w:ascii="Arial" w:hAnsi="Arial" w:cs="Arial"/>
          <w:color w:val="000000" w:themeColor="text1"/>
        </w:rPr>
      </w:pPr>
      <w:r>
        <w:rPr>
          <w:rFonts w:ascii="Arial" w:hAnsi="Arial" w:cs="Arial"/>
          <w:color w:val="000000" w:themeColor="text1"/>
        </w:rPr>
        <w:t xml:space="preserve"> </w:t>
      </w:r>
      <w:r w:rsidRPr="00847572">
        <w:rPr>
          <w:rFonts w:ascii="Arial" w:hAnsi="Arial" w:cs="Arial"/>
          <w:color w:val="000000" w:themeColor="text1"/>
        </w:rPr>
        <w:t>• All other plans and programs that provide health benefits funded directly or indirectly by the United States (other than the Federal Employees Health Benefits Plan)</w:t>
      </w:r>
    </w:p>
    <w:p w:rsidR="00A30AFB" w:rsidRDefault="00A30AFB" w:rsidP="00847572">
      <w:pPr>
        <w:spacing w:after="0"/>
        <w:rPr>
          <w:rFonts w:ascii="Arial" w:hAnsi="Arial" w:cs="Arial"/>
          <w:color w:val="000000" w:themeColor="text1"/>
        </w:rPr>
      </w:pPr>
    </w:p>
    <w:p w:rsidR="00A30AFB" w:rsidRDefault="00A30AFB" w:rsidP="00847572">
      <w:pPr>
        <w:spacing w:after="0"/>
      </w:pPr>
      <w:r w:rsidRPr="00A30AFB">
        <w:rPr>
          <w:rFonts w:ascii="Arial" w:hAnsi="Arial" w:cs="Arial"/>
          <w:color w:val="000000" w:themeColor="text1"/>
        </w:rPr>
        <w:t>The effect of exclusion is that no payment will be made by any Federal health care program for any items or services furnished, ordered or prescribed by an excluded individual or entity.</w:t>
      </w:r>
      <w:r w:rsidRPr="00A30AFB">
        <w:t xml:space="preserve"> </w:t>
      </w:r>
      <w:r>
        <w:t xml:space="preserve">This payment prohibition applies to: </w:t>
      </w:r>
    </w:p>
    <w:p w:rsidR="00A30AFB" w:rsidRDefault="00A30AFB" w:rsidP="00847572">
      <w:pPr>
        <w:spacing w:after="0"/>
      </w:pPr>
      <w:r>
        <w:t xml:space="preserve">• The excluded person, </w:t>
      </w:r>
    </w:p>
    <w:p w:rsidR="00A30AFB" w:rsidRDefault="00A30AFB" w:rsidP="00847572">
      <w:pPr>
        <w:spacing w:after="0"/>
      </w:pPr>
      <w:r>
        <w:lastRenderedPageBreak/>
        <w:t xml:space="preserve">• Anyone who employs or contracts with the excluded person. </w:t>
      </w:r>
    </w:p>
    <w:p w:rsidR="00A30AFB" w:rsidRDefault="00A30AFB" w:rsidP="00847572">
      <w:pPr>
        <w:spacing w:after="0"/>
      </w:pPr>
      <w:r>
        <w:t xml:space="preserve">• Any hospital or other provider for which the excluded person provides services, and </w:t>
      </w:r>
    </w:p>
    <w:p w:rsidR="00A30AFB" w:rsidRDefault="00A30AFB" w:rsidP="00847572">
      <w:pPr>
        <w:spacing w:after="0"/>
      </w:pPr>
      <w:r>
        <w:t>• Anyone else.</w:t>
      </w:r>
    </w:p>
    <w:p w:rsidR="00A30AFB" w:rsidRDefault="00A30AFB" w:rsidP="00A30AFB">
      <w:pPr>
        <w:pStyle w:val="Heading1"/>
        <w:rPr>
          <w:rFonts w:asciiTheme="minorHAnsi" w:hAnsiTheme="minorHAnsi"/>
        </w:rPr>
      </w:pPr>
      <w:bookmarkStart w:id="7" w:name="_Toc458520019"/>
      <w:r w:rsidRPr="00A30AFB">
        <w:rPr>
          <w:rFonts w:asciiTheme="minorHAnsi" w:hAnsiTheme="minorHAnsi"/>
        </w:rPr>
        <w:t>What happens if a claim is submitted from an excluded individual/entity?</w:t>
      </w:r>
      <w:bookmarkEnd w:id="7"/>
    </w:p>
    <w:p w:rsidR="008076CE" w:rsidRPr="00A41745" w:rsidRDefault="008076CE" w:rsidP="00A41745">
      <w:pPr>
        <w:pStyle w:val="Heading2"/>
        <w:rPr>
          <w:rFonts w:ascii="Arial" w:hAnsi="Arial" w:cs="Arial"/>
          <w:sz w:val="24"/>
          <w:szCs w:val="24"/>
        </w:rPr>
      </w:pPr>
      <w:bookmarkStart w:id="8" w:name="_Toc458520020"/>
      <w:r w:rsidRPr="00A41745">
        <w:rPr>
          <w:rFonts w:ascii="Arial" w:hAnsi="Arial" w:cs="Arial"/>
          <w:sz w:val="24"/>
          <w:szCs w:val="24"/>
        </w:rPr>
        <w:t>Financial penalties:</w:t>
      </w:r>
      <w:bookmarkEnd w:id="8"/>
      <w:r w:rsidRPr="00A41745">
        <w:rPr>
          <w:rFonts w:ascii="Arial" w:hAnsi="Arial" w:cs="Arial"/>
          <w:sz w:val="24"/>
          <w:szCs w:val="24"/>
        </w:rPr>
        <w:t xml:space="preserve"> </w:t>
      </w:r>
    </w:p>
    <w:p w:rsidR="008076CE" w:rsidRDefault="008076CE" w:rsidP="00A30AFB">
      <w:r>
        <w:t xml:space="preserve">• An excluded person that submits a claim for payment to a Federal health care program, or causes such a claim to be submitted, may be subject to civil monetary penalties (CMP) of $10,000 for each claimed item or service furnished during the period that the person was excluded. </w:t>
      </w:r>
    </w:p>
    <w:p w:rsidR="008076CE" w:rsidRDefault="008076CE" w:rsidP="00A30AFB">
      <w:r>
        <w:t xml:space="preserve">• The person may also be subject to an assessment of up to three times the amount claimed for each item or service. </w:t>
      </w:r>
    </w:p>
    <w:p w:rsidR="00A30AFB" w:rsidRDefault="008076CE" w:rsidP="00A30AFB">
      <w:r>
        <w:t>• An excluded person may be civilly liable under the False Claims Act for knowingly presenting or causing to be presented a false or fraudulent claim for payment.</w:t>
      </w:r>
    </w:p>
    <w:p w:rsidR="008076CE" w:rsidRDefault="008076CE" w:rsidP="008076CE">
      <w:pPr>
        <w:pStyle w:val="Heading1"/>
        <w:rPr>
          <w:rFonts w:asciiTheme="minorHAnsi" w:hAnsiTheme="minorHAnsi"/>
        </w:rPr>
      </w:pPr>
      <w:bookmarkStart w:id="9" w:name="_Toc458520021"/>
      <w:r w:rsidRPr="008076CE">
        <w:rPr>
          <w:rFonts w:asciiTheme="minorHAnsi" w:hAnsiTheme="minorHAnsi"/>
        </w:rPr>
        <w:t>What happens if a health care provider contracts with an excluded individual for services?</w:t>
      </w:r>
      <w:bookmarkEnd w:id="9"/>
    </w:p>
    <w:p w:rsidR="008076CE" w:rsidRDefault="008076CE" w:rsidP="008076CE">
      <w:r>
        <w:t>• If a health care provider arranges or contracts (by employment or otherwise) with a person that the provider knows or should know is excluded by OIG, the provider may be subject to CMP liability if the excluded person provides services payable, directly or indirectly, by a Federal health care program. OIG may impose CMPs of up to $10,000 for each item or service furnished by the excluded person for which Federal program payment is sought, as well as an assessment of up to three times the amount claimed, and program exclusion</w:t>
      </w:r>
    </w:p>
    <w:p w:rsidR="008076CE" w:rsidRPr="00A41745" w:rsidRDefault="008076CE" w:rsidP="00A41745">
      <w:pPr>
        <w:pStyle w:val="Heading2"/>
        <w:rPr>
          <w:rFonts w:ascii="Arial" w:hAnsi="Arial" w:cs="Arial"/>
          <w:sz w:val="24"/>
          <w:szCs w:val="24"/>
        </w:rPr>
      </w:pPr>
      <w:bookmarkStart w:id="10" w:name="_Toc458520022"/>
      <w:r w:rsidRPr="00A41745">
        <w:rPr>
          <w:rFonts w:ascii="Arial" w:hAnsi="Arial" w:cs="Arial"/>
          <w:sz w:val="24"/>
          <w:szCs w:val="24"/>
        </w:rPr>
        <w:t>Criminal penalties:</w:t>
      </w:r>
      <w:bookmarkEnd w:id="10"/>
      <w:r w:rsidRPr="00A41745">
        <w:rPr>
          <w:rFonts w:ascii="Arial" w:hAnsi="Arial" w:cs="Arial"/>
          <w:sz w:val="24"/>
          <w:szCs w:val="24"/>
        </w:rPr>
        <w:t xml:space="preserve"> </w:t>
      </w:r>
    </w:p>
    <w:p w:rsidR="008076CE" w:rsidRDefault="008076CE" w:rsidP="008076CE">
      <w:r>
        <w:t>• Violation of an exclusion is grounds for OIG to deny reinstatement to Federal health care programs. Such exclusion violations may lead to criminal prosecutions or civil actions in addition to the CMPs for violation of OIG exclusion. An excluded person that knowingly conceals or fails to disclose any action affecting the ability to receive any benefit or payment with the intent to fraudulently receive such benefit or payment may be subject to criminal liability. Other criminal statutes may also apply to such violations.</w:t>
      </w:r>
    </w:p>
    <w:p w:rsidR="008076CE" w:rsidRDefault="008076CE" w:rsidP="008076CE">
      <w:bookmarkStart w:id="11" w:name="_Toc458520023"/>
      <w:r w:rsidRPr="008076CE">
        <w:rPr>
          <w:rStyle w:val="Heading1Char"/>
          <w:rFonts w:asciiTheme="minorHAnsi" w:hAnsiTheme="minorHAnsi"/>
        </w:rPr>
        <w:t>How Often Should Exclusion Checks Be Done?</w:t>
      </w:r>
      <w:bookmarkEnd w:id="11"/>
      <w:r>
        <w:t xml:space="preserve"> </w:t>
      </w:r>
    </w:p>
    <w:p w:rsidR="008076CE" w:rsidRDefault="008076CE" w:rsidP="008076CE">
      <w:r>
        <w:t xml:space="preserve">While there is no statutory or regulatory requirement to check the LEIE, the OIG recommends that providers screen their employees, contractors and volunteers for exclusion prior to employment or engagement and on a monthly basis to minimize risk. </w:t>
      </w:r>
    </w:p>
    <w:p w:rsidR="008076CE" w:rsidRDefault="008076CE" w:rsidP="008076CE">
      <w:r>
        <w:t>While the OIG does not require monthly checks, they suggest it be done at this frequency as guidance. Providers that conduct monthly checks may be in a better position to defend situations in which excluded persons are discovered on their payrolls or among their vendors and other contractors.</w:t>
      </w:r>
    </w:p>
    <w:p w:rsidR="00BC4542" w:rsidRDefault="00BC4542" w:rsidP="00BC4542">
      <w:pPr>
        <w:pStyle w:val="Heading1"/>
        <w:rPr>
          <w:rFonts w:asciiTheme="minorHAnsi" w:hAnsiTheme="minorHAnsi"/>
        </w:rPr>
      </w:pPr>
      <w:bookmarkStart w:id="12" w:name="_Toc458520024"/>
      <w:r w:rsidRPr="00BC4542">
        <w:rPr>
          <w:rFonts w:asciiTheme="minorHAnsi" w:hAnsiTheme="minorHAnsi"/>
        </w:rPr>
        <w:lastRenderedPageBreak/>
        <w:t>Reinstatement</w:t>
      </w:r>
      <w:bookmarkEnd w:id="12"/>
    </w:p>
    <w:p w:rsidR="00BC4542" w:rsidRPr="00BC4542" w:rsidRDefault="00BC4542" w:rsidP="00BC4542">
      <w:r w:rsidRPr="00BC4542">
        <w:rPr>
          <w:rFonts w:ascii="Arial" w:hAnsi="Arial" w:cs="Arial"/>
          <w:shd w:val="clear" w:color="auto" w:fill="F6F6F6"/>
        </w:rPr>
        <w:t>Reinstatement of excluded entities and individuals is not automatic once the specified period of exclusion ends. Those wishing to again participate in the Medicare, Medicaid and all Federal health care programs must apply for reinstatement and receive authorized notice from OIG that reinstatement has been granted.</w:t>
      </w:r>
    </w:p>
    <w:p w:rsidR="00BC4542" w:rsidRDefault="00BC4542" w:rsidP="00BC4542">
      <w:pPr>
        <w:pStyle w:val="Heading2"/>
        <w:rPr>
          <w:rFonts w:ascii="Arial" w:hAnsi="Arial" w:cs="Arial"/>
          <w:sz w:val="24"/>
          <w:szCs w:val="24"/>
        </w:rPr>
      </w:pPr>
      <w:r>
        <w:t xml:space="preserve"> </w:t>
      </w:r>
      <w:bookmarkStart w:id="13" w:name="_Toc458520025"/>
      <w:r w:rsidRPr="00BC4542">
        <w:rPr>
          <w:rFonts w:ascii="Arial" w:hAnsi="Arial" w:cs="Arial"/>
          <w:sz w:val="24"/>
          <w:szCs w:val="24"/>
        </w:rPr>
        <w:t>Applying for Reinstatement</w:t>
      </w:r>
      <w:bookmarkEnd w:id="13"/>
    </w:p>
    <w:p w:rsidR="00BC4542" w:rsidRPr="00BC4542" w:rsidRDefault="00BC4542" w:rsidP="00BC4542">
      <w:pPr>
        <w:shd w:val="clear" w:color="auto" w:fill="F6F6F6"/>
        <w:spacing w:after="0" w:line="270" w:lineRule="atLeast"/>
        <w:rPr>
          <w:rFonts w:ascii="Arial" w:eastAsia="Times New Roman" w:hAnsi="Arial" w:cs="Arial"/>
          <w:lang w:eastAsia="en-IN"/>
        </w:rPr>
      </w:pPr>
      <w:r w:rsidRPr="00BC4542">
        <w:rPr>
          <w:rFonts w:ascii="Arial" w:eastAsia="Times New Roman" w:hAnsi="Arial" w:cs="Arial"/>
          <w:lang w:eastAsia="en-IN"/>
        </w:rPr>
        <w:t>To apply for reinstatement, send a written request to OIG at the address below. OIG will then provide Statement and Authorization forms that you must complete, have notarized and return. The information contained in these forms will be evaluated and a written notification of OIG’s final decision on reinstatement will be sent to you. Generally, this process requires up to 120 days to complete, but can take longer.</w:t>
      </w:r>
    </w:p>
    <w:p w:rsidR="00BC4542" w:rsidRPr="00BC4542" w:rsidRDefault="00BC4542" w:rsidP="00BC4542">
      <w:pPr>
        <w:shd w:val="clear" w:color="auto" w:fill="F6F6F6"/>
        <w:spacing w:after="0" w:line="270" w:lineRule="atLeast"/>
        <w:rPr>
          <w:rFonts w:ascii="Arial" w:eastAsia="Times New Roman" w:hAnsi="Arial" w:cs="Arial"/>
          <w:lang w:eastAsia="en-IN"/>
        </w:rPr>
      </w:pPr>
      <w:r w:rsidRPr="00BC4542">
        <w:rPr>
          <w:rFonts w:ascii="Arial" w:eastAsia="Times New Roman" w:hAnsi="Arial" w:cs="Arial"/>
          <w:lang w:eastAsia="en-IN"/>
        </w:rPr>
        <w:t>Excluded providers may begin the process of reinstatement 90 days before the end of the period specified in the exclusion notice letter. Premature requests will not be considered.</w:t>
      </w:r>
    </w:p>
    <w:p w:rsidR="00BC4542" w:rsidRDefault="00BC4542" w:rsidP="00BC4542">
      <w:pPr>
        <w:shd w:val="clear" w:color="auto" w:fill="F6F6F6"/>
        <w:spacing w:after="0" w:line="270" w:lineRule="atLeast"/>
        <w:rPr>
          <w:rFonts w:ascii="Arial" w:eastAsia="Times New Roman" w:hAnsi="Arial" w:cs="Arial"/>
          <w:lang w:eastAsia="en-IN"/>
        </w:rPr>
      </w:pPr>
      <w:r w:rsidRPr="00BC4542">
        <w:rPr>
          <w:rFonts w:ascii="Arial" w:eastAsia="Times New Roman" w:hAnsi="Arial" w:cs="Arial"/>
          <w:lang w:eastAsia="en-IN"/>
        </w:rPr>
        <w:t>If reinstatement is denied, the excluded party is eligible to reapply after one year.</w:t>
      </w:r>
    </w:p>
    <w:p w:rsidR="00822399" w:rsidRPr="00BC4542" w:rsidRDefault="00822399" w:rsidP="00BC4542">
      <w:pPr>
        <w:shd w:val="clear" w:color="auto" w:fill="F6F6F6"/>
        <w:spacing w:after="0" w:line="270" w:lineRule="atLeast"/>
        <w:rPr>
          <w:rFonts w:ascii="Arial" w:eastAsia="Times New Roman" w:hAnsi="Arial" w:cs="Arial"/>
          <w:lang w:eastAsia="en-IN"/>
        </w:rPr>
      </w:pPr>
    </w:p>
    <w:p w:rsidR="00BC4542" w:rsidRPr="00BC4542" w:rsidRDefault="00BC4542" w:rsidP="00BC4542">
      <w:pPr>
        <w:shd w:val="clear" w:color="auto" w:fill="F6F6F6"/>
        <w:spacing w:after="0" w:line="270" w:lineRule="atLeast"/>
        <w:rPr>
          <w:rFonts w:ascii="Arial" w:eastAsia="Times New Roman" w:hAnsi="Arial" w:cs="Arial"/>
          <w:lang w:eastAsia="en-IN"/>
        </w:rPr>
      </w:pPr>
      <w:r w:rsidRPr="00BC4542">
        <w:rPr>
          <w:rFonts w:ascii="Arial" w:eastAsia="Times New Roman" w:hAnsi="Arial" w:cs="Arial"/>
          <w:lang w:eastAsia="en-IN"/>
        </w:rPr>
        <w:t>To apply for reinstatement, send a written request to:</w:t>
      </w:r>
    </w:p>
    <w:p w:rsidR="00BC4542" w:rsidRPr="00BC4542" w:rsidRDefault="00BC4542" w:rsidP="00BC4542">
      <w:pPr>
        <w:shd w:val="clear" w:color="auto" w:fill="FFFFFF"/>
        <w:spacing w:line="270" w:lineRule="atLeast"/>
        <w:rPr>
          <w:rFonts w:ascii="Arial" w:eastAsia="Times New Roman" w:hAnsi="Arial" w:cs="Arial"/>
          <w:lang w:eastAsia="en-IN"/>
        </w:rPr>
      </w:pPr>
      <w:r w:rsidRPr="00BC4542">
        <w:rPr>
          <w:rFonts w:ascii="Arial" w:eastAsia="Times New Roman" w:hAnsi="Arial" w:cs="Arial"/>
          <w:lang w:eastAsia="en-IN"/>
        </w:rPr>
        <w:t>HHS, OIG, OI</w:t>
      </w:r>
      <w:r w:rsidRPr="00BC4542">
        <w:rPr>
          <w:rFonts w:ascii="Arial" w:eastAsia="Times New Roman" w:hAnsi="Arial" w:cs="Arial"/>
          <w:lang w:eastAsia="en-IN"/>
        </w:rPr>
        <w:br/>
        <w:t>Attn: Exclusions</w:t>
      </w:r>
      <w:r w:rsidRPr="00BC4542">
        <w:rPr>
          <w:rFonts w:ascii="Arial" w:eastAsia="Times New Roman" w:hAnsi="Arial" w:cs="Arial"/>
          <w:lang w:eastAsia="en-IN"/>
        </w:rPr>
        <w:br/>
        <w:t>P.O. Box 23871</w:t>
      </w:r>
      <w:r w:rsidRPr="00BC4542">
        <w:rPr>
          <w:rFonts w:ascii="Arial" w:eastAsia="Times New Roman" w:hAnsi="Arial" w:cs="Arial"/>
          <w:lang w:eastAsia="en-IN"/>
        </w:rPr>
        <w:br/>
        <w:t>Washington, DC 20026</w:t>
      </w:r>
      <w:r w:rsidRPr="00BC4542">
        <w:rPr>
          <w:rFonts w:ascii="Arial" w:eastAsia="Times New Roman" w:hAnsi="Arial" w:cs="Arial"/>
          <w:lang w:eastAsia="en-IN"/>
        </w:rPr>
        <w:br/>
        <w:t>Fax: (202) 691-2298 </w:t>
      </w:r>
    </w:p>
    <w:p w:rsidR="00BC4542" w:rsidRPr="00BC4542" w:rsidRDefault="00BC4542" w:rsidP="00BC4542">
      <w:pPr>
        <w:pStyle w:val="Heading2"/>
        <w:rPr>
          <w:rFonts w:ascii="Arial" w:hAnsi="Arial" w:cs="Arial"/>
          <w:sz w:val="24"/>
          <w:szCs w:val="24"/>
        </w:rPr>
      </w:pPr>
    </w:p>
    <w:p w:rsidR="00BC4542" w:rsidRDefault="00BC4542" w:rsidP="008076CE"/>
    <w:p w:rsidR="008076CE" w:rsidRDefault="008076CE" w:rsidP="008076CE">
      <w:pPr>
        <w:pStyle w:val="Heading1"/>
        <w:rPr>
          <w:rFonts w:asciiTheme="minorHAnsi" w:hAnsiTheme="minorHAnsi"/>
        </w:rPr>
      </w:pPr>
      <w:bookmarkStart w:id="14" w:name="_Toc458520026"/>
      <w:r w:rsidRPr="008076CE">
        <w:rPr>
          <w:rFonts w:asciiTheme="minorHAnsi" w:hAnsiTheme="minorHAnsi"/>
        </w:rPr>
        <w:t>Input Data:</w:t>
      </w:r>
      <w:bookmarkEnd w:id="14"/>
    </w:p>
    <w:p w:rsidR="008076CE" w:rsidRDefault="008076CE" w:rsidP="008076CE">
      <w:pPr>
        <w:pStyle w:val="ListParagraph"/>
        <w:numPr>
          <w:ilvl w:val="0"/>
          <w:numId w:val="1"/>
        </w:numPr>
      </w:pPr>
      <w:r>
        <w:t>It takes First Name and Last Name to search any data from the database.</w:t>
      </w:r>
    </w:p>
    <w:p w:rsidR="008076CE" w:rsidRDefault="008076CE" w:rsidP="008076CE">
      <w:pPr>
        <w:pStyle w:val="ListParagraph"/>
        <w:numPr>
          <w:ilvl w:val="0"/>
          <w:numId w:val="1"/>
        </w:numPr>
      </w:pPr>
      <w:r>
        <w:t>It accepts EIN and SSN to verify any provider details.</w:t>
      </w:r>
    </w:p>
    <w:p w:rsidR="008076CE" w:rsidRDefault="008076CE" w:rsidP="008076CE">
      <w:pPr>
        <w:pStyle w:val="ListParagraph"/>
      </w:pPr>
    </w:p>
    <w:p w:rsidR="008076CE" w:rsidRPr="00822399" w:rsidRDefault="008076CE" w:rsidP="008076CE">
      <w:pPr>
        <w:pStyle w:val="Heading1"/>
        <w:rPr>
          <w:rFonts w:asciiTheme="minorHAnsi" w:hAnsiTheme="minorHAnsi"/>
        </w:rPr>
      </w:pPr>
      <w:bookmarkStart w:id="15" w:name="_Toc458520027"/>
      <w:r w:rsidRPr="00822399">
        <w:rPr>
          <w:rFonts w:asciiTheme="minorHAnsi" w:hAnsiTheme="minorHAnsi"/>
        </w:rPr>
        <w:t>Output Data</w:t>
      </w:r>
      <w:r w:rsidR="00822399" w:rsidRPr="00822399">
        <w:rPr>
          <w:rFonts w:asciiTheme="minorHAnsi" w:hAnsiTheme="minorHAnsi"/>
        </w:rPr>
        <w:t>:</w:t>
      </w:r>
      <w:bookmarkEnd w:id="15"/>
    </w:p>
    <w:p w:rsidR="008076CE" w:rsidRDefault="008076CE" w:rsidP="008076CE">
      <w:pPr>
        <w:pStyle w:val="ListParagraph"/>
        <w:numPr>
          <w:ilvl w:val="0"/>
          <w:numId w:val="2"/>
        </w:numPr>
      </w:pPr>
      <w:r>
        <w:t>A complete database in CSV format or EXE|Zip format.</w:t>
      </w:r>
    </w:p>
    <w:p w:rsidR="008076CE" w:rsidRDefault="008076CE" w:rsidP="008076CE">
      <w:pPr>
        <w:pStyle w:val="ListParagraph"/>
        <w:numPr>
          <w:ilvl w:val="0"/>
          <w:numId w:val="2"/>
        </w:numPr>
      </w:pPr>
      <w:r>
        <w:t>Search result can be of individual provider or Organization.</w:t>
      </w:r>
    </w:p>
    <w:p w:rsidR="00822399" w:rsidRDefault="00822399" w:rsidP="008076CE">
      <w:pPr>
        <w:pStyle w:val="ListParagraph"/>
        <w:numPr>
          <w:ilvl w:val="0"/>
          <w:numId w:val="2"/>
        </w:numPr>
      </w:pPr>
      <w:r>
        <w:t>Database with the list of providers who are granted for reinstatement for each month.</w:t>
      </w:r>
    </w:p>
    <w:p w:rsidR="00BC4542" w:rsidRPr="008076CE" w:rsidRDefault="00BC4542" w:rsidP="00BC4542">
      <w:pPr>
        <w:pStyle w:val="ListParagraph"/>
      </w:pPr>
    </w:p>
    <w:sectPr w:rsidR="00BC4542" w:rsidRPr="008076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248AE"/>
    <w:multiLevelType w:val="hybridMultilevel"/>
    <w:tmpl w:val="247C1F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D0F0FEA"/>
    <w:multiLevelType w:val="hybridMultilevel"/>
    <w:tmpl w:val="511AD4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3999"/>
    <w:rsid w:val="00321121"/>
    <w:rsid w:val="004A4C37"/>
    <w:rsid w:val="005E2571"/>
    <w:rsid w:val="008076CE"/>
    <w:rsid w:val="00822399"/>
    <w:rsid w:val="00847572"/>
    <w:rsid w:val="00A23999"/>
    <w:rsid w:val="00A30AFB"/>
    <w:rsid w:val="00A41745"/>
    <w:rsid w:val="00BC4542"/>
    <w:rsid w:val="00DF0391"/>
    <w:rsid w:val="00EF18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237503"/>
  <w15:chartTrackingRefBased/>
  <w15:docId w15:val="{46D4B9D9-3069-4E01-9147-55CDE2F24A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757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A2399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unhideWhenUsed/>
    <w:qFormat/>
    <w:rsid w:val="00A4174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23999"/>
    <w:rPr>
      <w:rFonts w:ascii="Times New Roman" w:eastAsia="Times New Roman" w:hAnsi="Times New Roman" w:cs="Times New Roman"/>
      <w:b/>
      <w:bCs/>
      <w:sz w:val="36"/>
      <w:szCs w:val="36"/>
      <w:lang w:eastAsia="en-IN"/>
    </w:rPr>
  </w:style>
  <w:style w:type="character" w:customStyle="1" w:styleId="Heading1Char">
    <w:name w:val="Heading 1 Char"/>
    <w:basedOn w:val="DefaultParagraphFont"/>
    <w:link w:val="Heading1"/>
    <w:uiPriority w:val="9"/>
    <w:rsid w:val="00847572"/>
    <w:rPr>
      <w:rFonts w:asciiTheme="majorHAnsi" w:eastAsiaTheme="majorEastAsia" w:hAnsiTheme="majorHAnsi" w:cstheme="majorBidi"/>
      <w:color w:val="2E74B5" w:themeColor="accent1" w:themeShade="BF"/>
      <w:sz w:val="32"/>
      <w:szCs w:val="32"/>
    </w:rPr>
  </w:style>
  <w:style w:type="character" w:customStyle="1" w:styleId="body">
    <w:name w:val="body"/>
    <w:basedOn w:val="DefaultParagraphFont"/>
    <w:rsid w:val="00847572"/>
  </w:style>
  <w:style w:type="character" w:styleId="Hyperlink">
    <w:name w:val="Hyperlink"/>
    <w:basedOn w:val="DefaultParagraphFont"/>
    <w:uiPriority w:val="99"/>
    <w:unhideWhenUsed/>
    <w:rsid w:val="00847572"/>
    <w:rPr>
      <w:color w:val="0000FF"/>
      <w:u w:val="single"/>
    </w:rPr>
  </w:style>
  <w:style w:type="character" w:customStyle="1" w:styleId="apple-converted-space">
    <w:name w:val="apple-converted-space"/>
    <w:basedOn w:val="DefaultParagraphFont"/>
    <w:rsid w:val="00847572"/>
  </w:style>
  <w:style w:type="paragraph" w:styleId="ListParagraph">
    <w:name w:val="List Paragraph"/>
    <w:basedOn w:val="Normal"/>
    <w:uiPriority w:val="34"/>
    <w:qFormat/>
    <w:rsid w:val="008076CE"/>
    <w:pPr>
      <w:ind w:left="720"/>
      <w:contextualSpacing/>
    </w:pPr>
  </w:style>
  <w:style w:type="paragraph" w:styleId="NoSpacing">
    <w:name w:val="No Spacing"/>
    <w:link w:val="NoSpacingChar"/>
    <w:uiPriority w:val="1"/>
    <w:qFormat/>
    <w:rsid w:val="00A41745"/>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41745"/>
    <w:rPr>
      <w:rFonts w:eastAsiaTheme="minorEastAsia"/>
      <w:lang w:val="en-US"/>
    </w:rPr>
  </w:style>
  <w:style w:type="paragraph" w:styleId="TOCHeading">
    <w:name w:val="TOC Heading"/>
    <w:basedOn w:val="Heading1"/>
    <w:next w:val="Normal"/>
    <w:uiPriority w:val="39"/>
    <w:unhideWhenUsed/>
    <w:qFormat/>
    <w:rsid w:val="00A41745"/>
    <w:pPr>
      <w:outlineLvl w:val="9"/>
    </w:pPr>
    <w:rPr>
      <w:lang w:val="en-US"/>
    </w:rPr>
  </w:style>
  <w:style w:type="paragraph" w:styleId="TOC1">
    <w:name w:val="toc 1"/>
    <w:basedOn w:val="Normal"/>
    <w:next w:val="Normal"/>
    <w:autoRedefine/>
    <w:uiPriority w:val="39"/>
    <w:unhideWhenUsed/>
    <w:rsid w:val="00A41745"/>
    <w:pPr>
      <w:spacing w:after="100"/>
    </w:pPr>
  </w:style>
  <w:style w:type="paragraph" w:styleId="TOC2">
    <w:name w:val="toc 2"/>
    <w:basedOn w:val="Normal"/>
    <w:next w:val="Normal"/>
    <w:autoRedefine/>
    <w:uiPriority w:val="39"/>
    <w:unhideWhenUsed/>
    <w:rsid w:val="00A41745"/>
    <w:pPr>
      <w:spacing w:after="100"/>
      <w:ind w:left="220"/>
    </w:pPr>
  </w:style>
  <w:style w:type="character" w:customStyle="1" w:styleId="Heading3Char">
    <w:name w:val="Heading 3 Char"/>
    <w:basedOn w:val="DefaultParagraphFont"/>
    <w:link w:val="Heading3"/>
    <w:uiPriority w:val="9"/>
    <w:rsid w:val="00A41745"/>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A41745"/>
    <w:pPr>
      <w:spacing w:after="100"/>
      <w:ind w:left="440"/>
    </w:pPr>
  </w:style>
  <w:style w:type="paragraph" w:styleId="NormalWeb">
    <w:name w:val="Normal (Web)"/>
    <w:basedOn w:val="Normal"/>
    <w:uiPriority w:val="99"/>
    <w:semiHidden/>
    <w:unhideWhenUsed/>
    <w:rsid w:val="00BC4542"/>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3396905">
      <w:bodyDiv w:val="1"/>
      <w:marLeft w:val="0"/>
      <w:marRight w:val="0"/>
      <w:marTop w:val="0"/>
      <w:marBottom w:val="0"/>
      <w:divBdr>
        <w:top w:val="none" w:sz="0" w:space="0" w:color="auto"/>
        <w:left w:val="none" w:sz="0" w:space="0" w:color="auto"/>
        <w:bottom w:val="none" w:sz="0" w:space="0" w:color="auto"/>
        <w:right w:val="none" w:sz="0" w:space="0" w:color="auto"/>
      </w:divBdr>
      <w:divsChild>
        <w:div w:id="1687098506">
          <w:marLeft w:val="0"/>
          <w:marRight w:val="0"/>
          <w:marTop w:val="0"/>
          <w:marBottom w:val="225"/>
          <w:divBdr>
            <w:top w:val="single" w:sz="6" w:space="15" w:color="D4D4D4"/>
            <w:left w:val="single" w:sz="6" w:space="15" w:color="D4D4D4"/>
            <w:bottom w:val="single" w:sz="6" w:space="15" w:color="D4D4D4"/>
            <w:right w:val="single" w:sz="6" w:space="15" w:color="D4D4D4"/>
          </w:divBdr>
        </w:div>
      </w:divsChild>
    </w:div>
    <w:div w:id="779688683">
      <w:bodyDiv w:val="1"/>
      <w:marLeft w:val="0"/>
      <w:marRight w:val="0"/>
      <w:marTop w:val="0"/>
      <w:marBottom w:val="0"/>
      <w:divBdr>
        <w:top w:val="none" w:sz="0" w:space="0" w:color="auto"/>
        <w:left w:val="none" w:sz="0" w:space="0" w:color="auto"/>
        <w:bottom w:val="none" w:sz="0" w:space="0" w:color="auto"/>
        <w:right w:val="none" w:sz="0" w:space="0" w:color="auto"/>
      </w:divBdr>
    </w:div>
    <w:div w:id="801851579">
      <w:bodyDiv w:val="1"/>
      <w:marLeft w:val="0"/>
      <w:marRight w:val="0"/>
      <w:marTop w:val="0"/>
      <w:marBottom w:val="0"/>
      <w:divBdr>
        <w:top w:val="none" w:sz="0" w:space="0" w:color="auto"/>
        <w:left w:val="none" w:sz="0" w:space="0" w:color="auto"/>
        <w:bottom w:val="none" w:sz="0" w:space="0" w:color="auto"/>
        <w:right w:val="none" w:sz="0" w:space="0" w:color="auto"/>
      </w:divBdr>
    </w:div>
    <w:div w:id="1031959534">
      <w:bodyDiv w:val="1"/>
      <w:marLeft w:val="0"/>
      <w:marRight w:val="0"/>
      <w:marTop w:val="0"/>
      <w:marBottom w:val="0"/>
      <w:divBdr>
        <w:top w:val="none" w:sz="0" w:space="0" w:color="auto"/>
        <w:left w:val="none" w:sz="0" w:space="0" w:color="auto"/>
        <w:bottom w:val="none" w:sz="0" w:space="0" w:color="auto"/>
        <w:right w:val="none" w:sz="0" w:space="0" w:color="auto"/>
      </w:divBdr>
      <w:divsChild>
        <w:div w:id="365721603">
          <w:marLeft w:val="0"/>
          <w:marRight w:val="0"/>
          <w:marTop w:val="0"/>
          <w:marBottom w:val="240"/>
          <w:divBdr>
            <w:top w:val="none" w:sz="0" w:space="0" w:color="auto"/>
            <w:left w:val="none" w:sz="0" w:space="0" w:color="auto"/>
            <w:bottom w:val="none" w:sz="0" w:space="0" w:color="auto"/>
            <w:right w:val="none" w:sz="0" w:space="0" w:color="auto"/>
          </w:divBdr>
        </w:div>
      </w:divsChild>
    </w:div>
    <w:div w:id="1450004791">
      <w:bodyDiv w:val="1"/>
      <w:marLeft w:val="0"/>
      <w:marRight w:val="0"/>
      <w:marTop w:val="0"/>
      <w:marBottom w:val="0"/>
      <w:divBdr>
        <w:top w:val="none" w:sz="0" w:space="0" w:color="auto"/>
        <w:left w:val="none" w:sz="0" w:space="0" w:color="auto"/>
        <w:bottom w:val="none" w:sz="0" w:space="0" w:color="auto"/>
        <w:right w:val="none" w:sz="0" w:space="0" w:color="auto"/>
      </w:divBdr>
    </w:div>
    <w:div w:id="1707177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326405-ABE0-49CC-BF73-66D611EBCE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TotalTime>
  <Pages>1</Pages>
  <Words>1257</Words>
  <Characters>7171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CredAxis Software</vt:lpstr>
    </vt:vector>
  </TitlesOfParts>
  <Company/>
  <LinksUpToDate>false</LinksUpToDate>
  <CharactersWithSpaces>8412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CredAxis Software</dc:title>
  <dc:subject/>
  <dc:creator>Trisha Dawn</dc:creator>
  <cp:keywords/>
  <dc:description/>
  <cp:lastModifiedBy>Trisha Dawn</cp:lastModifiedBy>
  <cp:revision>8</cp:revision>
  <cp:lastPrinted>2016-08-09T10:02:00Z</cp:lastPrinted>
  <dcterms:created xsi:type="dcterms:W3CDTF">2016-08-09T07:11:00Z</dcterms:created>
  <dcterms:modified xsi:type="dcterms:W3CDTF">2016-08-09T10:03:00Z</dcterms:modified>
</cp:coreProperties>
</file>