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56972194"/>
        <w:docPartObj>
          <w:docPartGallery w:val="Cover Pages"/>
          <w:docPartUnique/>
        </w:docPartObj>
      </w:sdtPr>
      <w:sdtEndPr/>
      <w:sdtContent>
        <w:p w:rsidR="000E5A3F" w:rsidRDefault="000E5A3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0E5A3F">
            <w:sdt>
              <w:sdtPr>
                <w:rPr>
                  <w:color w:val="2E74B5" w:themeColor="accent1" w:themeShade="BF"/>
                  <w:sz w:val="24"/>
                  <w:szCs w:val="24"/>
                </w:rPr>
                <w:alias w:val="Company"/>
                <w:id w:val="13406915"/>
                <w:placeholder>
                  <w:docPart w:val="EEB62D6B4E1D49A7BD9C3C18499F33E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E5A3F" w:rsidRDefault="00EA1A90" w:rsidP="00EA1A90">
                    <w:pPr>
                      <w:pStyle w:val="NoSpacing"/>
                      <w:rPr>
                        <w:color w:val="2E74B5" w:themeColor="accent1" w:themeShade="BF"/>
                        <w:sz w:val="24"/>
                      </w:rPr>
                    </w:pPr>
                    <w:r>
                      <w:rPr>
                        <w:color w:val="2E74B5" w:themeColor="accent1" w:themeShade="BF"/>
                        <w:sz w:val="24"/>
                        <w:szCs w:val="24"/>
                      </w:rPr>
                      <w:t>Access</w:t>
                    </w:r>
                  </w:p>
                </w:tc>
              </w:sdtContent>
            </w:sdt>
          </w:tr>
          <w:tr w:rsidR="000E5A3F">
            <w:tc>
              <w:tcPr>
                <w:tcW w:w="7672" w:type="dxa"/>
              </w:tcPr>
              <w:sdt>
                <w:sdtPr>
                  <w:rPr>
                    <w:rFonts w:asciiTheme="majorHAnsi" w:eastAsiaTheme="majorEastAsia" w:hAnsiTheme="majorHAnsi" w:cstheme="majorBidi"/>
                    <w:color w:val="5B9BD5" w:themeColor="accent1"/>
                    <w:sz w:val="88"/>
                    <w:szCs w:val="88"/>
                  </w:rPr>
                  <w:alias w:val="Title"/>
                  <w:id w:val="13406919"/>
                  <w:placeholder>
                    <w:docPart w:val="E44A257B4E4F489D882C727628B11794"/>
                  </w:placeholder>
                  <w:dataBinding w:prefixMappings="xmlns:ns0='http://schemas.openxmlformats.org/package/2006/metadata/core-properties' xmlns:ns1='http://purl.org/dc/elements/1.1/'" w:xpath="/ns0:coreProperties[1]/ns1:title[1]" w:storeItemID="{6C3C8BC8-F283-45AE-878A-BAB7291924A1}"/>
                  <w:text/>
                </w:sdtPr>
                <w:sdtEndPr/>
                <w:sdtContent>
                  <w:p w:rsidR="000E5A3F" w:rsidRDefault="000E5A3F" w:rsidP="000E5A3F">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Provider Information Integration and Verification Services</w:t>
                    </w:r>
                  </w:p>
                </w:sdtContent>
              </w:sdt>
            </w:tc>
          </w:tr>
          <w:tr w:rsidR="000E5A3F">
            <w:sdt>
              <w:sdtPr>
                <w:rPr>
                  <w:color w:val="2E74B5" w:themeColor="accent1" w:themeShade="BF"/>
                  <w:sz w:val="24"/>
                  <w:szCs w:val="24"/>
                </w:rPr>
                <w:alias w:val="Subtitle"/>
                <w:id w:val="13406923"/>
                <w:placeholder>
                  <w:docPart w:val="9EB1C7A67E1848FC91B398229797706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E5A3F" w:rsidRDefault="000E5A3F" w:rsidP="00EA1A90">
                    <w:pPr>
                      <w:pStyle w:val="NoSpacing"/>
                      <w:rPr>
                        <w:color w:val="2E74B5" w:themeColor="accent1" w:themeShade="BF"/>
                        <w:sz w:val="24"/>
                      </w:rPr>
                    </w:pPr>
                    <w:r>
                      <w:rPr>
                        <w:color w:val="2E74B5" w:themeColor="accent1" w:themeShade="BF"/>
                        <w:sz w:val="24"/>
                        <w:szCs w:val="24"/>
                      </w:rPr>
                      <w:t xml:space="preserve">CredAxis </w:t>
                    </w:r>
                    <w:r w:rsidR="00EA1A90">
                      <w:rPr>
                        <w:color w:val="2E74B5" w:themeColor="accent1" w:themeShade="BF"/>
                        <w:sz w:val="24"/>
                        <w:szCs w:val="24"/>
                      </w:rPr>
                      <w:t>Product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0E5A3F">
            <w:tc>
              <w:tcPr>
                <w:tcW w:w="7221" w:type="dxa"/>
                <w:tcMar>
                  <w:top w:w="216" w:type="dxa"/>
                  <w:left w:w="115" w:type="dxa"/>
                  <w:bottom w:w="216" w:type="dxa"/>
                  <w:right w:w="115" w:type="dxa"/>
                </w:tcMar>
              </w:tcPr>
              <w:p w:rsidR="000E5A3F" w:rsidRDefault="000E5A3F">
                <w:pPr>
                  <w:pStyle w:val="NoSpacing"/>
                  <w:rPr>
                    <w:color w:val="5B9BD5" w:themeColor="accent1"/>
                  </w:rPr>
                </w:pPr>
              </w:p>
            </w:tc>
          </w:tr>
        </w:tbl>
        <w:p w:rsidR="000E5A3F" w:rsidRDefault="000E5A3F">
          <w:pPr>
            <w:rPr>
              <w:rFonts w:asciiTheme="majorHAnsi" w:eastAsiaTheme="majorEastAsia" w:hAnsiTheme="majorHAnsi" w:cstheme="majorBidi"/>
              <w:color w:val="2E74B5" w:themeColor="accent1" w:themeShade="BF"/>
              <w:sz w:val="32"/>
              <w:szCs w:val="32"/>
            </w:rPr>
          </w:pPr>
          <w:r>
            <w:br w:type="page"/>
          </w:r>
        </w:p>
      </w:sdtContent>
    </w:sdt>
    <w:p w:rsidR="000908F9" w:rsidRDefault="00663148" w:rsidP="00663148">
      <w:pPr>
        <w:pStyle w:val="Heading1"/>
      </w:pPr>
      <w:r>
        <w:lastRenderedPageBreak/>
        <w:t>Table of Contents</w:t>
      </w:r>
    </w:p>
    <w:p w:rsidR="00663148" w:rsidRDefault="00663148">
      <w:pPr>
        <w:pStyle w:val="TOC1"/>
        <w:tabs>
          <w:tab w:val="right" w:leader="underscore" w:pos="9016"/>
        </w:tabs>
      </w:pPr>
    </w:p>
    <w:p w:rsidR="000908F9" w:rsidRPr="0022158D" w:rsidRDefault="000908F9">
      <w:pPr>
        <w:pStyle w:val="TOC1"/>
        <w:tabs>
          <w:tab w:val="right" w:leader="underscore" w:pos="9016"/>
        </w:tabs>
        <w:rPr>
          <w:rFonts w:asciiTheme="majorHAnsi" w:hAnsiTheme="majorHAnsi"/>
        </w:rPr>
      </w:pPr>
      <w:r w:rsidRPr="0022158D">
        <w:rPr>
          <w:rFonts w:asciiTheme="majorHAnsi" w:hAnsiTheme="majorHAnsi"/>
        </w:rPr>
        <w:t>Verification Services</w:t>
      </w:r>
    </w:p>
    <w:p w:rsidR="000908F9" w:rsidRPr="0022158D" w:rsidRDefault="000908F9">
      <w:pPr>
        <w:pStyle w:val="TOC1"/>
        <w:tabs>
          <w:tab w:val="right" w:leader="underscore" w:pos="9016"/>
        </w:tabs>
        <w:rPr>
          <w:rFonts w:asciiTheme="majorHAnsi" w:eastAsiaTheme="minorEastAsia" w:hAnsiTheme="majorHAnsi"/>
          <w:noProof/>
          <w:lang w:eastAsia="en-IN"/>
        </w:rPr>
      </w:pPr>
      <w:r w:rsidRPr="0022158D">
        <w:rPr>
          <w:rFonts w:asciiTheme="majorHAnsi" w:hAnsiTheme="majorHAnsi"/>
        </w:rPr>
        <w:fldChar w:fldCharType="begin"/>
      </w:r>
      <w:r w:rsidRPr="0022158D">
        <w:rPr>
          <w:rFonts w:asciiTheme="majorHAnsi" w:hAnsiTheme="majorHAnsi"/>
        </w:rPr>
        <w:instrText xml:space="preserve"> TOC \o "1-3" \h \z \u </w:instrText>
      </w:r>
      <w:r w:rsidRPr="0022158D">
        <w:rPr>
          <w:rFonts w:asciiTheme="majorHAnsi" w:hAnsiTheme="majorHAnsi"/>
        </w:rPr>
        <w:fldChar w:fldCharType="separate"/>
      </w:r>
      <w:hyperlink w:anchor="_Toc457411903" w:history="1">
        <w:r w:rsidRPr="0022158D">
          <w:rPr>
            <w:rStyle w:val="Hyperlink"/>
            <w:rFonts w:asciiTheme="majorHAnsi" w:hAnsiTheme="majorHAnsi"/>
            <w:noProof/>
          </w:rPr>
          <w:t>American Nurse Credentialing Centre (ANCC)</w:t>
        </w:r>
        <w:r w:rsidRPr="0022158D">
          <w:rPr>
            <w:rFonts w:asciiTheme="majorHAnsi" w:hAnsiTheme="majorHAnsi"/>
            <w:noProof/>
            <w:webHidden/>
          </w:rPr>
          <w:tab/>
        </w:r>
        <w:r w:rsidR="00B71553" w:rsidRPr="0022158D">
          <w:rPr>
            <w:rFonts w:asciiTheme="majorHAnsi" w:hAnsiTheme="majorHAnsi"/>
            <w:noProof/>
            <w:webHidden/>
          </w:rPr>
          <w:t>4</w:t>
        </w:r>
      </w:hyperlink>
    </w:p>
    <w:p w:rsidR="000908F9" w:rsidRPr="0022158D" w:rsidRDefault="00616BB5">
      <w:pPr>
        <w:pStyle w:val="TOC2"/>
        <w:tabs>
          <w:tab w:val="right" w:leader="underscore" w:pos="9016"/>
        </w:tabs>
        <w:rPr>
          <w:rFonts w:asciiTheme="majorHAnsi" w:eastAsiaTheme="minorEastAsia" w:hAnsiTheme="majorHAnsi"/>
          <w:noProof/>
          <w:lang w:eastAsia="en-IN"/>
        </w:rPr>
      </w:pPr>
      <w:hyperlink w:anchor="_Toc457411904" w:history="1">
        <w:r w:rsidR="000908F9" w:rsidRPr="0022158D">
          <w:rPr>
            <w:rStyle w:val="Hyperlink"/>
            <w:rFonts w:asciiTheme="majorHAnsi" w:hAnsiTheme="majorHAnsi"/>
            <w:noProof/>
          </w:rPr>
          <w:t>Brief Description: -</w:t>
        </w:r>
        <w:r w:rsidR="000908F9" w:rsidRPr="0022158D">
          <w:rPr>
            <w:rFonts w:asciiTheme="majorHAnsi" w:hAnsiTheme="majorHAnsi"/>
            <w:noProof/>
            <w:webHidden/>
          </w:rPr>
          <w:tab/>
        </w:r>
        <w:r w:rsidR="00B71553" w:rsidRPr="0022158D">
          <w:rPr>
            <w:rFonts w:asciiTheme="majorHAnsi" w:hAnsiTheme="majorHAnsi"/>
            <w:noProof/>
            <w:webHidden/>
          </w:rPr>
          <w:t>4</w:t>
        </w:r>
      </w:hyperlink>
    </w:p>
    <w:p w:rsidR="000908F9" w:rsidRPr="0022158D" w:rsidRDefault="00616BB5">
      <w:pPr>
        <w:pStyle w:val="TOC3"/>
        <w:tabs>
          <w:tab w:val="right" w:leader="underscore" w:pos="9016"/>
        </w:tabs>
        <w:rPr>
          <w:rFonts w:asciiTheme="majorHAnsi" w:eastAsiaTheme="minorEastAsia" w:hAnsiTheme="majorHAnsi"/>
          <w:noProof/>
          <w:lang w:eastAsia="en-IN"/>
        </w:rPr>
      </w:pPr>
      <w:hyperlink w:anchor="_Toc457411905" w:history="1">
        <w:r w:rsidR="000908F9" w:rsidRPr="0022158D">
          <w:rPr>
            <w:rStyle w:val="Hyperlink"/>
            <w:rFonts w:asciiTheme="majorHAnsi" w:hAnsiTheme="majorHAnsi"/>
            <w:noProof/>
          </w:rPr>
          <w:t>Certification for Individual Nurses</w:t>
        </w:r>
        <w:r w:rsidR="000908F9" w:rsidRPr="0022158D">
          <w:rPr>
            <w:rFonts w:asciiTheme="majorHAnsi" w:hAnsiTheme="majorHAnsi"/>
            <w:noProof/>
            <w:webHidden/>
          </w:rPr>
          <w:tab/>
        </w:r>
        <w:r w:rsidR="00B71553" w:rsidRPr="0022158D">
          <w:rPr>
            <w:rFonts w:asciiTheme="majorHAnsi" w:hAnsiTheme="majorHAnsi"/>
            <w:noProof/>
            <w:webHidden/>
          </w:rPr>
          <w:t>4</w:t>
        </w:r>
      </w:hyperlink>
    </w:p>
    <w:p w:rsidR="000908F9" w:rsidRPr="0022158D" w:rsidRDefault="00616BB5">
      <w:pPr>
        <w:pStyle w:val="TOC3"/>
        <w:tabs>
          <w:tab w:val="right" w:leader="underscore" w:pos="9016"/>
        </w:tabs>
        <w:rPr>
          <w:rFonts w:asciiTheme="majorHAnsi" w:eastAsiaTheme="minorEastAsia" w:hAnsiTheme="majorHAnsi"/>
          <w:noProof/>
          <w:lang w:eastAsia="en-IN"/>
        </w:rPr>
      </w:pPr>
      <w:hyperlink w:anchor="_Toc457411906" w:history="1">
        <w:r w:rsidR="000908F9" w:rsidRPr="0022158D">
          <w:rPr>
            <w:rStyle w:val="Hyperlink"/>
            <w:rFonts w:asciiTheme="majorHAnsi" w:hAnsiTheme="majorHAnsi"/>
            <w:noProof/>
          </w:rPr>
          <w:t>Magnet</w:t>
        </w:r>
        <w:r w:rsidR="000908F9" w:rsidRPr="0022158D">
          <w:rPr>
            <w:rFonts w:asciiTheme="majorHAnsi" w:hAnsiTheme="majorHAnsi"/>
            <w:noProof/>
            <w:webHidden/>
          </w:rPr>
          <w:tab/>
        </w:r>
        <w:r w:rsidR="00B71553" w:rsidRPr="0022158D">
          <w:rPr>
            <w:rFonts w:asciiTheme="majorHAnsi" w:hAnsiTheme="majorHAnsi"/>
            <w:noProof/>
            <w:webHidden/>
          </w:rPr>
          <w:t>4</w:t>
        </w:r>
      </w:hyperlink>
    </w:p>
    <w:p w:rsidR="000908F9" w:rsidRPr="0022158D" w:rsidRDefault="00616BB5">
      <w:pPr>
        <w:pStyle w:val="TOC3"/>
        <w:tabs>
          <w:tab w:val="right" w:leader="underscore" w:pos="9016"/>
        </w:tabs>
        <w:rPr>
          <w:rFonts w:asciiTheme="majorHAnsi" w:eastAsiaTheme="minorEastAsia" w:hAnsiTheme="majorHAnsi"/>
          <w:noProof/>
          <w:lang w:eastAsia="en-IN"/>
        </w:rPr>
      </w:pPr>
      <w:hyperlink w:anchor="_Toc457411907" w:history="1">
        <w:r w:rsidR="000908F9" w:rsidRPr="0022158D">
          <w:rPr>
            <w:rStyle w:val="Hyperlink"/>
            <w:rFonts w:asciiTheme="majorHAnsi" w:hAnsiTheme="majorHAnsi"/>
            <w:noProof/>
          </w:rPr>
          <w:t>Pathway</w:t>
        </w:r>
        <w:r w:rsidR="000908F9" w:rsidRPr="0022158D">
          <w:rPr>
            <w:rFonts w:asciiTheme="majorHAnsi" w:hAnsiTheme="majorHAnsi"/>
            <w:noProof/>
            <w:webHidden/>
          </w:rPr>
          <w:tab/>
        </w:r>
        <w:r w:rsidR="00B71553" w:rsidRPr="0022158D">
          <w:rPr>
            <w:rFonts w:asciiTheme="majorHAnsi" w:hAnsiTheme="majorHAnsi"/>
            <w:noProof/>
            <w:webHidden/>
          </w:rPr>
          <w:t>4</w:t>
        </w:r>
      </w:hyperlink>
    </w:p>
    <w:p w:rsidR="000908F9" w:rsidRPr="0022158D" w:rsidRDefault="00616BB5">
      <w:pPr>
        <w:pStyle w:val="TOC2"/>
        <w:tabs>
          <w:tab w:val="right" w:leader="underscore" w:pos="9016"/>
        </w:tabs>
        <w:rPr>
          <w:rFonts w:asciiTheme="majorHAnsi" w:eastAsiaTheme="minorEastAsia" w:hAnsiTheme="majorHAnsi"/>
          <w:noProof/>
          <w:lang w:eastAsia="en-IN"/>
        </w:rPr>
      </w:pPr>
      <w:hyperlink w:anchor="_Toc457411908" w:history="1">
        <w:r w:rsidR="000908F9" w:rsidRPr="0022158D">
          <w:rPr>
            <w:rStyle w:val="Hyperlink"/>
            <w:rFonts w:asciiTheme="majorHAnsi" w:hAnsiTheme="majorHAnsi"/>
            <w:noProof/>
          </w:rPr>
          <w:t>ANCC Verification Services: -</w:t>
        </w:r>
        <w:r w:rsidR="000908F9" w:rsidRPr="0022158D">
          <w:rPr>
            <w:rFonts w:asciiTheme="majorHAnsi" w:hAnsiTheme="majorHAnsi"/>
            <w:noProof/>
            <w:webHidden/>
          </w:rPr>
          <w:tab/>
        </w:r>
        <w:r w:rsidR="00B71553" w:rsidRPr="0022158D">
          <w:rPr>
            <w:rFonts w:asciiTheme="majorHAnsi" w:hAnsiTheme="majorHAnsi"/>
            <w:noProof/>
            <w:webHidden/>
          </w:rPr>
          <w:t>4</w:t>
        </w:r>
      </w:hyperlink>
    </w:p>
    <w:p w:rsidR="000908F9" w:rsidRPr="0022158D" w:rsidRDefault="00616BB5">
      <w:pPr>
        <w:pStyle w:val="TOC2"/>
        <w:tabs>
          <w:tab w:val="right" w:leader="underscore" w:pos="9016"/>
        </w:tabs>
        <w:rPr>
          <w:rFonts w:asciiTheme="majorHAnsi" w:eastAsiaTheme="minorEastAsia" w:hAnsiTheme="majorHAnsi"/>
          <w:noProof/>
          <w:lang w:eastAsia="en-IN"/>
        </w:rPr>
      </w:pPr>
      <w:hyperlink w:anchor="_Toc457411909" w:history="1">
        <w:r w:rsidR="000908F9" w:rsidRPr="0022158D">
          <w:rPr>
            <w:rStyle w:val="Hyperlink"/>
            <w:rFonts w:asciiTheme="majorHAnsi" w:hAnsiTheme="majorHAnsi"/>
            <w:noProof/>
          </w:rPr>
          <w:t>Contact Info: -</w:t>
        </w:r>
        <w:r w:rsidR="000908F9" w:rsidRPr="0022158D">
          <w:rPr>
            <w:rFonts w:asciiTheme="majorHAnsi" w:hAnsiTheme="majorHAnsi"/>
            <w:noProof/>
            <w:webHidden/>
          </w:rPr>
          <w:tab/>
        </w:r>
        <w:r w:rsidR="00B71553" w:rsidRPr="0022158D">
          <w:rPr>
            <w:rFonts w:asciiTheme="majorHAnsi" w:hAnsiTheme="majorHAnsi"/>
            <w:noProof/>
            <w:webHidden/>
          </w:rPr>
          <w:t>4</w:t>
        </w:r>
      </w:hyperlink>
    </w:p>
    <w:p w:rsidR="000908F9" w:rsidRPr="0022158D" w:rsidRDefault="00616BB5">
      <w:pPr>
        <w:pStyle w:val="TOC1"/>
        <w:tabs>
          <w:tab w:val="right" w:leader="underscore" w:pos="9016"/>
        </w:tabs>
        <w:rPr>
          <w:rFonts w:asciiTheme="majorHAnsi" w:eastAsiaTheme="minorEastAsia" w:hAnsiTheme="majorHAnsi"/>
          <w:noProof/>
          <w:lang w:eastAsia="en-IN"/>
        </w:rPr>
      </w:pPr>
      <w:hyperlink w:anchor="_Toc457411910" w:history="1">
        <w:r w:rsidR="000908F9" w:rsidRPr="0022158D">
          <w:rPr>
            <w:rStyle w:val="Hyperlink"/>
            <w:rFonts w:asciiTheme="majorHAnsi" w:hAnsiTheme="majorHAnsi"/>
            <w:noProof/>
          </w:rPr>
          <w:t>American Board of Medical Specialities (ABMS)</w:t>
        </w:r>
        <w:r w:rsidR="000908F9" w:rsidRPr="0022158D">
          <w:rPr>
            <w:rFonts w:asciiTheme="majorHAnsi" w:hAnsiTheme="majorHAnsi"/>
            <w:noProof/>
            <w:webHidden/>
          </w:rPr>
          <w:tab/>
        </w:r>
        <w:r w:rsidR="00B71553" w:rsidRPr="0022158D">
          <w:rPr>
            <w:rFonts w:asciiTheme="majorHAnsi" w:hAnsiTheme="majorHAnsi"/>
            <w:noProof/>
            <w:webHidden/>
          </w:rPr>
          <w:t>5</w:t>
        </w:r>
      </w:hyperlink>
    </w:p>
    <w:p w:rsidR="000908F9" w:rsidRPr="0022158D" w:rsidRDefault="00616BB5">
      <w:pPr>
        <w:pStyle w:val="TOC2"/>
        <w:tabs>
          <w:tab w:val="right" w:leader="underscore" w:pos="9016"/>
        </w:tabs>
        <w:rPr>
          <w:rFonts w:asciiTheme="majorHAnsi" w:eastAsiaTheme="minorEastAsia" w:hAnsiTheme="majorHAnsi"/>
          <w:noProof/>
          <w:lang w:eastAsia="en-IN"/>
        </w:rPr>
      </w:pPr>
      <w:hyperlink w:anchor="_Toc457411911" w:history="1">
        <w:r w:rsidR="000908F9" w:rsidRPr="0022158D">
          <w:rPr>
            <w:rStyle w:val="Hyperlink"/>
            <w:rFonts w:asciiTheme="majorHAnsi" w:hAnsiTheme="majorHAnsi"/>
            <w:noProof/>
          </w:rPr>
          <w:t>Brief Description: -</w:t>
        </w:r>
        <w:r w:rsidR="000908F9" w:rsidRPr="0022158D">
          <w:rPr>
            <w:rFonts w:asciiTheme="majorHAnsi" w:hAnsiTheme="majorHAnsi"/>
            <w:noProof/>
            <w:webHidden/>
          </w:rPr>
          <w:tab/>
        </w:r>
        <w:r w:rsidR="00B71553" w:rsidRPr="0022158D">
          <w:rPr>
            <w:rFonts w:asciiTheme="majorHAnsi" w:hAnsiTheme="majorHAnsi"/>
            <w:noProof/>
            <w:webHidden/>
          </w:rPr>
          <w:t>5</w:t>
        </w:r>
      </w:hyperlink>
    </w:p>
    <w:p w:rsidR="000908F9" w:rsidRPr="0022158D" w:rsidRDefault="00616BB5">
      <w:pPr>
        <w:pStyle w:val="TOC2"/>
        <w:tabs>
          <w:tab w:val="right" w:leader="underscore" w:pos="9016"/>
        </w:tabs>
        <w:rPr>
          <w:rFonts w:asciiTheme="majorHAnsi" w:eastAsiaTheme="minorEastAsia" w:hAnsiTheme="majorHAnsi"/>
          <w:noProof/>
          <w:lang w:eastAsia="en-IN"/>
        </w:rPr>
      </w:pPr>
      <w:hyperlink w:anchor="_Toc457411912" w:history="1">
        <w:r w:rsidR="000908F9" w:rsidRPr="0022158D">
          <w:rPr>
            <w:rStyle w:val="Hyperlink"/>
            <w:rFonts w:asciiTheme="majorHAnsi" w:hAnsiTheme="majorHAnsi"/>
            <w:noProof/>
          </w:rPr>
          <w:t>AMBS Verification Services: -</w:t>
        </w:r>
        <w:r w:rsidR="000908F9" w:rsidRPr="0022158D">
          <w:rPr>
            <w:rFonts w:asciiTheme="majorHAnsi" w:hAnsiTheme="majorHAnsi"/>
            <w:noProof/>
            <w:webHidden/>
          </w:rPr>
          <w:tab/>
        </w:r>
        <w:r w:rsidR="00B71553" w:rsidRPr="0022158D">
          <w:rPr>
            <w:rFonts w:asciiTheme="majorHAnsi" w:hAnsiTheme="majorHAnsi"/>
            <w:noProof/>
            <w:webHidden/>
          </w:rPr>
          <w:t>5</w:t>
        </w:r>
      </w:hyperlink>
    </w:p>
    <w:p w:rsidR="000908F9" w:rsidRPr="0022158D" w:rsidRDefault="000908F9">
      <w:pPr>
        <w:pStyle w:val="TOC1"/>
        <w:tabs>
          <w:tab w:val="right" w:leader="underscore" w:pos="9016"/>
        </w:tabs>
        <w:rPr>
          <w:rFonts w:asciiTheme="majorHAnsi" w:hAnsiTheme="majorHAnsi"/>
        </w:rPr>
      </w:pPr>
      <w:r w:rsidRPr="0022158D">
        <w:rPr>
          <w:rFonts w:asciiTheme="majorHAnsi" w:hAnsiTheme="majorHAnsi"/>
        </w:rPr>
        <w:t>Information Services</w:t>
      </w:r>
    </w:p>
    <w:p w:rsidR="000908F9" w:rsidRPr="0022158D" w:rsidRDefault="00616BB5">
      <w:pPr>
        <w:pStyle w:val="TOC1"/>
        <w:tabs>
          <w:tab w:val="right" w:leader="underscore" w:pos="9016"/>
        </w:tabs>
        <w:rPr>
          <w:rFonts w:asciiTheme="majorHAnsi" w:eastAsiaTheme="minorEastAsia" w:hAnsiTheme="majorHAnsi"/>
          <w:noProof/>
          <w:lang w:eastAsia="en-IN"/>
        </w:rPr>
      </w:pPr>
      <w:hyperlink w:anchor="_Toc457411913" w:history="1">
        <w:r w:rsidR="000908F9" w:rsidRPr="0022158D">
          <w:rPr>
            <w:rStyle w:val="Hyperlink"/>
            <w:rFonts w:asciiTheme="majorHAnsi" w:hAnsiTheme="majorHAnsi"/>
            <w:noProof/>
          </w:rPr>
          <w:t>National Plan and Provider Enumeration System (NPPES)</w:t>
        </w:r>
        <w:r w:rsidR="000908F9" w:rsidRPr="0022158D">
          <w:rPr>
            <w:rFonts w:asciiTheme="majorHAnsi" w:hAnsiTheme="majorHAnsi"/>
            <w:noProof/>
            <w:webHidden/>
          </w:rPr>
          <w:tab/>
        </w:r>
        <w:r w:rsidR="00B71553" w:rsidRPr="0022158D">
          <w:rPr>
            <w:rFonts w:asciiTheme="majorHAnsi" w:hAnsiTheme="majorHAnsi"/>
            <w:noProof/>
            <w:webHidden/>
          </w:rPr>
          <w:t>6</w:t>
        </w:r>
      </w:hyperlink>
    </w:p>
    <w:p w:rsidR="000908F9" w:rsidRPr="0022158D" w:rsidRDefault="00616BB5">
      <w:pPr>
        <w:pStyle w:val="TOC2"/>
        <w:tabs>
          <w:tab w:val="right" w:leader="underscore" w:pos="9016"/>
        </w:tabs>
        <w:rPr>
          <w:rFonts w:asciiTheme="majorHAnsi" w:hAnsiTheme="majorHAnsi"/>
        </w:rPr>
      </w:pPr>
      <w:hyperlink w:anchor="_Toc457411914" w:history="1">
        <w:r w:rsidR="000908F9" w:rsidRPr="0022158D">
          <w:rPr>
            <w:rFonts w:asciiTheme="majorHAnsi" w:hAnsiTheme="majorHAnsi"/>
          </w:rPr>
          <w:t>Brief Description: -</w:t>
        </w:r>
        <w:r w:rsidR="000908F9" w:rsidRPr="0022158D">
          <w:rPr>
            <w:rFonts w:asciiTheme="majorHAnsi" w:hAnsiTheme="majorHAnsi"/>
            <w:webHidden/>
          </w:rPr>
          <w:tab/>
        </w:r>
        <w:r w:rsidR="00B71553" w:rsidRPr="0022158D">
          <w:rPr>
            <w:rFonts w:asciiTheme="majorHAnsi" w:hAnsiTheme="majorHAnsi"/>
            <w:webHidden/>
          </w:rPr>
          <w:t>6</w:t>
        </w:r>
      </w:hyperlink>
    </w:p>
    <w:p w:rsidR="000908F9" w:rsidRPr="0022158D" w:rsidRDefault="00616BB5">
      <w:pPr>
        <w:pStyle w:val="TOC2"/>
        <w:tabs>
          <w:tab w:val="right" w:leader="underscore" w:pos="9016"/>
        </w:tabs>
        <w:rPr>
          <w:rFonts w:asciiTheme="majorHAnsi" w:eastAsiaTheme="minorEastAsia" w:hAnsiTheme="majorHAnsi"/>
          <w:noProof/>
          <w:lang w:eastAsia="en-IN"/>
        </w:rPr>
      </w:pPr>
      <w:hyperlink w:anchor="_Toc457411915" w:history="1">
        <w:r w:rsidR="000908F9" w:rsidRPr="0022158D">
          <w:rPr>
            <w:rStyle w:val="Hyperlink"/>
            <w:rFonts w:asciiTheme="majorHAnsi" w:hAnsiTheme="majorHAnsi"/>
            <w:noProof/>
          </w:rPr>
          <w:t>NPPES identification Service: -</w:t>
        </w:r>
        <w:r w:rsidR="000908F9" w:rsidRPr="0022158D">
          <w:rPr>
            <w:rFonts w:asciiTheme="majorHAnsi" w:hAnsiTheme="majorHAnsi"/>
            <w:noProof/>
            <w:webHidden/>
          </w:rPr>
          <w:tab/>
        </w:r>
        <w:r w:rsidR="00B71553" w:rsidRPr="0022158D">
          <w:rPr>
            <w:rFonts w:asciiTheme="majorHAnsi" w:hAnsiTheme="majorHAnsi"/>
            <w:noProof/>
            <w:webHidden/>
          </w:rPr>
          <w:t>6</w:t>
        </w:r>
      </w:hyperlink>
    </w:p>
    <w:p w:rsidR="000908F9" w:rsidRPr="0022158D" w:rsidRDefault="00616BB5">
      <w:pPr>
        <w:pStyle w:val="TOC2"/>
        <w:tabs>
          <w:tab w:val="right" w:leader="underscore" w:pos="9016"/>
        </w:tabs>
        <w:rPr>
          <w:rFonts w:asciiTheme="majorHAnsi" w:eastAsiaTheme="minorEastAsia" w:hAnsiTheme="majorHAnsi"/>
          <w:noProof/>
          <w:lang w:eastAsia="en-IN"/>
        </w:rPr>
      </w:pPr>
      <w:hyperlink w:anchor="_Toc457411916" w:history="1">
        <w:r w:rsidR="000908F9" w:rsidRPr="0022158D">
          <w:rPr>
            <w:rStyle w:val="Hyperlink"/>
            <w:rFonts w:asciiTheme="majorHAnsi" w:hAnsiTheme="majorHAnsi"/>
            <w:noProof/>
          </w:rPr>
          <w:t>Contact Info: -</w:t>
        </w:r>
        <w:r w:rsidR="000908F9" w:rsidRPr="0022158D">
          <w:rPr>
            <w:rFonts w:asciiTheme="majorHAnsi" w:hAnsiTheme="majorHAnsi"/>
            <w:noProof/>
            <w:webHidden/>
          </w:rPr>
          <w:tab/>
        </w:r>
        <w:r w:rsidR="00B71553" w:rsidRPr="0022158D">
          <w:rPr>
            <w:rFonts w:asciiTheme="majorHAnsi" w:hAnsiTheme="majorHAnsi"/>
            <w:noProof/>
            <w:webHidden/>
          </w:rPr>
          <w:t>6</w:t>
        </w:r>
      </w:hyperlink>
    </w:p>
    <w:p w:rsidR="000908F9" w:rsidRPr="0022158D" w:rsidRDefault="00616BB5">
      <w:pPr>
        <w:pStyle w:val="TOC1"/>
        <w:tabs>
          <w:tab w:val="right" w:leader="underscore" w:pos="9016"/>
        </w:tabs>
        <w:rPr>
          <w:rFonts w:asciiTheme="majorHAnsi" w:eastAsiaTheme="minorEastAsia" w:hAnsiTheme="majorHAnsi"/>
          <w:noProof/>
          <w:lang w:eastAsia="en-IN"/>
        </w:rPr>
      </w:pPr>
      <w:hyperlink w:anchor="_Toc457411917" w:history="1">
        <w:r w:rsidR="000908F9" w:rsidRPr="0022158D">
          <w:rPr>
            <w:rStyle w:val="Hyperlink"/>
            <w:rFonts w:asciiTheme="majorHAnsi" w:hAnsiTheme="majorHAnsi"/>
            <w:noProof/>
          </w:rPr>
          <w:t>American Medical Association (AMA)</w:t>
        </w:r>
        <w:r w:rsidR="000908F9" w:rsidRPr="0022158D">
          <w:rPr>
            <w:rFonts w:asciiTheme="majorHAnsi" w:hAnsiTheme="majorHAnsi"/>
            <w:noProof/>
            <w:webHidden/>
          </w:rPr>
          <w:tab/>
        </w:r>
        <w:r w:rsidR="00B71553" w:rsidRPr="0022158D">
          <w:rPr>
            <w:rFonts w:asciiTheme="majorHAnsi" w:hAnsiTheme="majorHAnsi"/>
            <w:noProof/>
            <w:webHidden/>
          </w:rPr>
          <w:t>7</w:t>
        </w:r>
      </w:hyperlink>
    </w:p>
    <w:p w:rsidR="000908F9" w:rsidRPr="0022158D" w:rsidRDefault="00616BB5">
      <w:pPr>
        <w:pStyle w:val="TOC2"/>
        <w:tabs>
          <w:tab w:val="right" w:leader="underscore" w:pos="9016"/>
        </w:tabs>
        <w:rPr>
          <w:rFonts w:asciiTheme="majorHAnsi" w:eastAsiaTheme="minorEastAsia" w:hAnsiTheme="majorHAnsi"/>
          <w:noProof/>
          <w:lang w:eastAsia="en-IN"/>
        </w:rPr>
      </w:pPr>
      <w:hyperlink w:anchor="_Toc457411918" w:history="1">
        <w:r w:rsidR="000908F9" w:rsidRPr="0022158D">
          <w:rPr>
            <w:rStyle w:val="Hyperlink"/>
            <w:rFonts w:asciiTheme="majorHAnsi" w:hAnsiTheme="majorHAnsi"/>
            <w:noProof/>
          </w:rPr>
          <w:t>Brief Description: -</w:t>
        </w:r>
        <w:r w:rsidR="000908F9" w:rsidRPr="0022158D">
          <w:rPr>
            <w:rFonts w:asciiTheme="majorHAnsi" w:hAnsiTheme="majorHAnsi"/>
            <w:noProof/>
            <w:webHidden/>
          </w:rPr>
          <w:tab/>
        </w:r>
        <w:r w:rsidR="00B71553" w:rsidRPr="0022158D">
          <w:rPr>
            <w:rFonts w:asciiTheme="majorHAnsi" w:hAnsiTheme="majorHAnsi"/>
            <w:noProof/>
            <w:webHidden/>
          </w:rPr>
          <w:t>7</w:t>
        </w:r>
      </w:hyperlink>
    </w:p>
    <w:p w:rsidR="000908F9" w:rsidRPr="0022158D" w:rsidRDefault="00616BB5">
      <w:pPr>
        <w:pStyle w:val="TOC2"/>
        <w:tabs>
          <w:tab w:val="right" w:leader="underscore" w:pos="9016"/>
        </w:tabs>
        <w:rPr>
          <w:rFonts w:asciiTheme="majorHAnsi" w:eastAsiaTheme="minorEastAsia" w:hAnsiTheme="majorHAnsi"/>
          <w:noProof/>
          <w:lang w:eastAsia="en-IN"/>
        </w:rPr>
      </w:pPr>
      <w:hyperlink w:anchor="_Toc457411919" w:history="1">
        <w:r w:rsidR="000908F9" w:rsidRPr="0022158D">
          <w:rPr>
            <w:rStyle w:val="Hyperlink"/>
            <w:rFonts w:asciiTheme="majorHAnsi" w:hAnsiTheme="majorHAnsi"/>
            <w:noProof/>
          </w:rPr>
          <w:t>AMA identification Service: -</w:t>
        </w:r>
        <w:r w:rsidR="000908F9" w:rsidRPr="0022158D">
          <w:rPr>
            <w:rFonts w:asciiTheme="majorHAnsi" w:hAnsiTheme="majorHAnsi"/>
            <w:noProof/>
            <w:webHidden/>
          </w:rPr>
          <w:tab/>
        </w:r>
        <w:r w:rsidR="00B71553" w:rsidRPr="0022158D">
          <w:rPr>
            <w:rFonts w:asciiTheme="majorHAnsi" w:hAnsiTheme="majorHAnsi"/>
            <w:noProof/>
            <w:webHidden/>
          </w:rPr>
          <w:t>7</w:t>
        </w:r>
      </w:hyperlink>
    </w:p>
    <w:p w:rsidR="000908F9" w:rsidRPr="0022158D" w:rsidRDefault="00616BB5">
      <w:pPr>
        <w:pStyle w:val="TOC2"/>
        <w:tabs>
          <w:tab w:val="right" w:leader="underscore" w:pos="9016"/>
        </w:tabs>
        <w:rPr>
          <w:rFonts w:asciiTheme="majorHAnsi" w:hAnsiTheme="majorHAnsi"/>
          <w:noProof/>
        </w:rPr>
      </w:pPr>
      <w:hyperlink w:anchor="_Toc457411920" w:history="1">
        <w:r w:rsidR="000908F9" w:rsidRPr="0022158D">
          <w:rPr>
            <w:rStyle w:val="Hyperlink"/>
            <w:rFonts w:asciiTheme="majorHAnsi" w:hAnsiTheme="majorHAnsi"/>
            <w:noProof/>
          </w:rPr>
          <w:t>Contact: -</w:t>
        </w:r>
        <w:r w:rsidR="000908F9" w:rsidRPr="0022158D">
          <w:rPr>
            <w:rFonts w:asciiTheme="majorHAnsi" w:hAnsiTheme="majorHAnsi"/>
            <w:noProof/>
            <w:webHidden/>
          </w:rPr>
          <w:tab/>
        </w:r>
        <w:r w:rsidR="00B71553" w:rsidRPr="0022158D">
          <w:rPr>
            <w:rFonts w:asciiTheme="majorHAnsi" w:hAnsiTheme="majorHAnsi"/>
            <w:noProof/>
            <w:webHidden/>
          </w:rPr>
          <w:t>7</w:t>
        </w:r>
      </w:hyperlink>
    </w:p>
    <w:p w:rsidR="006410CB" w:rsidRPr="0022158D" w:rsidRDefault="00616BB5" w:rsidP="006410CB">
      <w:pPr>
        <w:pStyle w:val="TOC1"/>
        <w:tabs>
          <w:tab w:val="right" w:leader="underscore" w:pos="9016"/>
        </w:tabs>
        <w:rPr>
          <w:rFonts w:asciiTheme="majorHAnsi" w:eastAsiaTheme="minorEastAsia" w:hAnsiTheme="majorHAnsi"/>
          <w:noProof/>
          <w:lang w:eastAsia="en-IN"/>
        </w:rPr>
      </w:pPr>
      <w:hyperlink w:anchor="_Toc457411917" w:history="1">
        <w:r w:rsidR="006410CB" w:rsidRPr="0022158D">
          <w:rPr>
            <w:rStyle w:val="Hyperlink"/>
            <w:rFonts w:asciiTheme="majorHAnsi" w:hAnsiTheme="majorHAnsi"/>
            <w:noProof/>
          </w:rPr>
          <w:t>DO Profiles</w:t>
        </w:r>
        <w:r w:rsidR="006410CB" w:rsidRPr="0022158D">
          <w:rPr>
            <w:rFonts w:asciiTheme="majorHAnsi" w:hAnsiTheme="majorHAnsi"/>
            <w:noProof/>
            <w:webHidden/>
          </w:rPr>
          <w:tab/>
        </w:r>
        <w:r w:rsidR="00B71553" w:rsidRPr="0022158D">
          <w:rPr>
            <w:rFonts w:asciiTheme="majorHAnsi" w:hAnsiTheme="majorHAnsi"/>
            <w:noProof/>
            <w:webHidden/>
          </w:rPr>
          <w:t>8</w:t>
        </w:r>
      </w:hyperlink>
    </w:p>
    <w:p w:rsidR="006410CB" w:rsidRPr="0022158D" w:rsidRDefault="00616BB5" w:rsidP="006410CB">
      <w:pPr>
        <w:pStyle w:val="TOC2"/>
        <w:tabs>
          <w:tab w:val="right" w:leader="underscore" w:pos="9016"/>
        </w:tabs>
        <w:rPr>
          <w:rFonts w:asciiTheme="majorHAnsi" w:eastAsiaTheme="minorEastAsia" w:hAnsiTheme="majorHAnsi"/>
          <w:noProof/>
          <w:lang w:eastAsia="en-IN"/>
        </w:rPr>
      </w:pPr>
      <w:hyperlink w:anchor="_Toc457411918" w:history="1">
        <w:r w:rsidR="006410CB" w:rsidRPr="0022158D">
          <w:rPr>
            <w:rStyle w:val="Hyperlink"/>
            <w:rFonts w:asciiTheme="majorHAnsi" w:hAnsiTheme="majorHAnsi"/>
            <w:noProof/>
          </w:rPr>
          <w:t>Brief Description: -</w:t>
        </w:r>
        <w:r w:rsidR="006410CB" w:rsidRPr="0022158D">
          <w:rPr>
            <w:rFonts w:asciiTheme="majorHAnsi" w:hAnsiTheme="majorHAnsi"/>
            <w:noProof/>
            <w:webHidden/>
          </w:rPr>
          <w:tab/>
        </w:r>
        <w:r w:rsidR="00B71553" w:rsidRPr="0022158D">
          <w:rPr>
            <w:rFonts w:asciiTheme="majorHAnsi" w:hAnsiTheme="majorHAnsi"/>
            <w:noProof/>
            <w:webHidden/>
          </w:rPr>
          <w:t>8</w:t>
        </w:r>
      </w:hyperlink>
    </w:p>
    <w:p w:rsidR="006410CB" w:rsidRPr="0022158D" w:rsidRDefault="00616BB5" w:rsidP="006410CB">
      <w:pPr>
        <w:pStyle w:val="TOC2"/>
        <w:tabs>
          <w:tab w:val="right" w:leader="underscore" w:pos="9016"/>
        </w:tabs>
        <w:rPr>
          <w:rFonts w:asciiTheme="majorHAnsi" w:eastAsiaTheme="minorEastAsia" w:hAnsiTheme="majorHAnsi"/>
          <w:noProof/>
          <w:lang w:eastAsia="en-IN"/>
        </w:rPr>
      </w:pPr>
      <w:hyperlink w:anchor="_Toc457411919" w:history="1">
        <w:r w:rsidR="006410CB" w:rsidRPr="0022158D">
          <w:rPr>
            <w:rFonts w:asciiTheme="majorHAnsi" w:hAnsiTheme="majorHAnsi"/>
          </w:rPr>
          <w:t xml:space="preserve"> </w:t>
        </w:r>
        <w:r w:rsidR="006410CB" w:rsidRPr="0022158D">
          <w:rPr>
            <w:rStyle w:val="Hyperlink"/>
            <w:rFonts w:asciiTheme="majorHAnsi" w:hAnsiTheme="majorHAnsi"/>
            <w:noProof/>
          </w:rPr>
          <w:t>DO Profiles Verification Services: -</w:t>
        </w:r>
        <w:r w:rsidR="006410CB" w:rsidRPr="0022158D">
          <w:rPr>
            <w:rFonts w:asciiTheme="majorHAnsi" w:hAnsiTheme="majorHAnsi"/>
            <w:noProof/>
            <w:webHidden/>
          </w:rPr>
          <w:tab/>
        </w:r>
        <w:r w:rsidR="00B71553" w:rsidRPr="0022158D">
          <w:rPr>
            <w:rFonts w:asciiTheme="majorHAnsi" w:hAnsiTheme="majorHAnsi"/>
            <w:noProof/>
            <w:webHidden/>
          </w:rPr>
          <w:t>8</w:t>
        </w:r>
      </w:hyperlink>
    </w:p>
    <w:p w:rsidR="006410CB" w:rsidRPr="0022158D" w:rsidRDefault="00616BB5" w:rsidP="006410CB">
      <w:pPr>
        <w:pStyle w:val="TOC2"/>
        <w:tabs>
          <w:tab w:val="right" w:leader="underscore" w:pos="9016"/>
        </w:tabs>
        <w:rPr>
          <w:rFonts w:asciiTheme="majorHAnsi" w:eastAsiaTheme="minorEastAsia" w:hAnsiTheme="majorHAnsi"/>
          <w:noProof/>
          <w:lang w:eastAsia="en-IN"/>
        </w:rPr>
      </w:pPr>
      <w:hyperlink w:anchor="_Toc457411920" w:history="1">
        <w:r w:rsidR="006410CB" w:rsidRPr="0022158D">
          <w:rPr>
            <w:rStyle w:val="Hyperlink"/>
            <w:rFonts w:asciiTheme="majorHAnsi" w:hAnsiTheme="majorHAnsi"/>
            <w:noProof/>
          </w:rPr>
          <w:t>Contact: -</w:t>
        </w:r>
        <w:r w:rsidR="006410CB" w:rsidRPr="0022158D">
          <w:rPr>
            <w:rFonts w:asciiTheme="majorHAnsi" w:hAnsiTheme="majorHAnsi"/>
            <w:noProof/>
            <w:webHidden/>
          </w:rPr>
          <w:tab/>
        </w:r>
        <w:r w:rsidR="00B71553" w:rsidRPr="0022158D">
          <w:rPr>
            <w:rFonts w:asciiTheme="majorHAnsi" w:hAnsiTheme="majorHAnsi"/>
            <w:noProof/>
            <w:webHidden/>
          </w:rPr>
          <w:t>8</w:t>
        </w:r>
      </w:hyperlink>
    </w:p>
    <w:p w:rsidR="00910352" w:rsidRPr="0022158D" w:rsidRDefault="00910352" w:rsidP="00910352">
      <w:pPr>
        <w:pStyle w:val="TOC1"/>
        <w:tabs>
          <w:tab w:val="right" w:leader="underscore" w:pos="9016"/>
        </w:tabs>
        <w:rPr>
          <w:rFonts w:asciiTheme="majorHAnsi" w:hAnsiTheme="majorHAnsi"/>
          <w:noProof/>
        </w:rPr>
      </w:pPr>
      <w:r w:rsidRPr="0022158D">
        <w:rPr>
          <w:rFonts w:asciiTheme="majorHAnsi" w:hAnsiTheme="majorHAnsi"/>
        </w:rPr>
        <w:t xml:space="preserve">Ongoing Professional Practice Evaluation  And </w:t>
      </w:r>
      <w:r w:rsidR="00D95CF1" w:rsidRPr="0022158D">
        <w:rPr>
          <w:rFonts w:asciiTheme="majorHAnsi" w:hAnsiTheme="majorHAnsi"/>
        </w:rPr>
        <w:t>Focussed</w:t>
      </w:r>
      <w:r w:rsidRPr="0022158D">
        <w:rPr>
          <w:rFonts w:asciiTheme="majorHAnsi" w:hAnsiTheme="majorHAnsi"/>
        </w:rPr>
        <w:t xml:space="preserve"> Professional Practice Evaluation (</w:t>
      </w:r>
      <w:hyperlink w:anchor="_Toc457411917" w:history="1">
        <w:r w:rsidRPr="0022158D">
          <w:rPr>
            <w:rStyle w:val="Hyperlink"/>
            <w:rFonts w:asciiTheme="majorHAnsi" w:hAnsiTheme="majorHAnsi"/>
            <w:noProof/>
          </w:rPr>
          <w:t>OPPE And FPPE)</w:t>
        </w:r>
        <w:r w:rsidRPr="0022158D">
          <w:rPr>
            <w:rFonts w:asciiTheme="majorHAnsi" w:hAnsiTheme="majorHAnsi"/>
            <w:noProof/>
            <w:webHidden/>
          </w:rPr>
          <w:tab/>
        </w:r>
        <w:r w:rsidR="00B71553" w:rsidRPr="0022158D">
          <w:rPr>
            <w:rFonts w:asciiTheme="majorHAnsi" w:hAnsiTheme="majorHAnsi"/>
            <w:noProof/>
            <w:webHidden/>
          </w:rPr>
          <w:t>9</w:t>
        </w:r>
      </w:hyperlink>
    </w:p>
    <w:p w:rsidR="00910352" w:rsidRPr="0022158D" w:rsidRDefault="00910352" w:rsidP="00910352">
      <w:pPr>
        <w:pStyle w:val="TOC1"/>
        <w:tabs>
          <w:tab w:val="right" w:leader="underscore" w:pos="9016"/>
        </w:tabs>
        <w:rPr>
          <w:rFonts w:asciiTheme="majorHAnsi" w:eastAsiaTheme="minorEastAsia" w:hAnsiTheme="majorHAnsi"/>
          <w:noProof/>
          <w:lang w:eastAsia="en-IN"/>
        </w:rPr>
      </w:pPr>
      <w:r w:rsidRPr="0022158D">
        <w:rPr>
          <w:rFonts w:asciiTheme="majorHAnsi" w:hAnsiTheme="majorHAnsi"/>
        </w:rPr>
        <w:t xml:space="preserve">     </w:t>
      </w:r>
      <w:hyperlink w:anchor="_Toc457411917" w:history="1">
        <w:r w:rsidRPr="0022158D">
          <w:rPr>
            <w:rStyle w:val="Hyperlink"/>
            <w:rFonts w:asciiTheme="majorHAnsi" w:hAnsiTheme="majorHAnsi"/>
            <w:noProof/>
          </w:rPr>
          <w:t>OPPE</w:t>
        </w:r>
        <w:r w:rsidRPr="0022158D">
          <w:rPr>
            <w:rFonts w:asciiTheme="majorHAnsi" w:hAnsiTheme="majorHAnsi"/>
            <w:noProof/>
            <w:webHidden/>
          </w:rPr>
          <w:tab/>
        </w:r>
        <w:r w:rsidR="00B71553" w:rsidRPr="0022158D">
          <w:rPr>
            <w:rFonts w:asciiTheme="majorHAnsi" w:hAnsiTheme="majorHAnsi"/>
            <w:noProof/>
            <w:webHidden/>
          </w:rPr>
          <w:t>9</w:t>
        </w:r>
      </w:hyperlink>
    </w:p>
    <w:p w:rsidR="00910352" w:rsidRPr="0022158D" w:rsidRDefault="00616BB5" w:rsidP="00910352">
      <w:pPr>
        <w:pStyle w:val="TOC2"/>
        <w:tabs>
          <w:tab w:val="right" w:leader="underscore" w:pos="9016"/>
        </w:tabs>
        <w:rPr>
          <w:rFonts w:asciiTheme="majorHAnsi" w:eastAsiaTheme="minorEastAsia" w:hAnsiTheme="majorHAnsi"/>
          <w:noProof/>
          <w:lang w:eastAsia="en-IN"/>
        </w:rPr>
      </w:pPr>
      <w:hyperlink w:anchor="_Toc457411918" w:history="1">
        <w:r w:rsidR="00910352" w:rsidRPr="0022158D">
          <w:rPr>
            <w:rStyle w:val="Hyperlink"/>
            <w:rFonts w:asciiTheme="majorHAnsi" w:hAnsiTheme="majorHAnsi"/>
            <w:noProof/>
          </w:rPr>
          <w:t>Brief Description: -</w:t>
        </w:r>
        <w:r w:rsidR="00910352" w:rsidRPr="0022158D">
          <w:rPr>
            <w:rFonts w:asciiTheme="majorHAnsi" w:hAnsiTheme="majorHAnsi"/>
            <w:noProof/>
            <w:webHidden/>
          </w:rPr>
          <w:tab/>
        </w:r>
        <w:r w:rsidR="00B71553" w:rsidRPr="0022158D">
          <w:rPr>
            <w:rFonts w:asciiTheme="majorHAnsi" w:hAnsiTheme="majorHAnsi"/>
            <w:noProof/>
            <w:webHidden/>
          </w:rPr>
          <w:t>9</w:t>
        </w:r>
      </w:hyperlink>
    </w:p>
    <w:p w:rsidR="00910352" w:rsidRPr="0022158D" w:rsidRDefault="00616BB5" w:rsidP="00910352">
      <w:pPr>
        <w:pStyle w:val="TOC2"/>
        <w:tabs>
          <w:tab w:val="right" w:leader="underscore" w:pos="9016"/>
        </w:tabs>
        <w:rPr>
          <w:rFonts w:asciiTheme="majorHAnsi" w:eastAsiaTheme="minorEastAsia" w:hAnsiTheme="majorHAnsi"/>
          <w:noProof/>
          <w:lang w:eastAsia="en-IN"/>
        </w:rPr>
      </w:pPr>
      <w:hyperlink w:anchor="_Toc457411919" w:history="1">
        <w:r w:rsidR="00910352" w:rsidRPr="0022158D">
          <w:rPr>
            <w:rFonts w:asciiTheme="majorHAnsi" w:hAnsiTheme="majorHAnsi"/>
          </w:rPr>
          <w:t xml:space="preserve"> </w:t>
        </w:r>
        <w:r w:rsidR="00910352" w:rsidRPr="0022158D">
          <w:rPr>
            <w:rStyle w:val="Hyperlink"/>
            <w:rFonts w:asciiTheme="majorHAnsi" w:hAnsiTheme="majorHAnsi"/>
            <w:noProof/>
          </w:rPr>
          <w:t>Purpose Of OPPE: -</w:t>
        </w:r>
        <w:r w:rsidR="00910352" w:rsidRPr="0022158D">
          <w:rPr>
            <w:rFonts w:asciiTheme="majorHAnsi" w:hAnsiTheme="majorHAnsi"/>
            <w:noProof/>
            <w:webHidden/>
          </w:rPr>
          <w:tab/>
        </w:r>
        <w:r w:rsidR="00B71553" w:rsidRPr="0022158D">
          <w:rPr>
            <w:rFonts w:asciiTheme="majorHAnsi" w:hAnsiTheme="majorHAnsi"/>
            <w:noProof/>
            <w:webHidden/>
          </w:rPr>
          <w:t>9</w:t>
        </w:r>
      </w:hyperlink>
    </w:p>
    <w:p w:rsidR="00910352" w:rsidRPr="0022158D" w:rsidRDefault="00616BB5" w:rsidP="00910352">
      <w:pPr>
        <w:pStyle w:val="TOC2"/>
        <w:tabs>
          <w:tab w:val="right" w:leader="underscore" w:pos="9016"/>
        </w:tabs>
        <w:rPr>
          <w:rFonts w:asciiTheme="majorHAnsi" w:hAnsiTheme="majorHAnsi"/>
          <w:noProof/>
        </w:rPr>
      </w:pPr>
      <w:hyperlink w:anchor="_Toc457411920" w:history="1">
        <w:r w:rsidR="00910352" w:rsidRPr="0022158D">
          <w:rPr>
            <w:rStyle w:val="Hyperlink"/>
            <w:rFonts w:asciiTheme="majorHAnsi" w:hAnsiTheme="majorHAnsi"/>
            <w:noProof/>
          </w:rPr>
          <w:t>Measures: -</w:t>
        </w:r>
        <w:r w:rsidR="00910352" w:rsidRPr="0022158D">
          <w:rPr>
            <w:rFonts w:asciiTheme="majorHAnsi" w:hAnsiTheme="majorHAnsi"/>
            <w:noProof/>
            <w:webHidden/>
          </w:rPr>
          <w:tab/>
        </w:r>
        <w:r w:rsidR="00B71553" w:rsidRPr="0022158D">
          <w:rPr>
            <w:rFonts w:asciiTheme="majorHAnsi" w:hAnsiTheme="majorHAnsi"/>
            <w:noProof/>
            <w:webHidden/>
          </w:rPr>
          <w:t>9</w:t>
        </w:r>
      </w:hyperlink>
    </w:p>
    <w:p w:rsidR="00910352" w:rsidRPr="0022158D" w:rsidRDefault="00910352" w:rsidP="00910352">
      <w:pPr>
        <w:pStyle w:val="TOC1"/>
        <w:tabs>
          <w:tab w:val="right" w:leader="underscore" w:pos="9016"/>
        </w:tabs>
        <w:rPr>
          <w:rFonts w:asciiTheme="majorHAnsi" w:eastAsiaTheme="minorEastAsia" w:hAnsiTheme="majorHAnsi"/>
          <w:noProof/>
          <w:lang w:eastAsia="en-IN"/>
        </w:rPr>
      </w:pPr>
      <w:r w:rsidRPr="0022158D">
        <w:rPr>
          <w:rFonts w:asciiTheme="majorHAnsi" w:hAnsiTheme="majorHAnsi"/>
        </w:rPr>
        <w:t xml:space="preserve">     </w:t>
      </w:r>
      <w:hyperlink w:anchor="_Toc457411917" w:history="1">
        <w:r w:rsidRPr="0022158D">
          <w:rPr>
            <w:rStyle w:val="Hyperlink"/>
            <w:rFonts w:asciiTheme="majorHAnsi" w:hAnsiTheme="majorHAnsi"/>
            <w:noProof/>
          </w:rPr>
          <w:t>FPPE</w:t>
        </w:r>
        <w:r w:rsidRPr="0022158D">
          <w:rPr>
            <w:rFonts w:asciiTheme="majorHAnsi" w:hAnsiTheme="majorHAnsi"/>
            <w:noProof/>
            <w:webHidden/>
          </w:rPr>
          <w:tab/>
        </w:r>
        <w:r w:rsidR="00B71553" w:rsidRPr="0022158D">
          <w:rPr>
            <w:rFonts w:asciiTheme="majorHAnsi" w:hAnsiTheme="majorHAnsi"/>
            <w:noProof/>
            <w:webHidden/>
          </w:rPr>
          <w:t>10</w:t>
        </w:r>
      </w:hyperlink>
    </w:p>
    <w:p w:rsidR="00910352" w:rsidRPr="0022158D" w:rsidRDefault="00616BB5" w:rsidP="00910352">
      <w:pPr>
        <w:pStyle w:val="TOC2"/>
        <w:tabs>
          <w:tab w:val="right" w:leader="underscore" w:pos="9016"/>
        </w:tabs>
        <w:rPr>
          <w:rFonts w:asciiTheme="majorHAnsi" w:eastAsiaTheme="minorEastAsia" w:hAnsiTheme="majorHAnsi"/>
          <w:noProof/>
          <w:lang w:eastAsia="en-IN"/>
        </w:rPr>
      </w:pPr>
      <w:hyperlink w:anchor="_Toc457411918" w:history="1">
        <w:r w:rsidR="00910352" w:rsidRPr="0022158D">
          <w:rPr>
            <w:rStyle w:val="Hyperlink"/>
            <w:rFonts w:asciiTheme="majorHAnsi" w:hAnsiTheme="majorHAnsi"/>
            <w:noProof/>
          </w:rPr>
          <w:t>Brief Description: -</w:t>
        </w:r>
        <w:r w:rsidR="00910352" w:rsidRPr="0022158D">
          <w:rPr>
            <w:rFonts w:asciiTheme="majorHAnsi" w:hAnsiTheme="majorHAnsi"/>
            <w:noProof/>
            <w:webHidden/>
          </w:rPr>
          <w:tab/>
        </w:r>
        <w:r w:rsidR="00B71553" w:rsidRPr="0022158D">
          <w:rPr>
            <w:rFonts w:asciiTheme="majorHAnsi" w:hAnsiTheme="majorHAnsi"/>
            <w:noProof/>
            <w:webHidden/>
          </w:rPr>
          <w:t>10</w:t>
        </w:r>
      </w:hyperlink>
    </w:p>
    <w:p w:rsidR="00910352" w:rsidRPr="0022158D" w:rsidRDefault="00616BB5" w:rsidP="00910352">
      <w:pPr>
        <w:pStyle w:val="TOC2"/>
        <w:tabs>
          <w:tab w:val="right" w:leader="underscore" w:pos="9016"/>
        </w:tabs>
        <w:rPr>
          <w:rFonts w:asciiTheme="majorHAnsi" w:hAnsiTheme="majorHAnsi"/>
          <w:noProof/>
        </w:rPr>
      </w:pPr>
      <w:hyperlink w:anchor="_Toc457411920" w:history="1">
        <w:r w:rsidR="00910352" w:rsidRPr="0022158D">
          <w:rPr>
            <w:rStyle w:val="Hyperlink"/>
            <w:rFonts w:asciiTheme="majorHAnsi" w:hAnsiTheme="majorHAnsi"/>
            <w:noProof/>
          </w:rPr>
          <w:t>Measures: -</w:t>
        </w:r>
        <w:r w:rsidR="00910352" w:rsidRPr="0022158D">
          <w:rPr>
            <w:rFonts w:asciiTheme="majorHAnsi" w:hAnsiTheme="majorHAnsi"/>
            <w:noProof/>
            <w:webHidden/>
          </w:rPr>
          <w:tab/>
        </w:r>
        <w:r w:rsidR="00B71553" w:rsidRPr="0022158D">
          <w:rPr>
            <w:rFonts w:asciiTheme="majorHAnsi" w:hAnsiTheme="majorHAnsi"/>
            <w:noProof/>
            <w:webHidden/>
          </w:rPr>
          <w:t>10</w:t>
        </w:r>
      </w:hyperlink>
    </w:p>
    <w:p w:rsidR="00910352" w:rsidRPr="0022158D" w:rsidRDefault="00616BB5" w:rsidP="00910352">
      <w:pPr>
        <w:pStyle w:val="TOC2"/>
        <w:tabs>
          <w:tab w:val="right" w:leader="underscore" w:pos="9016"/>
        </w:tabs>
        <w:rPr>
          <w:rFonts w:asciiTheme="majorHAnsi" w:hAnsiTheme="majorHAnsi"/>
          <w:noProof/>
        </w:rPr>
      </w:pPr>
      <w:hyperlink w:anchor="_Toc457411920" w:history="1">
        <w:r w:rsidR="00910352" w:rsidRPr="0022158D">
          <w:rPr>
            <w:rStyle w:val="Hyperlink"/>
            <w:rFonts w:asciiTheme="majorHAnsi" w:hAnsiTheme="majorHAnsi"/>
            <w:noProof/>
          </w:rPr>
          <w:t>Contact: -</w:t>
        </w:r>
        <w:r w:rsidR="00910352" w:rsidRPr="0022158D">
          <w:rPr>
            <w:rFonts w:asciiTheme="majorHAnsi" w:hAnsiTheme="majorHAnsi"/>
            <w:noProof/>
            <w:webHidden/>
          </w:rPr>
          <w:tab/>
        </w:r>
        <w:r w:rsidR="00B71553" w:rsidRPr="0022158D">
          <w:rPr>
            <w:rFonts w:asciiTheme="majorHAnsi" w:hAnsiTheme="majorHAnsi"/>
            <w:noProof/>
            <w:webHidden/>
          </w:rPr>
          <w:t>10</w:t>
        </w:r>
      </w:hyperlink>
    </w:p>
    <w:p w:rsidR="003F3476" w:rsidRPr="0022158D" w:rsidRDefault="003F3476" w:rsidP="003F3476">
      <w:pPr>
        <w:pStyle w:val="TOC1"/>
        <w:tabs>
          <w:tab w:val="right" w:leader="underscore" w:pos="9016"/>
        </w:tabs>
        <w:rPr>
          <w:rFonts w:asciiTheme="majorHAnsi" w:hAnsiTheme="majorHAnsi"/>
          <w:noProof/>
        </w:rPr>
      </w:pPr>
      <w:r w:rsidRPr="0022158D">
        <w:rPr>
          <w:rFonts w:asciiTheme="majorHAnsi" w:hAnsiTheme="majorHAnsi"/>
        </w:rPr>
        <w:lastRenderedPageBreak/>
        <w:t xml:space="preserve"> </w:t>
      </w:r>
      <w:r w:rsidR="00B71553" w:rsidRPr="0022158D">
        <w:rPr>
          <w:rFonts w:asciiTheme="majorHAnsi" w:hAnsiTheme="majorHAnsi"/>
        </w:rPr>
        <w:t>National Practitioner Data Bank</w:t>
      </w:r>
      <w:r w:rsidR="0022158D">
        <w:rPr>
          <w:rFonts w:asciiTheme="majorHAnsi" w:hAnsiTheme="majorHAnsi"/>
        </w:rPr>
        <w:t xml:space="preserve"> (NPDB)</w:t>
      </w:r>
      <w:hyperlink w:anchor="_Toc457411917" w:history="1">
        <w:r w:rsidRPr="0022158D">
          <w:rPr>
            <w:rFonts w:asciiTheme="majorHAnsi" w:hAnsiTheme="majorHAnsi"/>
            <w:noProof/>
            <w:webHidden/>
          </w:rPr>
          <w:tab/>
        </w:r>
        <w:r w:rsidR="00B71553" w:rsidRPr="0022158D">
          <w:rPr>
            <w:rFonts w:asciiTheme="majorHAnsi" w:hAnsiTheme="majorHAnsi"/>
            <w:noProof/>
            <w:webHidden/>
          </w:rPr>
          <w:t>11</w:t>
        </w:r>
      </w:hyperlink>
    </w:p>
    <w:p w:rsidR="003F3476" w:rsidRPr="0022158D" w:rsidRDefault="003F3476" w:rsidP="003F3476">
      <w:pPr>
        <w:pStyle w:val="TOC1"/>
        <w:tabs>
          <w:tab w:val="right" w:leader="underscore" w:pos="9016"/>
        </w:tabs>
        <w:rPr>
          <w:rFonts w:asciiTheme="majorHAnsi" w:eastAsiaTheme="minorEastAsia" w:hAnsiTheme="majorHAnsi"/>
          <w:noProof/>
          <w:lang w:eastAsia="en-IN"/>
        </w:rPr>
      </w:pPr>
      <w:r w:rsidRPr="0022158D">
        <w:rPr>
          <w:rFonts w:asciiTheme="majorHAnsi" w:hAnsiTheme="majorHAnsi"/>
        </w:rPr>
        <w:t xml:space="preserve">     </w:t>
      </w:r>
      <w:hyperlink w:anchor="_Toc457411917" w:history="1">
        <w:r w:rsidR="00D26122" w:rsidRPr="0022158D">
          <w:rPr>
            <w:rStyle w:val="Hyperlink"/>
            <w:rFonts w:asciiTheme="majorHAnsi" w:hAnsiTheme="majorHAnsi"/>
            <w:bCs/>
            <w:noProof/>
          </w:rPr>
          <w:t>Brief Description</w:t>
        </w:r>
        <w:r w:rsidR="00B71553" w:rsidRPr="0022158D">
          <w:rPr>
            <w:rStyle w:val="Hyperlink"/>
            <w:rFonts w:asciiTheme="majorHAnsi" w:hAnsiTheme="majorHAnsi"/>
            <w:bCs/>
            <w:noProof/>
          </w:rPr>
          <w:t>:-</w:t>
        </w:r>
        <w:r w:rsidRPr="0022158D">
          <w:rPr>
            <w:rStyle w:val="Hyperlink"/>
            <w:rFonts w:asciiTheme="majorHAnsi" w:hAnsiTheme="majorHAnsi"/>
            <w:noProof/>
            <w:webHidden/>
          </w:rPr>
          <w:tab/>
        </w:r>
        <w:r w:rsidR="00B71553" w:rsidRPr="0022158D">
          <w:rPr>
            <w:rStyle w:val="Hyperlink"/>
            <w:rFonts w:asciiTheme="majorHAnsi" w:hAnsiTheme="majorHAnsi"/>
            <w:noProof/>
            <w:webHidden/>
          </w:rPr>
          <w:t>11</w:t>
        </w:r>
      </w:hyperlink>
    </w:p>
    <w:p w:rsidR="003F3476" w:rsidRPr="0022158D" w:rsidRDefault="00616BB5" w:rsidP="003F3476">
      <w:pPr>
        <w:pStyle w:val="TOC2"/>
        <w:tabs>
          <w:tab w:val="right" w:leader="underscore" w:pos="9016"/>
        </w:tabs>
        <w:rPr>
          <w:rFonts w:asciiTheme="majorHAnsi" w:eastAsiaTheme="minorEastAsia" w:hAnsiTheme="majorHAnsi"/>
          <w:noProof/>
          <w:lang w:eastAsia="en-IN"/>
        </w:rPr>
      </w:pPr>
      <w:hyperlink w:anchor="_Toc457411918" w:history="1">
        <w:r w:rsidR="00B71553" w:rsidRPr="0022158D">
          <w:rPr>
            <w:rStyle w:val="Hyperlink"/>
            <w:rFonts w:asciiTheme="majorHAnsi" w:hAnsiTheme="majorHAnsi"/>
            <w:noProof/>
          </w:rPr>
          <w:t>Information Provided to User</w:t>
        </w:r>
        <w:r w:rsidR="003F3476" w:rsidRPr="0022158D">
          <w:rPr>
            <w:rStyle w:val="Hyperlink"/>
            <w:rFonts w:asciiTheme="majorHAnsi" w:hAnsiTheme="majorHAnsi"/>
            <w:noProof/>
          </w:rPr>
          <w:t>: -</w:t>
        </w:r>
        <w:r w:rsidR="003F3476" w:rsidRPr="0022158D">
          <w:rPr>
            <w:rFonts w:asciiTheme="majorHAnsi" w:hAnsiTheme="majorHAnsi"/>
            <w:noProof/>
            <w:webHidden/>
          </w:rPr>
          <w:tab/>
        </w:r>
        <w:r w:rsidR="00B71553" w:rsidRPr="0022158D">
          <w:rPr>
            <w:rFonts w:asciiTheme="majorHAnsi" w:hAnsiTheme="majorHAnsi"/>
            <w:noProof/>
            <w:webHidden/>
          </w:rPr>
          <w:t>11</w:t>
        </w:r>
      </w:hyperlink>
    </w:p>
    <w:p w:rsidR="003F3476" w:rsidRPr="0022158D" w:rsidRDefault="00616BB5" w:rsidP="003F3476">
      <w:pPr>
        <w:pStyle w:val="TOC2"/>
        <w:tabs>
          <w:tab w:val="right" w:leader="underscore" w:pos="9016"/>
        </w:tabs>
        <w:rPr>
          <w:rFonts w:asciiTheme="majorHAnsi" w:eastAsiaTheme="minorEastAsia" w:hAnsiTheme="majorHAnsi"/>
          <w:noProof/>
          <w:lang w:eastAsia="en-IN"/>
        </w:rPr>
      </w:pPr>
      <w:hyperlink w:anchor="_Toc457411919" w:history="1">
        <w:r w:rsidR="003F3476" w:rsidRPr="0022158D">
          <w:rPr>
            <w:rFonts w:asciiTheme="majorHAnsi" w:hAnsiTheme="majorHAnsi"/>
          </w:rPr>
          <w:t xml:space="preserve"> </w:t>
        </w:r>
        <w:r w:rsidR="00B71553" w:rsidRPr="0022158D">
          <w:rPr>
            <w:rStyle w:val="Hyperlink"/>
            <w:rFonts w:asciiTheme="majorHAnsi" w:hAnsiTheme="majorHAnsi"/>
            <w:noProof/>
          </w:rPr>
          <w:t>Information Access:</w:t>
        </w:r>
        <w:r w:rsidR="003F3476" w:rsidRPr="0022158D">
          <w:rPr>
            <w:rStyle w:val="Hyperlink"/>
            <w:rFonts w:asciiTheme="majorHAnsi" w:hAnsiTheme="majorHAnsi"/>
            <w:noProof/>
          </w:rPr>
          <w:t xml:space="preserve"> -</w:t>
        </w:r>
        <w:r w:rsidR="003F3476" w:rsidRPr="0022158D">
          <w:rPr>
            <w:rFonts w:asciiTheme="majorHAnsi" w:hAnsiTheme="majorHAnsi"/>
            <w:noProof/>
            <w:webHidden/>
          </w:rPr>
          <w:tab/>
        </w:r>
        <w:r w:rsidR="00B71553" w:rsidRPr="0022158D">
          <w:rPr>
            <w:rFonts w:asciiTheme="majorHAnsi" w:hAnsiTheme="majorHAnsi"/>
            <w:noProof/>
            <w:webHidden/>
          </w:rPr>
          <w:t>11</w:t>
        </w:r>
      </w:hyperlink>
    </w:p>
    <w:p w:rsidR="003F3476" w:rsidRPr="0022158D" w:rsidRDefault="00616BB5" w:rsidP="003F3476">
      <w:pPr>
        <w:pStyle w:val="TOC2"/>
        <w:tabs>
          <w:tab w:val="right" w:leader="underscore" w:pos="9016"/>
        </w:tabs>
        <w:rPr>
          <w:rFonts w:asciiTheme="majorHAnsi" w:hAnsiTheme="majorHAnsi"/>
          <w:noProof/>
        </w:rPr>
      </w:pPr>
      <w:hyperlink w:anchor="_Toc457411920" w:history="1">
        <w:r w:rsidR="00B71553" w:rsidRPr="0022158D">
          <w:rPr>
            <w:rStyle w:val="Hyperlink"/>
            <w:rFonts w:asciiTheme="majorHAnsi" w:hAnsiTheme="majorHAnsi"/>
            <w:noProof/>
          </w:rPr>
          <w:t>Data Bank Security</w:t>
        </w:r>
        <w:r w:rsidR="003F3476" w:rsidRPr="0022158D">
          <w:rPr>
            <w:rStyle w:val="Hyperlink"/>
            <w:rFonts w:asciiTheme="majorHAnsi" w:hAnsiTheme="majorHAnsi"/>
            <w:noProof/>
          </w:rPr>
          <w:t>: -</w:t>
        </w:r>
        <w:r w:rsidR="003F3476" w:rsidRPr="0022158D">
          <w:rPr>
            <w:rFonts w:asciiTheme="majorHAnsi" w:hAnsiTheme="majorHAnsi"/>
            <w:noProof/>
            <w:webHidden/>
          </w:rPr>
          <w:tab/>
        </w:r>
        <w:r w:rsidR="00B71553" w:rsidRPr="0022158D">
          <w:rPr>
            <w:rFonts w:asciiTheme="majorHAnsi" w:hAnsiTheme="majorHAnsi"/>
            <w:noProof/>
            <w:webHidden/>
          </w:rPr>
          <w:t>12</w:t>
        </w:r>
      </w:hyperlink>
    </w:p>
    <w:p w:rsidR="003F3476" w:rsidRPr="0022158D" w:rsidRDefault="003F3476" w:rsidP="003F3476">
      <w:pPr>
        <w:pStyle w:val="TOC1"/>
        <w:tabs>
          <w:tab w:val="right" w:leader="underscore" w:pos="9016"/>
        </w:tabs>
        <w:rPr>
          <w:rFonts w:asciiTheme="majorHAnsi" w:eastAsiaTheme="minorEastAsia" w:hAnsiTheme="majorHAnsi"/>
          <w:noProof/>
          <w:lang w:eastAsia="en-IN"/>
        </w:rPr>
      </w:pPr>
      <w:r w:rsidRPr="0022158D">
        <w:rPr>
          <w:rFonts w:asciiTheme="majorHAnsi" w:hAnsiTheme="majorHAnsi"/>
        </w:rPr>
        <w:t xml:space="preserve">     </w:t>
      </w:r>
      <w:hyperlink w:anchor="_Toc457411917" w:history="1">
        <w:r w:rsidR="00B71553" w:rsidRPr="0022158D">
          <w:rPr>
            <w:rStyle w:val="Hyperlink"/>
            <w:rFonts w:asciiTheme="majorHAnsi" w:hAnsiTheme="majorHAnsi"/>
            <w:noProof/>
          </w:rPr>
          <w:t>NPDP Data Source</w:t>
        </w:r>
        <w:r w:rsidRPr="0022158D">
          <w:rPr>
            <w:rFonts w:asciiTheme="majorHAnsi" w:hAnsiTheme="majorHAnsi"/>
            <w:noProof/>
            <w:webHidden/>
          </w:rPr>
          <w:tab/>
        </w:r>
        <w:r w:rsidR="00B71553" w:rsidRPr="0022158D">
          <w:rPr>
            <w:rFonts w:asciiTheme="majorHAnsi" w:hAnsiTheme="majorHAnsi"/>
            <w:noProof/>
            <w:webHidden/>
          </w:rPr>
          <w:t>12</w:t>
        </w:r>
      </w:hyperlink>
    </w:p>
    <w:p w:rsidR="003F3476" w:rsidRPr="0022158D" w:rsidRDefault="00616BB5" w:rsidP="003F3476">
      <w:pPr>
        <w:pStyle w:val="TOC2"/>
        <w:tabs>
          <w:tab w:val="right" w:leader="underscore" w:pos="9016"/>
        </w:tabs>
        <w:rPr>
          <w:rFonts w:asciiTheme="majorHAnsi" w:eastAsiaTheme="minorEastAsia" w:hAnsiTheme="majorHAnsi"/>
          <w:noProof/>
          <w:lang w:eastAsia="en-IN"/>
        </w:rPr>
      </w:pPr>
      <w:hyperlink w:anchor="_Toc457411918" w:history="1">
        <w:r w:rsidR="00D26122" w:rsidRPr="0022158D">
          <w:rPr>
            <w:rStyle w:val="Hyperlink"/>
            <w:rFonts w:asciiTheme="majorHAnsi" w:hAnsiTheme="majorHAnsi"/>
            <w:bCs/>
            <w:noProof/>
          </w:rPr>
          <w:t>NPDB and HIPDB Data Bank Merger Highlights: -</w:t>
        </w:r>
        <w:r w:rsidR="003F3476" w:rsidRPr="0022158D">
          <w:rPr>
            <w:rStyle w:val="Hyperlink"/>
            <w:rFonts w:asciiTheme="majorHAnsi" w:hAnsiTheme="majorHAnsi"/>
            <w:noProof/>
            <w:webHidden/>
          </w:rPr>
          <w:tab/>
        </w:r>
        <w:r w:rsidR="00B71553" w:rsidRPr="0022158D">
          <w:rPr>
            <w:rStyle w:val="Hyperlink"/>
            <w:rFonts w:asciiTheme="majorHAnsi" w:hAnsiTheme="majorHAnsi"/>
            <w:noProof/>
            <w:webHidden/>
          </w:rPr>
          <w:t>12</w:t>
        </w:r>
      </w:hyperlink>
    </w:p>
    <w:p w:rsidR="003F3476" w:rsidRPr="0022158D" w:rsidRDefault="00616BB5" w:rsidP="003F3476">
      <w:pPr>
        <w:pStyle w:val="TOC2"/>
        <w:tabs>
          <w:tab w:val="right" w:leader="underscore" w:pos="9016"/>
        </w:tabs>
        <w:rPr>
          <w:rFonts w:asciiTheme="majorHAnsi" w:hAnsiTheme="majorHAnsi"/>
          <w:noProof/>
        </w:rPr>
      </w:pPr>
      <w:hyperlink w:anchor="_Toc457411920" w:history="1">
        <w:r w:rsidR="00D26122" w:rsidRPr="0022158D">
          <w:rPr>
            <w:rStyle w:val="Hyperlink"/>
            <w:rFonts w:asciiTheme="majorHAnsi" w:hAnsiTheme="majorHAnsi"/>
            <w:bCs/>
          </w:rPr>
          <w:t>Applicable federal law for the NPDB includes: -</w:t>
        </w:r>
        <w:r w:rsidR="003F3476" w:rsidRPr="0022158D">
          <w:rPr>
            <w:rStyle w:val="Hyperlink"/>
            <w:rFonts w:asciiTheme="majorHAnsi" w:hAnsiTheme="majorHAnsi"/>
            <w:noProof/>
            <w:webHidden/>
          </w:rPr>
          <w:tab/>
        </w:r>
        <w:r w:rsidR="00B71553" w:rsidRPr="0022158D">
          <w:rPr>
            <w:rStyle w:val="Hyperlink"/>
            <w:rFonts w:asciiTheme="majorHAnsi" w:hAnsiTheme="majorHAnsi"/>
            <w:noProof/>
            <w:webHidden/>
          </w:rPr>
          <w:t>12</w:t>
        </w:r>
      </w:hyperlink>
    </w:p>
    <w:p w:rsidR="00B71553" w:rsidRPr="0022158D" w:rsidRDefault="00616BB5" w:rsidP="00B71553">
      <w:pPr>
        <w:pStyle w:val="TOC2"/>
        <w:tabs>
          <w:tab w:val="right" w:leader="underscore" w:pos="9016"/>
        </w:tabs>
        <w:rPr>
          <w:rFonts w:asciiTheme="majorHAnsi" w:hAnsiTheme="majorHAnsi"/>
          <w:noProof/>
        </w:rPr>
      </w:pPr>
      <w:hyperlink w:anchor="_Toc457411920" w:history="1">
        <w:r w:rsidR="00B71553" w:rsidRPr="0022158D">
          <w:rPr>
            <w:rStyle w:val="Hyperlink"/>
            <w:rFonts w:asciiTheme="majorHAnsi" w:hAnsiTheme="majorHAnsi"/>
            <w:bCs/>
          </w:rPr>
          <w:t>FAQ: -</w:t>
        </w:r>
        <w:r w:rsidR="00B71553" w:rsidRPr="0022158D">
          <w:rPr>
            <w:rStyle w:val="Hyperlink"/>
            <w:rFonts w:asciiTheme="majorHAnsi" w:hAnsiTheme="majorHAnsi"/>
            <w:noProof/>
            <w:webHidden/>
          </w:rPr>
          <w:tab/>
          <w:t>12</w:t>
        </w:r>
      </w:hyperlink>
    </w:p>
    <w:p w:rsidR="00EC55D4" w:rsidRPr="0022158D" w:rsidRDefault="00933EA7" w:rsidP="00EC55D4">
      <w:pPr>
        <w:pStyle w:val="TOC2"/>
        <w:tabs>
          <w:tab w:val="right" w:leader="underscore" w:pos="9016"/>
        </w:tabs>
        <w:ind w:left="0"/>
        <w:rPr>
          <w:rFonts w:asciiTheme="majorHAnsi" w:hAnsiTheme="majorHAnsi"/>
          <w:noProof/>
        </w:rPr>
      </w:pPr>
      <w:r w:rsidRPr="0022158D">
        <w:rPr>
          <w:rFonts w:asciiTheme="majorHAnsi" w:hAnsiTheme="majorHAnsi"/>
        </w:rPr>
        <w:t xml:space="preserve">Council for Affordable Quality </w:t>
      </w:r>
      <w:r w:rsidR="00EC55D4" w:rsidRPr="0022158D">
        <w:rPr>
          <w:rFonts w:asciiTheme="majorHAnsi" w:hAnsiTheme="majorHAnsi"/>
        </w:rPr>
        <w:t>Healthcare (CAQH</w:t>
      </w:r>
      <w:r w:rsidR="0099670C" w:rsidRPr="0022158D">
        <w:rPr>
          <w:rFonts w:asciiTheme="majorHAnsi" w:hAnsiTheme="majorHAnsi"/>
        </w:rPr>
        <w:t>)</w:t>
      </w:r>
      <w:hyperlink w:anchor="_Toc457411917" w:history="1">
        <w:r w:rsidR="00EC55D4" w:rsidRPr="0022158D">
          <w:rPr>
            <w:rFonts w:asciiTheme="majorHAnsi" w:hAnsiTheme="majorHAnsi"/>
            <w:noProof/>
            <w:webHidden/>
          </w:rPr>
          <w:tab/>
          <w:t>13</w:t>
        </w:r>
      </w:hyperlink>
    </w:p>
    <w:p w:rsidR="00EC55D4" w:rsidRPr="0022158D" w:rsidRDefault="00EC55D4" w:rsidP="00EC55D4">
      <w:pPr>
        <w:pStyle w:val="TOC1"/>
        <w:tabs>
          <w:tab w:val="right" w:leader="underscore" w:pos="9016"/>
        </w:tabs>
        <w:rPr>
          <w:rFonts w:asciiTheme="majorHAnsi" w:eastAsiaTheme="minorEastAsia" w:hAnsiTheme="majorHAnsi"/>
          <w:noProof/>
          <w:lang w:eastAsia="en-IN"/>
        </w:rPr>
      </w:pPr>
      <w:r w:rsidRPr="0022158D">
        <w:rPr>
          <w:rFonts w:asciiTheme="majorHAnsi" w:hAnsiTheme="majorHAnsi"/>
        </w:rPr>
        <w:t xml:space="preserve">     </w:t>
      </w:r>
      <w:hyperlink w:anchor="_Toc457411917" w:history="1">
        <w:r w:rsidRPr="0022158D">
          <w:rPr>
            <w:rStyle w:val="Hyperlink"/>
            <w:rFonts w:asciiTheme="majorHAnsi" w:hAnsiTheme="majorHAnsi"/>
            <w:noProof/>
          </w:rPr>
          <w:t>Brief Description:-</w:t>
        </w:r>
        <w:r w:rsidRPr="0022158D">
          <w:rPr>
            <w:rFonts w:asciiTheme="majorHAnsi" w:hAnsiTheme="majorHAnsi"/>
            <w:noProof/>
            <w:webHidden/>
          </w:rPr>
          <w:tab/>
          <w:t>13</w:t>
        </w:r>
      </w:hyperlink>
    </w:p>
    <w:p w:rsidR="00EC55D4" w:rsidRPr="0022158D" w:rsidRDefault="00616BB5" w:rsidP="00EC55D4">
      <w:pPr>
        <w:pStyle w:val="TOC2"/>
        <w:tabs>
          <w:tab w:val="right" w:leader="underscore" w:pos="9016"/>
        </w:tabs>
        <w:rPr>
          <w:rFonts w:asciiTheme="majorHAnsi" w:eastAsiaTheme="minorEastAsia" w:hAnsiTheme="majorHAnsi"/>
          <w:noProof/>
          <w:lang w:eastAsia="en-IN"/>
        </w:rPr>
      </w:pPr>
      <w:hyperlink w:anchor="_Toc457411918" w:history="1">
        <w:r w:rsidR="00933EA7" w:rsidRPr="0022158D">
          <w:rPr>
            <w:rStyle w:val="Hyperlink"/>
            <w:rFonts w:asciiTheme="majorHAnsi" w:hAnsiTheme="majorHAnsi"/>
          </w:rPr>
          <w:t>Services by CAQH:-</w:t>
        </w:r>
        <w:r w:rsidR="00EC55D4" w:rsidRPr="0022158D">
          <w:rPr>
            <w:rStyle w:val="Hyperlink"/>
            <w:rFonts w:asciiTheme="majorHAnsi" w:hAnsiTheme="majorHAnsi"/>
            <w:noProof/>
            <w:webHidden/>
          </w:rPr>
          <w:tab/>
          <w:t>13</w:t>
        </w:r>
      </w:hyperlink>
    </w:p>
    <w:p w:rsidR="00EC55D4" w:rsidRPr="0022158D" w:rsidRDefault="00616BB5" w:rsidP="00EC55D4">
      <w:pPr>
        <w:pStyle w:val="TOC2"/>
        <w:tabs>
          <w:tab w:val="right" w:leader="underscore" w:pos="9016"/>
        </w:tabs>
        <w:rPr>
          <w:rFonts w:asciiTheme="majorHAnsi" w:eastAsiaTheme="minorEastAsia" w:hAnsiTheme="majorHAnsi"/>
          <w:noProof/>
          <w:lang w:eastAsia="en-IN"/>
        </w:rPr>
      </w:pPr>
      <w:hyperlink w:anchor="_Toc457411919" w:history="1">
        <w:r w:rsidR="00EC55D4" w:rsidRPr="0022158D">
          <w:rPr>
            <w:rStyle w:val="Hyperlink"/>
            <w:rFonts w:asciiTheme="majorHAnsi" w:hAnsiTheme="majorHAnsi"/>
          </w:rPr>
          <w:t xml:space="preserve"> </w:t>
        </w:r>
        <w:r w:rsidR="00933EA7" w:rsidRPr="0022158D">
          <w:rPr>
            <w:rStyle w:val="Hyperlink"/>
            <w:rFonts w:asciiTheme="majorHAnsi" w:hAnsiTheme="majorHAnsi"/>
            <w:noProof/>
          </w:rPr>
          <w:t>Data Provided By CAQH:-</w:t>
        </w:r>
        <w:r w:rsidR="00EC55D4" w:rsidRPr="0022158D">
          <w:rPr>
            <w:rStyle w:val="Hyperlink"/>
            <w:rFonts w:asciiTheme="majorHAnsi" w:hAnsiTheme="majorHAnsi"/>
            <w:noProof/>
            <w:webHidden/>
          </w:rPr>
          <w:tab/>
        </w:r>
        <w:r w:rsidR="004861AE">
          <w:rPr>
            <w:rStyle w:val="Hyperlink"/>
            <w:rFonts w:asciiTheme="majorHAnsi" w:hAnsiTheme="majorHAnsi"/>
            <w:noProof/>
            <w:webHidden/>
          </w:rPr>
          <w:t>13</w:t>
        </w:r>
      </w:hyperlink>
    </w:p>
    <w:p w:rsidR="00EC55D4" w:rsidRPr="0022158D" w:rsidRDefault="00616BB5" w:rsidP="00EC55D4">
      <w:pPr>
        <w:pStyle w:val="TOC2"/>
        <w:tabs>
          <w:tab w:val="right" w:leader="underscore" w:pos="9016"/>
        </w:tabs>
        <w:rPr>
          <w:rFonts w:asciiTheme="majorHAnsi" w:hAnsiTheme="majorHAnsi"/>
          <w:noProof/>
        </w:rPr>
      </w:pPr>
      <w:hyperlink w:anchor="_Toc457411920" w:history="1">
        <w:r w:rsidR="00EC55D4" w:rsidRPr="0022158D">
          <w:rPr>
            <w:rStyle w:val="Hyperlink"/>
            <w:rFonts w:asciiTheme="majorHAnsi" w:hAnsiTheme="majorHAnsi"/>
            <w:noProof/>
          </w:rPr>
          <w:t>Contact: -</w:t>
        </w:r>
        <w:r w:rsidR="00EC55D4" w:rsidRPr="0022158D">
          <w:rPr>
            <w:rFonts w:asciiTheme="majorHAnsi" w:hAnsiTheme="majorHAnsi"/>
            <w:noProof/>
            <w:webHidden/>
          </w:rPr>
          <w:tab/>
        </w:r>
        <w:r w:rsidR="004861AE">
          <w:rPr>
            <w:rFonts w:asciiTheme="majorHAnsi" w:hAnsiTheme="majorHAnsi"/>
            <w:noProof/>
            <w:webHidden/>
          </w:rPr>
          <w:t>13</w:t>
        </w:r>
      </w:hyperlink>
    </w:p>
    <w:p w:rsidR="00EC55D4" w:rsidRPr="0022158D" w:rsidRDefault="00EC55D4" w:rsidP="00EC55D4">
      <w:pPr>
        <w:pStyle w:val="TOC1"/>
        <w:tabs>
          <w:tab w:val="right" w:leader="underscore" w:pos="9016"/>
        </w:tabs>
        <w:rPr>
          <w:rFonts w:asciiTheme="majorHAnsi" w:eastAsiaTheme="minorEastAsia" w:hAnsiTheme="majorHAnsi"/>
          <w:noProof/>
          <w:lang w:eastAsia="en-IN"/>
        </w:rPr>
      </w:pPr>
      <w:r w:rsidRPr="0022158D">
        <w:rPr>
          <w:rFonts w:asciiTheme="majorHAnsi" w:hAnsiTheme="majorHAnsi"/>
        </w:rPr>
        <w:t xml:space="preserve">     </w:t>
      </w:r>
      <w:hyperlink w:anchor="_Toc457411917" w:history="1">
        <w:r w:rsidRPr="0022158D">
          <w:rPr>
            <w:rStyle w:val="Hyperlink"/>
            <w:rFonts w:asciiTheme="majorHAnsi" w:hAnsiTheme="majorHAnsi"/>
            <w:noProof/>
          </w:rPr>
          <w:t>FAQ:-</w:t>
        </w:r>
        <w:r w:rsidRPr="0022158D">
          <w:rPr>
            <w:rFonts w:asciiTheme="majorHAnsi" w:hAnsiTheme="majorHAnsi"/>
            <w:noProof/>
            <w:webHidden/>
          </w:rPr>
          <w:tab/>
        </w:r>
        <w:r w:rsidR="004861AE">
          <w:rPr>
            <w:rFonts w:asciiTheme="majorHAnsi" w:hAnsiTheme="majorHAnsi"/>
            <w:noProof/>
            <w:webHidden/>
          </w:rPr>
          <w:t>13</w:t>
        </w:r>
      </w:hyperlink>
    </w:p>
    <w:p w:rsidR="003F3476" w:rsidRPr="0022158D" w:rsidRDefault="003F3476" w:rsidP="00910352">
      <w:pPr>
        <w:rPr>
          <w:rFonts w:asciiTheme="majorHAnsi" w:hAnsiTheme="majorHAnsi"/>
        </w:rPr>
      </w:pPr>
    </w:p>
    <w:p w:rsidR="00EC55D4" w:rsidRPr="0022158D" w:rsidRDefault="00EC55D4" w:rsidP="00910352">
      <w:pPr>
        <w:rPr>
          <w:rFonts w:asciiTheme="majorHAnsi" w:hAnsiTheme="majorHAnsi"/>
        </w:rPr>
      </w:pPr>
    </w:p>
    <w:p w:rsidR="00EC55D4" w:rsidRPr="0022158D" w:rsidRDefault="00EC55D4" w:rsidP="00910352">
      <w:pPr>
        <w:rPr>
          <w:rFonts w:asciiTheme="majorHAnsi" w:hAnsiTheme="majorHAnsi"/>
        </w:rPr>
      </w:pPr>
    </w:p>
    <w:p w:rsidR="003F3476" w:rsidRPr="0022158D" w:rsidRDefault="003F3476" w:rsidP="00910352">
      <w:pPr>
        <w:rPr>
          <w:rFonts w:asciiTheme="majorHAnsi" w:hAnsiTheme="majorHAnsi"/>
        </w:rPr>
      </w:pPr>
    </w:p>
    <w:p w:rsidR="003F3476" w:rsidRPr="0022158D" w:rsidRDefault="003F3476" w:rsidP="00910352">
      <w:pPr>
        <w:rPr>
          <w:rFonts w:asciiTheme="majorHAnsi" w:hAnsiTheme="majorHAnsi"/>
        </w:rPr>
      </w:pPr>
    </w:p>
    <w:p w:rsidR="003F3476" w:rsidRPr="0022158D" w:rsidRDefault="003F3476" w:rsidP="00910352">
      <w:pPr>
        <w:rPr>
          <w:rFonts w:asciiTheme="majorHAnsi" w:hAnsiTheme="majorHAnsi"/>
        </w:rPr>
      </w:pPr>
    </w:p>
    <w:p w:rsidR="003F3476" w:rsidRPr="0022158D" w:rsidRDefault="003F3476" w:rsidP="00910352">
      <w:pPr>
        <w:rPr>
          <w:rFonts w:asciiTheme="majorHAnsi" w:hAnsiTheme="majorHAnsi"/>
        </w:rPr>
      </w:pPr>
    </w:p>
    <w:p w:rsidR="003F3476" w:rsidRPr="0022158D" w:rsidRDefault="003F3476" w:rsidP="00910352">
      <w:pPr>
        <w:rPr>
          <w:rFonts w:asciiTheme="majorHAnsi" w:hAnsiTheme="majorHAnsi"/>
        </w:rPr>
      </w:pPr>
    </w:p>
    <w:p w:rsidR="003F3476" w:rsidRPr="0022158D" w:rsidRDefault="003F3476" w:rsidP="00910352">
      <w:pPr>
        <w:rPr>
          <w:rFonts w:asciiTheme="majorHAnsi" w:hAnsiTheme="majorHAnsi"/>
        </w:rPr>
      </w:pPr>
    </w:p>
    <w:p w:rsidR="003F3476" w:rsidRPr="0022158D" w:rsidRDefault="003F3476" w:rsidP="00910352">
      <w:pPr>
        <w:rPr>
          <w:rFonts w:asciiTheme="majorHAnsi" w:hAnsiTheme="majorHAnsi"/>
        </w:rPr>
      </w:pPr>
    </w:p>
    <w:p w:rsidR="003F3476" w:rsidRPr="0022158D" w:rsidRDefault="003F3476" w:rsidP="00910352">
      <w:pPr>
        <w:rPr>
          <w:rFonts w:asciiTheme="majorHAnsi" w:hAnsiTheme="majorHAnsi"/>
        </w:rPr>
      </w:pPr>
    </w:p>
    <w:p w:rsidR="003F3476" w:rsidRPr="0022158D" w:rsidRDefault="003F3476" w:rsidP="00910352">
      <w:pPr>
        <w:rPr>
          <w:rFonts w:asciiTheme="majorHAnsi" w:hAnsiTheme="majorHAnsi"/>
        </w:rPr>
      </w:pPr>
    </w:p>
    <w:p w:rsidR="003F3476" w:rsidRPr="0022158D" w:rsidRDefault="003F3476" w:rsidP="00910352">
      <w:pPr>
        <w:rPr>
          <w:rFonts w:asciiTheme="majorHAnsi" w:hAnsiTheme="majorHAnsi"/>
        </w:rPr>
      </w:pPr>
    </w:p>
    <w:p w:rsidR="003F3476" w:rsidRPr="0022158D" w:rsidRDefault="003F3476" w:rsidP="00910352">
      <w:pPr>
        <w:rPr>
          <w:rFonts w:asciiTheme="majorHAnsi" w:hAnsiTheme="majorHAnsi"/>
        </w:rPr>
      </w:pPr>
    </w:p>
    <w:p w:rsidR="003F3476" w:rsidRPr="0022158D" w:rsidRDefault="003F3476" w:rsidP="00910352">
      <w:pPr>
        <w:rPr>
          <w:rFonts w:asciiTheme="majorHAnsi" w:hAnsiTheme="majorHAnsi"/>
        </w:rPr>
      </w:pPr>
    </w:p>
    <w:p w:rsidR="003F3476" w:rsidRPr="0022158D" w:rsidRDefault="003F3476" w:rsidP="00910352">
      <w:pPr>
        <w:rPr>
          <w:rFonts w:asciiTheme="majorHAnsi" w:hAnsiTheme="majorHAnsi"/>
        </w:rPr>
      </w:pPr>
    </w:p>
    <w:p w:rsidR="003F3476" w:rsidRPr="0022158D" w:rsidRDefault="003F3476" w:rsidP="00910352">
      <w:pPr>
        <w:rPr>
          <w:rFonts w:asciiTheme="majorHAnsi" w:hAnsiTheme="majorHAnsi"/>
        </w:rPr>
      </w:pPr>
    </w:p>
    <w:p w:rsidR="003F3476" w:rsidRPr="0022158D" w:rsidRDefault="003F3476" w:rsidP="00910352">
      <w:pPr>
        <w:rPr>
          <w:rFonts w:asciiTheme="majorHAnsi" w:hAnsiTheme="majorHAnsi"/>
        </w:rPr>
      </w:pPr>
    </w:p>
    <w:p w:rsidR="00321C51" w:rsidRDefault="000908F9" w:rsidP="00353767">
      <w:r w:rsidRPr="0022158D">
        <w:rPr>
          <w:rFonts w:asciiTheme="majorHAnsi" w:hAnsiTheme="majorHAnsi"/>
        </w:rPr>
        <w:lastRenderedPageBreak/>
        <w:fldChar w:fldCharType="end"/>
      </w:r>
      <w:bookmarkStart w:id="0" w:name="_Toc457411903"/>
      <w:r w:rsidR="00321C51">
        <w:t>Version</w:t>
      </w:r>
    </w:p>
    <w:tbl>
      <w:tblPr>
        <w:tblStyle w:val="PlainTable1"/>
        <w:tblW w:w="0" w:type="auto"/>
        <w:tblLook w:val="04A0" w:firstRow="1" w:lastRow="0" w:firstColumn="1" w:lastColumn="0" w:noHBand="0" w:noVBand="1"/>
      </w:tblPr>
      <w:tblGrid>
        <w:gridCol w:w="1129"/>
        <w:gridCol w:w="4820"/>
        <w:gridCol w:w="2410"/>
      </w:tblGrid>
      <w:tr w:rsidR="00321C51" w:rsidTr="0032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21C51" w:rsidRPr="00321C51" w:rsidRDefault="00321C51" w:rsidP="00321C51">
            <w:pPr>
              <w:rPr>
                <w:b w:val="0"/>
              </w:rPr>
            </w:pPr>
            <w:r w:rsidRPr="00321C51">
              <w:rPr>
                <w:b w:val="0"/>
              </w:rPr>
              <w:t>Sl.</w:t>
            </w:r>
            <w:r>
              <w:rPr>
                <w:b w:val="0"/>
              </w:rPr>
              <w:t xml:space="preserve"> </w:t>
            </w:r>
            <w:r w:rsidRPr="00321C51">
              <w:rPr>
                <w:b w:val="0"/>
              </w:rPr>
              <w:t>No</w:t>
            </w:r>
          </w:p>
        </w:tc>
        <w:tc>
          <w:tcPr>
            <w:tcW w:w="4820" w:type="dxa"/>
          </w:tcPr>
          <w:p w:rsidR="00321C51" w:rsidRPr="00321C51" w:rsidRDefault="00321C51" w:rsidP="00321C51">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c>
          <w:tcPr>
            <w:tcW w:w="2410" w:type="dxa"/>
          </w:tcPr>
          <w:p w:rsidR="00321C51" w:rsidRPr="00321C51" w:rsidRDefault="00321C51" w:rsidP="00321C51">
            <w:pPr>
              <w:cnfStyle w:val="100000000000" w:firstRow="1" w:lastRow="0" w:firstColumn="0" w:lastColumn="0" w:oddVBand="0" w:evenVBand="0" w:oddHBand="0" w:evenHBand="0" w:firstRowFirstColumn="0" w:firstRowLastColumn="0" w:lastRowFirstColumn="0" w:lastRowLastColumn="0"/>
              <w:rPr>
                <w:b w:val="0"/>
              </w:rPr>
            </w:pPr>
            <w:r w:rsidRPr="00321C51">
              <w:rPr>
                <w:b w:val="0"/>
              </w:rPr>
              <w:t>Version</w:t>
            </w:r>
          </w:p>
        </w:tc>
      </w:tr>
      <w:tr w:rsidR="00321C51" w:rsidTr="0032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21C51" w:rsidRPr="00321C51" w:rsidRDefault="00321C51" w:rsidP="00321C51">
            <w:pPr>
              <w:rPr>
                <w:b w:val="0"/>
              </w:rPr>
            </w:pPr>
            <w:r w:rsidRPr="00321C51">
              <w:rPr>
                <w:b w:val="0"/>
              </w:rPr>
              <w:t>1</w:t>
            </w:r>
          </w:p>
        </w:tc>
        <w:tc>
          <w:tcPr>
            <w:tcW w:w="4820" w:type="dxa"/>
          </w:tcPr>
          <w:p w:rsidR="00321C51" w:rsidRDefault="006410CB" w:rsidP="00ED2463">
            <w:pPr>
              <w:cnfStyle w:val="000000100000" w:firstRow="0" w:lastRow="0" w:firstColumn="0" w:lastColumn="0" w:oddVBand="0" w:evenVBand="0" w:oddHBand="1" w:evenHBand="0" w:firstRowFirstColumn="0" w:firstRowLastColumn="0" w:lastRowFirstColumn="0" w:lastRowLastColumn="0"/>
            </w:pPr>
            <w:r>
              <w:t>ANCC, ABMS,</w:t>
            </w:r>
            <w:r w:rsidR="00321C51">
              <w:t xml:space="preserve"> NPPES</w:t>
            </w:r>
            <w:r>
              <w:t>, DO Profiles</w:t>
            </w:r>
            <w:r w:rsidR="00ED2463">
              <w:t xml:space="preserve">, OPPE &amp; FPPE, NPDP, CAQH </w:t>
            </w:r>
            <w:r w:rsidR="00321C51">
              <w:t xml:space="preserve"> research</w:t>
            </w:r>
          </w:p>
        </w:tc>
        <w:tc>
          <w:tcPr>
            <w:tcW w:w="2410" w:type="dxa"/>
          </w:tcPr>
          <w:p w:rsidR="00321C51" w:rsidRDefault="00321C51" w:rsidP="00321C51">
            <w:pPr>
              <w:cnfStyle w:val="000000100000" w:firstRow="0" w:lastRow="0" w:firstColumn="0" w:lastColumn="0" w:oddVBand="0" w:evenVBand="0" w:oddHBand="1" w:evenHBand="0" w:firstRowFirstColumn="0" w:firstRowLastColumn="0" w:lastRowFirstColumn="0" w:lastRowLastColumn="0"/>
            </w:pPr>
            <w:r>
              <w:t>1.0.1</w:t>
            </w:r>
          </w:p>
        </w:tc>
      </w:tr>
    </w:tbl>
    <w:p w:rsidR="00321C51" w:rsidRPr="00321C51" w:rsidRDefault="00321C51" w:rsidP="00321C51"/>
    <w:p w:rsidR="00321C51" w:rsidRDefault="00321C51">
      <w:pPr>
        <w:rPr>
          <w:rFonts w:asciiTheme="majorHAnsi" w:eastAsiaTheme="majorEastAsia" w:hAnsiTheme="majorHAnsi" w:cstheme="majorBidi"/>
          <w:color w:val="2E74B5" w:themeColor="accent1" w:themeShade="BF"/>
          <w:sz w:val="32"/>
          <w:szCs w:val="32"/>
        </w:rPr>
      </w:pPr>
      <w:r>
        <w:br w:type="page"/>
      </w:r>
    </w:p>
    <w:p w:rsidR="00851C42" w:rsidRDefault="00851C42" w:rsidP="000908F9">
      <w:pPr>
        <w:pStyle w:val="Heading1"/>
      </w:pPr>
      <w:r>
        <w:lastRenderedPageBreak/>
        <w:t>American Nurse Credentialing Centre</w:t>
      </w:r>
      <w:r w:rsidR="000908F9">
        <w:t xml:space="preserve"> (ANCC)</w:t>
      </w:r>
      <w:bookmarkEnd w:id="0"/>
    </w:p>
    <w:p w:rsidR="0051690D" w:rsidRDefault="0051690D" w:rsidP="00AB6BCA">
      <w:pPr>
        <w:pStyle w:val="Heading2"/>
      </w:pPr>
      <w:bookmarkStart w:id="1" w:name="_Toc457411904"/>
      <w:r>
        <w:t xml:space="preserve">Brief </w:t>
      </w:r>
      <w:r w:rsidRPr="00AB6BCA">
        <w:t>Description</w:t>
      </w:r>
      <w:r>
        <w:t>: -</w:t>
      </w:r>
      <w:bookmarkEnd w:id="1"/>
    </w:p>
    <w:p w:rsidR="000124B9" w:rsidRDefault="00851C42" w:rsidP="00851C42">
      <w:r>
        <w:t xml:space="preserve">ANCC is a </w:t>
      </w:r>
      <w:r w:rsidRPr="0051690D">
        <w:rPr>
          <w:b/>
        </w:rPr>
        <w:t>subsidiary of American Nurse Association (ANA)</w:t>
      </w:r>
      <w:r>
        <w:t xml:space="preserve">. </w:t>
      </w:r>
      <w:r w:rsidRPr="0051690D">
        <w:rPr>
          <w:i/>
        </w:rPr>
        <w:t>ANCC provides credentialing services</w:t>
      </w:r>
      <w:r w:rsidR="000124B9" w:rsidRPr="0051690D">
        <w:rPr>
          <w:i/>
        </w:rPr>
        <w:t xml:space="preserve"> for Nurses</w:t>
      </w:r>
      <w:r>
        <w:t>. Under ANCC</w:t>
      </w:r>
      <w:r w:rsidR="000124B9">
        <w:t>, w</w:t>
      </w:r>
      <w:r>
        <w:t>e have 4 main services which are entitled to provide res</w:t>
      </w:r>
      <w:r w:rsidR="000124B9">
        <w:t>pective credentialing certificates</w:t>
      </w:r>
      <w:r>
        <w:t xml:space="preserve">. </w:t>
      </w:r>
      <w:r w:rsidR="00791080">
        <w:t>They are providing Mobile Apps for New / certificated Nurses for initiating new certificates or renewing the existing certificates.</w:t>
      </w:r>
    </w:p>
    <w:p w:rsidR="00851C42" w:rsidRDefault="00851C42" w:rsidP="00851C42">
      <w:r>
        <w:t xml:space="preserve">The </w:t>
      </w:r>
      <w:r w:rsidR="000124B9">
        <w:t xml:space="preserve">4 main </w:t>
      </w:r>
      <w:r>
        <w:t>services are as below</w:t>
      </w:r>
    </w:p>
    <w:p w:rsidR="00851C42" w:rsidRDefault="00851C42" w:rsidP="00851C42">
      <w:pPr>
        <w:pStyle w:val="ListParagraph"/>
        <w:numPr>
          <w:ilvl w:val="0"/>
          <w:numId w:val="1"/>
        </w:numPr>
      </w:pPr>
      <w:r>
        <w:t>Certification for Individual Nurses</w:t>
      </w:r>
    </w:p>
    <w:p w:rsidR="00851C42" w:rsidRDefault="00851C42" w:rsidP="00851C42">
      <w:pPr>
        <w:pStyle w:val="ListParagraph"/>
        <w:numPr>
          <w:ilvl w:val="0"/>
          <w:numId w:val="1"/>
        </w:numPr>
      </w:pPr>
      <w:r>
        <w:t>Accreditations for Training Organizations</w:t>
      </w:r>
    </w:p>
    <w:p w:rsidR="00851C42" w:rsidRDefault="00851C42" w:rsidP="00851C42">
      <w:pPr>
        <w:pStyle w:val="ListParagraph"/>
        <w:numPr>
          <w:ilvl w:val="0"/>
          <w:numId w:val="1"/>
        </w:numPr>
      </w:pPr>
      <w:r>
        <w:t>Magnet</w:t>
      </w:r>
    </w:p>
    <w:p w:rsidR="00851C42" w:rsidRPr="00851C42" w:rsidRDefault="00851C42" w:rsidP="00851C42">
      <w:pPr>
        <w:pStyle w:val="ListParagraph"/>
        <w:numPr>
          <w:ilvl w:val="0"/>
          <w:numId w:val="1"/>
        </w:numPr>
      </w:pPr>
      <w:r>
        <w:t xml:space="preserve">Pathway   </w:t>
      </w:r>
    </w:p>
    <w:p w:rsidR="00851C42" w:rsidRPr="0051690D" w:rsidRDefault="00851C42" w:rsidP="00AB6BCA">
      <w:pPr>
        <w:pStyle w:val="Heading2"/>
      </w:pPr>
      <w:bookmarkStart w:id="2" w:name="_Toc457411905"/>
      <w:r w:rsidRPr="0051690D">
        <w:t>Certification for Individual Nurses</w:t>
      </w:r>
      <w:bookmarkEnd w:id="2"/>
    </w:p>
    <w:p w:rsidR="00851C42" w:rsidRDefault="000124B9">
      <w:r>
        <w:t>341 different speciality certificate are provided. Among which 49 are directly given by ANCC and rest of the certificates are provided ANCC accredited organizations.</w:t>
      </w:r>
    </w:p>
    <w:p w:rsidR="000124B9" w:rsidRDefault="000124B9" w:rsidP="00AB6BCA">
      <w:pPr>
        <w:pStyle w:val="Heading2"/>
      </w:pPr>
      <w:r w:rsidRPr="00CE3096">
        <w:t>Accreditations for Training Organizations</w:t>
      </w:r>
    </w:p>
    <w:p w:rsidR="000124B9" w:rsidRDefault="000124B9">
      <w:r>
        <w:t>Accreditations to organizations allows them to function independently and entitles them to provide certificates with ANCC trademark</w:t>
      </w:r>
    </w:p>
    <w:p w:rsidR="000124B9" w:rsidRPr="0051690D" w:rsidRDefault="000124B9" w:rsidP="00AB6BCA">
      <w:pPr>
        <w:pStyle w:val="Heading2"/>
      </w:pPr>
      <w:bookmarkStart w:id="3" w:name="_Toc457411906"/>
      <w:r w:rsidRPr="0051690D">
        <w:t>Magnet</w:t>
      </w:r>
      <w:bookmarkEnd w:id="3"/>
    </w:p>
    <w:p w:rsidR="00791080" w:rsidRDefault="000124B9">
      <w:r>
        <w:t xml:space="preserve">Is a recognition given to organization for </w:t>
      </w:r>
      <w:r w:rsidR="00AB6BCA">
        <w:t>nursing</w:t>
      </w:r>
      <w:r>
        <w:t xml:space="preserve"> excellence and Quality patient </w:t>
      </w:r>
      <w:r w:rsidR="00AB6BCA">
        <w:t>results?</w:t>
      </w:r>
      <w:r w:rsidR="00791080">
        <w:t xml:space="preserve"> Though accreditation allows organizations to issues certificates with ANCC trademark, the recognition of excellence is determined only through Magnet.</w:t>
      </w:r>
    </w:p>
    <w:p w:rsidR="00791080" w:rsidRPr="0051690D" w:rsidRDefault="00791080" w:rsidP="00AB6BCA">
      <w:pPr>
        <w:pStyle w:val="Heading2"/>
      </w:pPr>
      <w:bookmarkStart w:id="4" w:name="_Toc457411907"/>
      <w:r w:rsidRPr="0051690D">
        <w:t>Pathway</w:t>
      </w:r>
      <w:bookmarkEnd w:id="4"/>
    </w:p>
    <w:p w:rsidR="00791080" w:rsidRDefault="00791080">
      <w:r>
        <w:t>Is a recognition given to organization for positive Nursing practice environment (facility setup.)</w:t>
      </w:r>
    </w:p>
    <w:p w:rsidR="00791080" w:rsidRDefault="0051690D" w:rsidP="00AB6BCA">
      <w:pPr>
        <w:pStyle w:val="Heading2"/>
      </w:pPr>
      <w:bookmarkStart w:id="5" w:name="_Toc457411908"/>
      <w:r>
        <w:t xml:space="preserve">ANCC </w:t>
      </w:r>
      <w:r w:rsidRPr="00AB6BCA">
        <w:t>Verification</w:t>
      </w:r>
      <w:r>
        <w:t xml:space="preserve"> Services: -</w:t>
      </w:r>
      <w:bookmarkEnd w:id="5"/>
    </w:p>
    <w:p w:rsidR="008A090C" w:rsidRPr="008A090C" w:rsidRDefault="0051690D">
      <w:pPr>
        <w:rPr>
          <w:b/>
        </w:rPr>
      </w:pPr>
      <w:r>
        <w:t>All the verification is done through emails. T</w:t>
      </w:r>
      <w:r w:rsidRPr="0051690D">
        <w:rPr>
          <w:b/>
        </w:rPr>
        <w:t>he processing time is within 7 days and fee is $40 dollars and organization is $50 dollars / certificate</w:t>
      </w:r>
    </w:p>
    <w:p w:rsidR="00791080" w:rsidRDefault="0051690D" w:rsidP="00AB6BCA">
      <w:pPr>
        <w:pStyle w:val="Heading2"/>
      </w:pPr>
      <w:bookmarkStart w:id="6" w:name="_Toc457411909"/>
      <w:r>
        <w:t>Contact Info: -</w:t>
      </w:r>
      <w:bookmarkEnd w:id="6"/>
    </w:p>
    <w:p w:rsidR="0051690D" w:rsidRDefault="0051690D" w:rsidP="0051690D">
      <w:pPr>
        <w:spacing w:after="0" w:line="240" w:lineRule="auto"/>
      </w:pPr>
      <w:r>
        <w:t>American Nurses Credentialing Centre</w:t>
      </w:r>
    </w:p>
    <w:p w:rsidR="0051690D" w:rsidRDefault="0051690D" w:rsidP="0051690D">
      <w:pPr>
        <w:spacing w:after="0" w:line="240" w:lineRule="auto"/>
      </w:pPr>
      <w:r>
        <w:t>8515 Georgia Avenue, Suite 400</w:t>
      </w:r>
    </w:p>
    <w:p w:rsidR="0051690D" w:rsidRDefault="0051690D" w:rsidP="0051690D">
      <w:pPr>
        <w:spacing w:after="0" w:line="240" w:lineRule="auto"/>
      </w:pPr>
      <w:r>
        <w:t>Silver Spring, MD  20910-3492</w:t>
      </w:r>
    </w:p>
    <w:p w:rsidR="0051690D" w:rsidRDefault="0051690D" w:rsidP="0051690D">
      <w:pPr>
        <w:spacing w:after="0" w:line="240" w:lineRule="auto"/>
      </w:pPr>
      <w:r>
        <w:t>Phone:</w:t>
      </w:r>
    </w:p>
    <w:p w:rsidR="0051690D" w:rsidRDefault="0051690D" w:rsidP="0051690D">
      <w:pPr>
        <w:spacing w:after="0" w:line="240" w:lineRule="auto"/>
      </w:pPr>
      <w:r>
        <w:t>1.800.284.2378</w:t>
      </w:r>
    </w:p>
    <w:p w:rsidR="000124B9" w:rsidRDefault="00791080">
      <w:r>
        <w:t xml:space="preserve">  </w:t>
      </w:r>
    </w:p>
    <w:p w:rsidR="000F35AA" w:rsidRDefault="000F35AA">
      <w:r>
        <w:br w:type="page"/>
      </w:r>
    </w:p>
    <w:p w:rsidR="0051690D" w:rsidRDefault="000F35AA" w:rsidP="000908F9">
      <w:pPr>
        <w:pStyle w:val="Heading1"/>
      </w:pPr>
      <w:bookmarkStart w:id="7" w:name="_Toc457411910"/>
      <w:r>
        <w:lastRenderedPageBreak/>
        <w:t>American Board of Medical Specialities</w:t>
      </w:r>
      <w:r w:rsidR="000908F9">
        <w:t xml:space="preserve"> (ABMS)</w:t>
      </w:r>
      <w:bookmarkEnd w:id="7"/>
    </w:p>
    <w:p w:rsidR="00B86602" w:rsidRPr="00B86602" w:rsidRDefault="00B86602" w:rsidP="00AB6BCA">
      <w:pPr>
        <w:pStyle w:val="Heading2"/>
      </w:pPr>
      <w:bookmarkStart w:id="8" w:name="_Toc457411911"/>
      <w:r w:rsidRPr="00B86602">
        <w:t xml:space="preserve">Brief </w:t>
      </w:r>
      <w:r w:rsidRPr="00AB6BCA">
        <w:t>Description</w:t>
      </w:r>
      <w:r w:rsidRPr="00B86602">
        <w:t>: -</w:t>
      </w:r>
      <w:bookmarkEnd w:id="8"/>
    </w:p>
    <w:p w:rsidR="000124B9" w:rsidRDefault="000F35AA">
      <w:r>
        <w:t>ABMS provides certification courses of various specialities for Physicians. 24 American member’s boards are connected with ABMS which are focused on respective specialities. So overall 150 specialities are provided.</w:t>
      </w:r>
    </w:p>
    <w:p w:rsidR="000F35AA" w:rsidRDefault="000F35AA">
      <w:r>
        <w:t>Alternatively, we have AOABOS and ABBS.</w:t>
      </w:r>
    </w:p>
    <w:p w:rsidR="000F35AA" w:rsidRDefault="000F35AA">
      <w:r>
        <w:t xml:space="preserve">Till now ABMS has certified 800+ thousand physicians. Any new physician who wants to get certification with ABMS, they should have </w:t>
      </w:r>
      <w:r w:rsidR="00B86602">
        <w:t>finished 4 years’ pre-medical education, medical degree from a medical college accredited by ABMS board and 3-5 years of residential training program accredited by ACGME and they should have un-restricted medical license.</w:t>
      </w:r>
    </w:p>
    <w:p w:rsidR="00B86602" w:rsidRDefault="00B86602">
      <w:r>
        <w:t>AMBS certificates will be expired by 7 years. After which all the respective physicians should renew their certificates by taking exam and met standards as prescribed by AMBS</w:t>
      </w:r>
    </w:p>
    <w:p w:rsidR="000F35AA" w:rsidRDefault="00B86602" w:rsidP="00AB6BCA">
      <w:pPr>
        <w:pStyle w:val="Heading2"/>
      </w:pPr>
      <w:bookmarkStart w:id="9" w:name="_Toc457411912"/>
      <w:r>
        <w:t xml:space="preserve">AMBS </w:t>
      </w:r>
      <w:r w:rsidRPr="00AB6BCA">
        <w:t>Verification</w:t>
      </w:r>
      <w:r>
        <w:t xml:space="preserve"> Services: -</w:t>
      </w:r>
      <w:bookmarkEnd w:id="9"/>
    </w:p>
    <w:p w:rsidR="00B86602" w:rsidRDefault="008A090C">
      <w:r>
        <w:t>ABMS Direct Connect</w:t>
      </w:r>
      <w:r w:rsidR="003B58E8">
        <w:t xml:space="preserve"> Select</w:t>
      </w:r>
    </w:p>
    <w:p w:rsidR="008A090C" w:rsidRDefault="008A090C" w:rsidP="008A090C">
      <w:pPr>
        <w:pStyle w:val="ListParagraph"/>
        <w:numPr>
          <w:ilvl w:val="0"/>
          <w:numId w:val="2"/>
        </w:numPr>
      </w:pPr>
      <w:r>
        <w:t>Access to the most current information with daily updates </w:t>
      </w:r>
    </w:p>
    <w:p w:rsidR="008A090C" w:rsidRDefault="008A090C" w:rsidP="008A090C">
      <w:pPr>
        <w:pStyle w:val="ListParagraph"/>
        <w:numPr>
          <w:ilvl w:val="0"/>
          <w:numId w:val="2"/>
        </w:numPr>
      </w:pPr>
      <w:r>
        <w:t>Flexible query options by physician’s name, secure identifiers, geographic location, specialty, and subspecialty </w:t>
      </w:r>
    </w:p>
    <w:p w:rsidR="008A090C" w:rsidRDefault="008A090C" w:rsidP="008A090C">
      <w:pPr>
        <w:pStyle w:val="ListParagraph"/>
        <w:numPr>
          <w:ilvl w:val="0"/>
          <w:numId w:val="2"/>
        </w:numPr>
      </w:pPr>
      <w:r>
        <w:t>Pre-populate fields in your credentialing software database to simplify and integrate workflow </w:t>
      </w:r>
    </w:p>
    <w:p w:rsidR="008A090C" w:rsidRDefault="003B58E8" w:rsidP="008A090C">
      <w:pPr>
        <w:pStyle w:val="ListParagraph"/>
        <w:numPr>
          <w:ilvl w:val="0"/>
          <w:numId w:val="2"/>
        </w:numPr>
      </w:pPr>
      <w:r>
        <w:t>B</w:t>
      </w:r>
      <w:r w:rsidR="008A090C">
        <w:t>oard certification effective and expiration dates, as well as complete physician certification history and Maintenance of Certification information</w:t>
      </w:r>
    </w:p>
    <w:p w:rsidR="008A090C" w:rsidRPr="003B58E8" w:rsidRDefault="008A090C">
      <w:pPr>
        <w:rPr>
          <w:color w:val="FF0000"/>
        </w:rPr>
      </w:pPr>
      <w:r w:rsidRPr="008A090C">
        <w:rPr>
          <w:color w:val="FF0000"/>
        </w:rPr>
        <w:t>Need to contact for more info</w:t>
      </w:r>
    </w:p>
    <w:p w:rsidR="008A090C" w:rsidRPr="005335EC" w:rsidRDefault="008A090C" w:rsidP="00AB6BCA">
      <w:pPr>
        <w:pStyle w:val="Heading2"/>
      </w:pPr>
      <w:r w:rsidRPr="005335EC">
        <w:t>Contact Info: -</w:t>
      </w:r>
    </w:p>
    <w:p w:rsidR="008A090C" w:rsidRDefault="008A090C" w:rsidP="008A090C">
      <w:pPr>
        <w:spacing w:after="0" w:line="240" w:lineRule="auto"/>
      </w:pPr>
      <w:r>
        <w:t>ABMS Solutions</w:t>
      </w:r>
    </w:p>
    <w:p w:rsidR="008A090C" w:rsidRDefault="008A090C" w:rsidP="008A090C">
      <w:pPr>
        <w:spacing w:after="0" w:line="240" w:lineRule="auto"/>
      </w:pPr>
      <w:r>
        <w:t>Two Buckhead Plaza</w:t>
      </w:r>
    </w:p>
    <w:p w:rsidR="008A090C" w:rsidRDefault="008A090C" w:rsidP="008A090C">
      <w:pPr>
        <w:spacing w:after="0" w:line="240" w:lineRule="auto"/>
      </w:pPr>
      <w:r>
        <w:t>3050 Peachtree Road, NW</w:t>
      </w:r>
    </w:p>
    <w:p w:rsidR="008A090C" w:rsidRDefault="008A090C" w:rsidP="008A090C">
      <w:pPr>
        <w:spacing w:after="0" w:line="240" w:lineRule="auto"/>
      </w:pPr>
      <w:r>
        <w:t>Suite 570</w:t>
      </w:r>
    </w:p>
    <w:p w:rsidR="008A090C" w:rsidRDefault="008A090C" w:rsidP="008A090C">
      <w:pPr>
        <w:spacing w:after="0" w:line="240" w:lineRule="auto"/>
      </w:pPr>
      <w:r>
        <w:t>Atlanta, GA 30305</w:t>
      </w:r>
    </w:p>
    <w:p w:rsidR="008A090C" w:rsidRDefault="008A090C" w:rsidP="008A090C">
      <w:pPr>
        <w:spacing w:after="0" w:line="240" w:lineRule="auto"/>
      </w:pPr>
      <w:r w:rsidRPr="008A090C">
        <w:t>(800) 733-2267</w:t>
      </w:r>
    </w:p>
    <w:p w:rsidR="008A090C" w:rsidRDefault="008A090C" w:rsidP="008A090C">
      <w:pPr>
        <w:spacing w:after="0"/>
      </w:pPr>
      <w:r>
        <w:t>David Coursey, Director of Sales: </w:t>
      </w:r>
    </w:p>
    <w:p w:rsidR="008A090C" w:rsidRDefault="00616BB5" w:rsidP="008A090C">
      <w:pPr>
        <w:spacing w:after="0"/>
      </w:pPr>
      <w:hyperlink r:id="rId8" w:history="1">
        <w:r w:rsidR="008A090C" w:rsidRPr="00DD6CBD">
          <w:rPr>
            <w:rStyle w:val="Hyperlink"/>
          </w:rPr>
          <w:t>dcoursey@ABMSsolutions.com</w:t>
        </w:r>
      </w:hyperlink>
    </w:p>
    <w:p w:rsidR="008A090C" w:rsidRDefault="008A090C" w:rsidP="008A090C">
      <w:pPr>
        <w:spacing w:after="0"/>
      </w:pPr>
      <w:r>
        <w:t>Ellen Lorenz, Customer Service Manager: </w:t>
      </w:r>
    </w:p>
    <w:p w:rsidR="008A090C" w:rsidRDefault="00616BB5" w:rsidP="008A090C">
      <w:pPr>
        <w:spacing w:after="0"/>
      </w:pPr>
      <w:hyperlink r:id="rId9" w:history="1">
        <w:r w:rsidR="008A090C" w:rsidRPr="00DD6CBD">
          <w:rPr>
            <w:rStyle w:val="Hyperlink"/>
          </w:rPr>
          <w:t>elorenz@ABMSsolutions.com</w:t>
        </w:r>
      </w:hyperlink>
    </w:p>
    <w:p w:rsidR="008A090C" w:rsidRDefault="008A090C" w:rsidP="008A090C">
      <w:pPr>
        <w:spacing w:after="0"/>
      </w:pPr>
      <w:r>
        <w:t>Doria Gjerde, Account Executive: </w:t>
      </w:r>
    </w:p>
    <w:p w:rsidR="008A090C" w:rsidRDefault="00616BB5" w:rsidP="008A090C">
      <w:pPr>
        <w:spacing w:after="0"/>
      </w:pPr>
      <w:hyperlink r:id="rId10" w:history="1">
        <w:r w:rsidR="008A090C" w:rsidRPr="00DD6CBD">
          <w:rPr>
            <w:rStyle w:val="Hyperlink"/>
          </w:rPr>
          <w:t>dgjerde@ABMSsolutions.com</w:t>
        </w:r>
      </w:hyperlink>
    </w:p>
    <w:p w:rsidR="008A090C" w:rsidRDefault="008A090C" w:rsidP="008A090C">
      <w:pPr>
        <w:spacing w:after="0"/>
      </w:pPr>
      <w:r>
        <w:t>Sandy Wainwright, Sales Support Manager: </w:t>
      </w:r>
    </w:p>
    <w:p w:rsidR="000124B9" w:rsidRDefault="00616BB5" w:rsidP="008A090C">
      <w:pPr>
        <w:spacing w:after="0"/>
      </w:pPr>
      <w:hyperlink r:id="rId11" w:history="1">
        <w:r w:rsidR="008A090C" w:rsidRPr="00DD6CBD">
          <w:rPr>
            <w:rStyle w:val="Hyperlink"/>
          </w:rPr>
          <w:t>swainwright@ABMSsolutions.com</w:t>
        </w:r>
      </w:hyperlink>
    </w:p>
    <w:p w:rsidR="00E84151" w:rsidRDefault="00E84151">
      <w:r>
        <w:br w:type="page"/>
      </w:r>
    </w:p>
    <w:p w:rsidR="00E84151" w:rsidRDefault="00E84151" w:rsidP="000908F9">
      <w:pPr>
        <w:pStyle w:val="Heading1"/>
      </w:pPr>
      <w:bookmarkStart w:id="10" w:name="_Toc457411913"/>
      <w:r>
        <w:lastRenderedPageBreak/>
        <w:t>National Plan and Provider Enumeration System (NPPES)</w:t>
      </w:r>
      <w:bookmarkEnd w:id="10"/>
    </w:p>
    <w:p w:rsidR="00986504" w:rsidRDefault="00986504" w:rsidP="00AB6BCA">
      <w:pPr>
        <w:pStyle w:val="Heading2"/>
      </w:pPr>
      <w:bookmarkStart w:id="11" w:name="_Toc457411914"/>
      <w:r>
        <w:t xml:space="preserve">Brief </w:t>
      </w:r>
      <w:r w:rsidRPr="00AB6BCA">
        <w:t>Description</w:t>
      </w:r>
      <w:r>
        <w:t>: -</w:t>
      </w:r>
      <w:bookmarkEnd w:id="11"/>
    </w:p>
    <w:p w:rsidR="00E84151" w:rsidRDefault="00E84151" w:rsidP="00E84151">
      <w:r>
        <w:t>NPPES is a government entity which provides service for provider information. An individua</w:t>
      </w:r>
      <w:r w:rsidR="00986504">
        <w:t>l providers or organizations should</w:t>
      </w:r>
      <w:r>
        <w:t xml:space="preserve"> apply for NPI’</w:t>
      </w:r>
      <w:r w:rsidR="00986504">
        <w:t>s through CMS NPPES.</w:t>
      </w:r>
    </w:p>
    <w:p w:rsidR="00986504" w:rsidRDefault="00986504" w:rsidP="00E84151">
      <w:r>
        <w:t>Following are data elements returned by the service</w:t>
      </w:r>
    </w:p>
    <w:p w:rsidR="00986504" w:rsidRDefault="00986504" w:rsidP="00986504">
      <w:pPr>
        <w:pStyle w:val="ListParagraph"/>
        <w:numPr>
          <w:ilvl w:val="0"/>
          <w:numId w:val="3"/>
        </w:numPr>
        <w:spacing w:after="0"/>
      </w:pPr>
      <w:r>
        <w:t>Provider Name</w:t>
      </w:r>
    </w:p>
    <w:p w:rsidR="00986504" w:rsidRDefault="00986504" w:rsidP="00986504">
      <w:pPr>
        <w:pStyle w:val="ListParagraph"/>
        <w:numPr>
          <w:ilvl w:val="0"/>
          <w:numId w:val="3"/>
        </w:numPr>
        <w:spacing w:after="0"/>
      </w:pPr>
      <w:r>
        <w:t>Speciality(Taxonomy)</w:t>
      </w:r>
    </w:p>
    <w:p w:rsidR="00986504" w:rsidRDefault="00986504" w:rsidP="00986504">
      <w:pPr>
        <w:pStyle w:val="ListParagraph"/>
        <w:numPr>
          <w:ilvl w:val="0"/>
          <w:numId w:val="3"/>
        </w:numPr>
        <w:spacing w:after="0"/>
      </w:pPr>
      <w:r>
        <w:t>Practice Location</w:t>
      </w:r>
    </w:p>
    <w:p w:rsidR="004F716F" w:rsidRDefault="004F716F" w:rsidP="00986504">
      <w:pPr>
        <w:pStyle w:val="ListParagraph"/>
        <w:numPr>
          <w:ilvl w:val="0"/>
          <w:numId w:val="3"/>
        </w:numPr>
        <w:spacing w:after="0"/>
      </w:pPr>
      <w:r>
        <w:t>Other legal names</w:t>
      </w:r>
    </w:p>
    <w:p w:rsidR="004F716F" w:rsidRDefault="004F716F" w:rsidP="00986504">
      <w:pPr>
        <w:pStyle w:val="ListParagraph"/>
        <w:numPr>
          <w:ilvl w:val="0"/>
          <w:numId w:val="3"/>
        </w:numPr>
        <w:spacing w:after="0"/>
      </w:pPr>
      <w:r>
        <w:t>NPI</w:t>
      </w:r>
    </w:p>
    <w:p w:rsidR="004F716F" w:rsidRDefault="004F716F" w:rsidP="00986504">
      <w:pPr>
        <w:pStyle w:val="ListParagraph"/>
        <w:numPr>
          <w:ilvl w:val="0"/>
          <w:numId w:val="3"/>
        </w:numPr>
        <w:spacing w:after="0"/>
      </w:pPr>
      <w:r>
        <w:t>Organization name</w:t>
      </w:r>
    </w:p>
    <w:p w:rsidR="00986504" w:rsidRDefault="006E52BE" w:rsidP="00AB6BCA">
      <w:pPr>
        <w:spacing w:after="0"/>
      </w:pPr>
      <w:r>
        <w:t xml:space="preserve">Totally </w:t>
      </w:r>
      <w:r w:rsidR="00F658A5">
        <w:t>361</w:t>
      </w:r>
      <w:r>
        <w:t xml:space="preserve"> elements are returned as JSON response</w:t>
      </w:r>
      <w:r w:rsidR="004F716F">
        <w:t xml:space="preserve"> </w:t>
      </w:r>
    </w:p>
    <w:p w:rsidR="00AB6BCA" w:rsidRDefault="00AB6BCA" w:rsidP="00AB6BCA">
      <w:pPr>
        <w:spacing w:after="0"/>
      </w:pPr>
    </w:p>
    <w:p w:rsidR="00986504" w:rsidRDefault="00986504" w:rsidP="00AB6BCA">
      <w:pPr>
        <w:pStyle w:val="Heading2"/>
      </w:pPr>
      <w:bookmarkStart w:id="12" w:name="_Toc457411915"/>
      <w:r>
        <w:t xml:space="preserve">NPPES </w:t>
      </w:r>
      <w:r w:rsidR="008C4743" w:rsidRPr="00AB6BCA">
        <w:t>identification</w:t>
      </w:r>
      <w:r w:rsidR="008C4743">
        <w:rPr>
          <w:rFonts w:eastAsiaTheme="minorEastAsia"/>
        </w:rPr>
        <w:t xml:space="preserve"> </w:t>
      </w:r>
      <w:r>
        <w:t>Service: -</w:t>
      </w:r>
      <w:bookmarkEnd w:id="12"/>
    </w:p>
    <w:p w:rsidR="00986504" w:rsidRDefault="00986504" w:rsidP="00E84151">
      <w:r>
        <w:t>Open Source NPPES REST API</w:t>
      </w:r>
    </w:p>
    <w:p w:rsidR="00986504" w:rsidRDefault="006E52BE" w:rsidP="00AB6BCA">
      <w:pPr>
        <w:pStyle w:val="Heading2"/>
      </w:pPr>
      <w:bookmarkStart w:id="13" w:name="_Toc457411916"/>
      <w:r>
        <w:t xml:space="preserve">Contact </w:t>
      </w:r>
      <w:r w:rsidRPr="00AB6BCA">
        <w:t>Info</w:t>
      </w:r>
      <w:r>
        <w:t>: -</w:t>
      </w:r>
      <w:bookmarkEnd w:id="13"/>
    </w:p>
    <w:p w:rsidR="006E52BE" w:rsidRDefault="006E52BE" w:rsidP="00E84151">
      <w:r>
        <w:t>Federal Government</w:t>
      </w:r>
      <w:r w:rsidR="0017585E">
        <w:t>: CMS</w:t>
      </w:r>
    </w:p>
    <w:p w:rsidR="0017585E" w:rsidRDefault="0017585E">
      <w:r>
        <w:br w:type="page"/>
      </w:r>
    </w:p>
    <w:p w:rsidR="0017585E" w:rsidRDefault="0017585E" w:rsidP="000908F9">
      <w:pPr>
        <w:pStyle w:val="Heading1"/>
      </w:pPr>
      <w:bookmarkStart w:id="14" w:name="_Toc457411917"/>
      <w:r>
        <w:rPr>
          <w:rFonts w:eastAsiaTheme="minorEastAsia"/>
        </w:rPr>
        <w:lastRenderedPageBreak/>
        <w:t xml:space="preserve">American Medical Association </w:t>
      </w:r>
      <w:r w:rsidR="008C4743">
        <w:rPr>
          <w:rFonts w:eastAsiaTheme="minorEastAsia"/>
        </w:rPr>
        <w:t>(AMA)</w:t>
      </w:r>
      <w:bookmarkEnd w:id="14"/>
    </w:p>
    <w:p w:rsidR="0017585E" w:rsidRDefault="0017585E" w:rsidP="00AB6BCA">
      <w:pPr>
        <w:pStyle w:val="Heading2"/>
      </w:pPr>
      <w:bookmarkStart w:id="15" w:name="_Toc457411918"/>
      <w:r>
        <w:rPr>
          <w:rFonts w:eastAsiaTheme="minorEastAsia"/>
        </w:rPr>
        <w:t xml:space="preserve">Brief </w:t>
      </w:r>
      <w:r w:rsidRPr="00AB6BCA">
        <w:t>Description</w:t>
      </w:r>
      <w:r w:rsidRPr="58744E0C">
        <w:rPr>
          <w:rFonts w:eastAsiaTheme="minorEastAsia"/>
        </w:rPr>
        <w:t>: -</w:t>
      </w:r>
      <w:bookmarkEnd w:id="15"/>
    </w:p>
    <w:p w:rsidR="0017585E" w:rsidRPr="00531C57" w:rsidRDefault="0017585E" w:rsidP="0017585E">
      <w:r w:rsidRPr="58744E0C">
        <w:rPr>
          <w:rFonts w:eastAsiaTheme="minorEastAsia"/>
        </w:rPr>
        <w:t xml:space="preserve">AMA, the nation’s largest professional association of physicians. Established in 1847, to uniform standards for medical education, training and practice. </w:t>
      </w:r>
      <w:r w:rsidRPr="0017585E">
        <w:rPr>
          <w:rFonts w:eastAsiaTheme="minorEastAsia"/>
        </w:rPr>
        <w:t xml:space="preserve">AMA Profiles Connect </w:t>
      </w:r>
      <w:r>
        <w:rPr>
          <w:rFonts w:eastAsiaTheme="minorEastAsia"/>
        </w:rPr>
        <w:t xml:space="preserve">product </w:t>
      </w:r>
      <w:r w:rsidRPr="0017585E">
        <w:rPr>
          <w:rFonts w:eastAsiaTheme="minorEastAsia"/>
        </w:rPr>
        <w:t>was designed to remove the hass</w:t>
      </w:r>
      <w:r w:rsidR="00F658A5">
        <w:rPr>
          <w:rFonts w:eastAsiaTheme="minorEastAsia"/>
        </w:rPr>
        <w:t>le manually typing AMA Profiles which integrates with well-known credentialing software</w:t>
      </w:r>
    </w:p>
    <w:p w:rsidR="0017585E" w:rsidRDefault="0017585E" w:rsidP="00AB6BCA">
      <w:pPr>
        <w:pStyle w:val="Heading2"/>
      </w:pPr>
      <w:bookmarkStart w:id="16" w:name="_Toc457411919"/>
      <w:r>
        <w:rPr>
          <w:rFonts w:eastAsiaTheme="minorEastAsia"/>
        </w:rPr>
        <w:t xml:space="preserve">AMA </w:t>
      </w:r>
      <w:r w:rsidRPr="00AB6BCA">
        <w:t>identification</w:t>
      </w:r>
      <w:r>
        <w:rPr>
          <w:rFonts w:eastAsiaTheme="minorEastAsia"/>
        </w:rPr>
        <w:t xml:space="preserve"> Service: -</w:t>
      </w:r>
      <w:bookmarkEnd w:id="16"/>
    </w:p>
    <w:p w:rsidR="0017585E" w:rsidRDefault="0017585E" w:rsidP="00F658A5">
      <w:pPr>
        <w:pStyle w:val="ListParagraph"/>
        <w:numPr>
          <w:ilvl w:val="0"/>
          <w:numId w:val="6"/>
        </w:numPr>
        <w:spacing w:after="40" w:line="240" w:lineRule="auto"/>
        <w:rPr>
          <w:rFonts w:eastAsiaTheme="minorEastAsia"/>
        </w:rPr>
      </w:pPr>
      <w:r w:rsidRPr="58744E0C">
        <w:rPr>
          <w:rFonts w:eastAsiaTheme="minorEastAsia"/>
        </w:rPr>
        <w:t>AMA Profiles subscription required</w:t>
      </w:r>
    </w:p>
    <w:p w:rsidR="0017585E" w:rsidRDefault="0017585E" w:rsidP="00F658A5">
      <w:pPr>
        <w:pStyle w:val="ListParagraph"/>
        <w:numPr>
          <w:ilvl w:val="0"/>
          <w:numId w:val="6"/>
        </w:numPr>
        <w:spacing w:after="40" w:line="240" w:lineRule="auto"/>
        <w:rPr>
          <w:rFonts w:eastAsiaTheme="minorEastAsia"/>
        </w:rPr>
      </w:pPr>
      <w:r w:rsidRPr="58744E0C">
        <w:rPr>
          <w:rFonts w:eastAsiaTheme="minorEastAsia"/>
        </w:rPr>
        <w:t>There is no charge for integration. However, its applicable for profile subscription</w:t>
      </w:r>
    </w:p>
    <w:p w:rsidR="008C4743" w:rsidRPr="008C4743" w:rsidRDefault="0017585E" w:rsidP="008C4743">
      <w:pPr>
        <w:pStyle w:val="ListParagraph"/>
        <w:numPr>
          <w:ilvl w:val="0"/>
          <w:numId w:val="6"/>
        </w:numPr>
        <w:spacing w:after="40" w:line="240" w:lineRule="auto"/>
        <w:rPr>
          <w:rFonts w:eastAsiaTheme="minorEastAsia"/>
        </w:rPr>
      </w:pPr>
      <w:r w:rsidRPr="58744E0C">
        <w:rPr>
          <w:rFonts w:eastAsiaTheme="minorEastAsia"/>
        </w:rPr>
        <w:t>Registration Link (</w:t>
      </w:r>
      <w:hyperlink r:id="rId12">
        <w:r w:rsidRPr="58744E0C">
          <w:rPr>
            <w:rStyle w:val="Hyperlink"/>
            <w:rFonts w:eastAsiaTheme="minorEastAsia"/>
          </w:rPr>
          <w:t>http://info.commerce.ama-assn.org/ama-credentialing-form</w:t>
        </w:r>
      </w:hyperlink>
      <w:r w:rsidRPr="58744E0C">
        <w:rPr>
          <w:rFonts w:eastAsiaTheme="minorEastAsia"/>
        </w:rPr>
        <w:t>)</w:t>
      </w:r>
    </w:p>
    <w:p w:rsidR="008C4743" w:rsidRDefault="008C4743" w:rsidP="008C4743">
      <w:pPr>
        <w:spacing w:after="0"/>
      </w:pPr>
      <w:r>
        <w:t>XML based Web Service</w:t>
      </w:r>
    </w:p>
    <w:p w:rsidR="008C4743" w:rsidRDefault="008C4743" w:rsidP="008C4743">
      <w:pPr>
        <w:spacing w:after="0"/>
      </w:pPr>
      <w:r w:rsidRPr="008A090C">
        <w:rPr>
          <w:color w:val="FF0000"/>
        </w:rPr>
        <w:t>Need to contact for more info</w:t>
      </w:r>
    </w:p>
    <w:p w:rsidR="0017585E" w:rsidRDefault="008C4743" w:rsidP="00AB6BCA">
      <w:pPr>
        <w:pStyle w:val="Heading2"/>
      </w:pPr>
      <w:bookmarkStart w:id="17" w:name="_Toc457411920"/>
      <w:r w:rsidRPr="00AB6BCA">
        <w:t>Contact</w:t>
      </w:r>
      <w:r w:rsidR="005335EC" w:rsidRPr="005335EC">
        <w:t xml:space="preserve"> Info</w:t>
      </w:r>
      <w:r w:rsidRPr="58744E0C">
        <w:rPr>
          <w:rFonts w:eastAsiaTheme="minorEastAsia"/>
        </w:rPr>
        <w:t>: -</w:t>
      </w:r>
      <w:bookmarkEnd w:id="17"/>
    </w:p>
    <w:p w:rsidR="008C4743" w:rsidRDefault="008C4743" w:rsidP="005335EC">
      <w:pPr>
        <w:spacing w:after="0"/>
      </w:pPr>
      <w:r>
        <w:t>American Medical Association</w:t>
      </w:r>
    </w:p>
    <w:p w:rsidR="008C4743" w:rsidRDefault="008C4743" w:rsidP="008C4743">
      <w:pPr>
        <w:spacing w:after="0"/>
      </w:pPr>
      <w:r>
        <w:t>AMA Plaza</w:t>
      </w:r>
    </w:p>
    <w:p w:rsidR="008C4743" w:rsidRDefault="008C4743" w:rsidP="008C4743">
      <w:pPr>
        <w:spacing w:after="0"/>
      </w:pPr>
      <w:r>
        <w:t>330 N. Wabash Ave.</w:t>
      </w:r>
    </w:p>
    <w:p w:rsidR="008C4743" w:rsidRDefault="008C4743" w:rsidP="008C4743">
      <w:pPr>
        <w:spacing w:after="0"/>
      </w:pPr>
      <w:r>
        <w:t>Chicago, IL 60611-5885</w:t>
      </w:r>
    </w:p>
    <w:p w:rsidR="00986504" w:rsidRDefault="008C4743" w:rsidP="008C4743">
      <w:pPr>
        <w:spacing w:after="0"/>
      </w:pPr>
      <w:r>
        <w:t>(800) 621-8335</w:t>
      </w:r>
    </w:p>
    <w:p w:rsidR="00986504" w:rsidRPr="00E84151" w:rsidRDefault="00986504" w:rsidP="00E84151"/>
    <w:p w:rsidR="008A090C" w:rsidRDefault="008A090C" w:rsidP="00E84151"/>
    <w:p w:rsidR="009351D9" w:rsidRDefault="009351D9" w:rsidP="00E84151"/>
    <w:p w:rsidR="009351D9" w:rsidRDefault="009351D9" w:rsidP="00E84151"/>
    <w:p w:rsidR="009351D9" w:rsidRDefault="009351D9" w:rsidP="00E84151"/>
    <w:p w:rsidR="009351D9" w:rsidRDefault="009351D9" w:rsidP="00E84151"/>
    <w:p w:rsidR="009351D9" w:rsidRDefault="009351D9" w:rsidP="00E84151"/>
    <w:p w:rsidR="009351D9" w:rsidRDefault="009351D9" w:rsidP="00E84151"/>
    <w:p w:rsidR="009351D9" w:rsidRDefault="009351D9" w:rsidP="00E84151"/>
    <w:p w:rsidR="009351D9" w:rsidRDefault="009351D9" w:rsidP="00E84151"/>
    <w:p w:rsidR="009351D9" w:rsidRDefault="009351D9" w:rsidP="00E84151"/>
    <w:p w:rsidR="009351D9" w:rsidRDefault="009351D9" w:rsidP="00E84151"/>
    <w:p w:rsidR="009351D9" w:rsidRDefault="009351D9" w:rsidP="00E84151"/>
    <w:p w:rsidR="009351D9" w:rsidRDefault="009351D9" w:rsidP="00E84151"/>
    <w:p w:rsidR="009351D9" w:rsidRDefault="009351D9" w:rsidP="00E84151"/>
    <w:p w:rsidR="009351D9" w:rsidRDefault="009351D9" w:rsidP="00E84151"/>
    <w:p w:rsidR="009351D9" w:rsidRDefault="009351D9" w:rsidP="00E84151"/>
    <w:p w:rsidR="009351D9" w:rsidRDefault="009351D9" w:rsidP="006213CD">
      <w:pPr>
        <w:pStyle w:val="Heading1"/>
      </w:pPr>
      <w:r>
        <w:lastRenderedPageBreak/>
        <w:t>DO Profiles</w:t>
      </w:r>
    </w:p>
    <w:p w:rsidR="009351D9" w:rsidRPr="00B86602" w:rsidRDefault="009351D9" w:rsidP="00AB6BCA">
      <w:pPr>
        <w:pStyle w:val="Heading2"/>
      </w:pPr>
      <w:r w:rsidRPr="00B86602">
        <w:t xml:space="preserve">Brief </w:t>
      </w:r>
      <w:r w:rsidRPr="00AB6BCA">
        <w:t>Description</w:t>
      </w:r>
      <w:r w:rsidRPr="00B86602">
        <w:t>: -</w:t>
      </w:r>
    </w:p>
    <w:p w:rsidR="009351D9" w:rsidRPr="009351D9" w:rsidRDefault="009351D9" w:rsidP="009351D9">
      <w:r w:rsidRPr="009351D9">
        <w:t>The primary source for verifying osteopathic physician credentials information </w:t>
      </w:r>
      <w:r w:rsidRPr="009351D9">
        <w:br/>
        <w:t>from the American Osteopathic Association.</w:t>
      </w:r>
    </w:p>
    <w:p w:rsidR="009351D9" w:rsidRDefault="009351D9" w:rsidP="009351D9">
      <w:r w:rsidRPr="009351D9">
        <w:t>DO</w:t>
      </w:r>
      <w:r>
        <w:t xml:space="preserve"> </w:t>
      </w:r>
      <w:r w:rsidRPr="009351D9">
        <w:t>Profiles provides verification information for physicians which is certified by the AOA</w:t>
      </w:r>
      <w:r w:rsidR="00484224">
        <w:t xml:space="preserve"> (</w:t>
      </w:r>
      <w:r w:rsidR="00484224" w:rsidRPr="00484224">
        <w:t>American Osteopathic Association</w:t>
      </w:r>
      <w:r w:rsidR="00484224">
        <w:t>)</w:t>
      </w:r>
      <w:r w:rsidRPr="009351D9">
        <w:t>.</w:t>
      </w:r>
    </w:p>
    <w:p w:rsidR="009351D9" w:rsidRPr="005335EC" w:rsidRDefault="00C77EB8" w:rsidP="00AB6BCA">
      <w:pPr>
        <w:pStyle w:val="Heading2"/>
      </w:pPr>
      <w:r w:rsidRPr="005335EC">
        <w:t xml:space="preserve">DO Profiles </w:t>
      </w:r>
      <w:r w:rsidR="009351D9" w:rsidRPr="005335EC">
        <w:t>Verification Services: -</w:t>
      </w:r>
    </w:p>
    <w:p w:rsidR="00AD34C5" w:rsidRPr="00AD34C5" w:rsidRDefault="00AD34C5" w:rsidP="00AD34C5">
      <w:r w:rsidRPr="00AD34C5">
        <w:t>Osteopathic Physician Profile Report features</w:t>
      </w:r>
    </w:p>
    <w:p w:rsidR="00AD34C5" w:rsidRDefault="00AD34C5" w:rsidP="009351D9">
      <w:pPr>
        <w:pStyle w:val="ListParagraph"/>
        <w:numPr>
          <w:ilvl w:val="0"/>
          <w:numId w:val="2"/>
        </w:numPr>
      </w:pPr>
      <w:r w:rsidRPr="00AD34C5">
        <w:t>AOA accredited/approved pre- and postdoctoral education and training dates of attendance and completion</w:t>
      </w:r>
      <w:r>
        <w:t xml:space="preserve"> </w:t>
      </w:r>
    </w:p>
    <w:p w:rsidR="00AD34C5" w:rsidRDefault="00AD34C5" w:rsidP="009351D9">
      <w:pPr>
        <w:pStyle w:val="ListParagraph"/>
        <w:numPr>
          <w:ilvl w:val="0"/>
          <w:numId w:val="2"/>
        </w:numPr>
      </w:pPr>
      <w:r w:rsidRPr="00AD34C5">
        <w:t>All state licenses held with expiration date</w:t>
      </w:r>
      <w:r>
        <w:t xml:space="preserve"> </w:t>
      </w:r>
    </w:p>
    <w:p w:rsidR="00AD34C5" w:rsidRDefault="00AD34C5" w:rsidP="009351D9">
      <w:pPr>
        <w:pStyle w:val="ListParagraph"/>
        <w:numPr>
          <w:ilvl w:val="0"/>
          <w:numId w:val="2"/>
        </w:numPr>
      </w:pPr>
      <w:r w:rsidRPr="00AD34C5">
        <w:t>Osteopathic Specialty Board Certification(s) expiration dates and participation in OCC</w:t>
      </w:r>
    </w:p>
    <w:p w:rsidR="00AD34C5" w:rsidRDefault="00AD34C5" w:rsidP="00AD34C5">
      <w:pPr>
        <w:pStyle w:val="ListParagraph"/>
        <w:numPr>
          <w:ilvl w:val="0"/>
          <w:numId w:val="2"/>
        </w:numPr>
      </w:pPr>
      <w:r w:rsidRPr="00AD34C5">
        <w:t>Certification by member board(s) of the America</w:t>
      </w:r>
      <w:r>
        <w:t>n Board of Medical Specialties(ABMS</w:t>
      </w:r>
      <w:r w:rsidRPr="00AD34C5">
        <w:t xml:space="preserve">) and participation in MOC </w:t>
      </w:r>
    </w:p>
    <w:p w:rsidR="00AD34C5" w:rsidRPr="00AD34C5" w:rsidRDefault="00AD34C5" w:rsidP="00AD34C5">
      <w:pPr>
        <w:pStyle w:val="ListParagraph"/>
        <w:numPr>
          <w:ilvl w:val="0"/>
          <w:numId w:val="2"/>
        </w:numPr>
      </w:pPr>
      <w:r w:rsidRPr="00AD34C5">
        <w:t>AOA accredited CME status</w:t>
      </w:r>
    </w:p>
    <w:p w:rsidR="00AD34C5" w:rsidRPr="00AD34C5" w:rsidRDefault="00AD34C5" w:rsidP="00AD34C5">
      <w:pPr>
        <w:pStyle w:val="ListParagraph"/>
        <w:numPr>
          <w:ilvl w:val="0"/>
          <w:numId w:val="2"/>
        </w:numPr>
      </w:pPr>
      <w:r w:rsidRPr="00AD34C5">
        <w:t>DEA status</w:t>
      </w:r>
    </w:p>
    <w:p w:rsidR="00AD34C5" w:rsidRPr="00AD34C5" w:rsidRDefault="00AD34C5" w:rsidP="00AD34C5">
      <w:pPr>
        <w:pStyle w:val="ListParagraph"/>
        <w:numPr>
          <w:ilvl w:val="0"/>
          <w:numId w:val="2"/>
        </w:numPr>
      </w:pPr>
      <w:r w:rsidRPr="00AD34C5">
        <w:t>State and federal sanction alerts</w:t>
      </w:r>
    </w:p>
    <w:p w:rsidR="00AD34C5" w:rsidRPr="00AD34C5" w:rsidRDefault="00AD34C5" w:rsidP="00AD34C5">
      <w:pPr>
        <w:pStyle w:val="ListParagraph"/>
        <w:numPr>
          <w:ilvl w:val="0"/>
          <w:numId w:val="2"/>
        </w:numPr>
      </w:pPr>
      <w:r w:rsidRPr="00AD34C5">
        <w:t>Former names</w:t>
      </w:r>
    </w:p>
    <w:p w:rsidR="009351D9" w:rsidRPr="00AD34C5" w:rsidRDefault="009351D9" w:rsidP="00AD34C5">
      <w:r w:rsidRPr="00AD34C5">
        <w:rPr>
          <w:color w:val="FF0000"/>
        </w:rPr>
        <w:t>Need to contact for more info</w:t>
      </w:r>
    </w:p>
    <w:p w:rsidR="009351D9" w:rsidRPr="005335EC" w:rsidRDefault="009351D9" w:rsidP="00AB6BCA">
      <w:pPr>
        <w:pStyle w:val="Heading2"/>
      </w:pPr>
      <w:r w:rsidRPr="005335EC">
        <w:t>Contact Info: -</w:t>
      </w:r>
    </w:p>
    <w:p w:rsidR="00AD34C5" w:rsidRPr="00AD34C5" w:rsidRDefault="00616BB5" w:rsidP="00AD34C5">
      <w:pPr>
        <w:spacing w:after="0"/>
        <w:rPr>
          <w:rStyle w:val="Hyperlink"/>
        </w:rPr>
      </w:pPr>
      <w:hyperlink r:id="rId13" w:history="1">
        <w:r w:rsidR="00AD34C5" w:rsidRPr="00AD34C5">
          <w:rPr>
            <w:rStyle w:val="Hyperlink"/>
          </w:rPr>
          <w:t>credentials@osteopathic.org </w:t>
        </w:r>
      </w:hyperlink>
    </w:p>
    <w:p w:rsidR="005335EC" w:rsidRDefault="00AD34C5" w:rsidP="00AD34C5">
      <w:pPr>
        <w:spacing w:after="0" w:line="240" w:lineRule="auto"/>
      </w:pPr>
      <w:r>
        <w:t>(800) 621-1773, ext. 8285</w:t>
      </w:r>
    </w:p>
    <w:p w:rsidR="005335EC" w:rsidRDefault="005335EC">
      <w:r>
        <w:br w:type="page"/>
      </w:r>
    </w:p>
    <w:p w:rsidR="005335EC" w:rsidRPr="005335EC" w:rsidRDefault="005335EC" w:rsidP="006213CD">
      <w:pPr>
        <w:pStyle w:val="Heading1"/>
      </w:pPr>
      <w:r w:rsidRPr="005335EC">
        <w:lastRenderedPageBreak/>
        <w:t>OPPE and FPPE</w:t>
      </w:r>
    </w:p>
    <w:p w:rsidR="005335EC" w:rsidRDefault="005335EC" w:rsidP="005335EC">
      <w:pPr>
        <w:spacing w:after="40" w:line="240" w:lineRule="auto"/>
        <w:jc w:val="both"/>
        <w:rPr>
          <w:b/>
          <w:color w:val="5B9BD5" w:themeColor="accent1"/>
          <w:sz w:val="32"/>
        </w:rPr>
      </w:pPr>
      <w:r w:rsidRPr="0069129F">
        <w:t xml:space="preserve">In 2007 </w:t>
      </w:r>
      <w:hyperlink r:id="rId14" w:history="1">
        <w:r w:rsidRPr="00B40E34">
          <w:rPr>
            <w:rStyle w:val="Hyperlink"/>
          </w:rPr>
          <w:t>The Joint Commission</w:t>
        </w:r>
      </w:hyperlink>
      <w:r w:rsidRPr="0069129F">
        <w:t xml:space="preserve"> announced the new standards that requires Hospitals to evaluate their Physicians and Advance Practice professional in an objective manner and more frequently than the every 2 year Recredentialing Cycle.</w:t>
      </w:r>
    </w:p>
    <w:p w:rsidR="005335EC" w:rsidRPr="005335EC" w:rsidRDefault="005335EC" w:rsidP="005335EC">
      <w:pPr>
        <w:pStyle w:val="ListParagraph"/>
        <w:numPr>
          <w:ilvl w:val="0"/>
          <w:numId w:val="9"/>
        </w:numPr>
        <w:spacing w:after="40" w:line="240" w:lineRule="auto"/>
        <w:ind w:left="357" w:hanging="357"/>
        <w:rPr>
          <w:color w:val="5B9BD5" w:themeColor="accent1"/>
          <w:sz w:val="26"/>
          <w:szCs w:val="26"/>
        </w:rPr>
      </w:pPr>
      <w:r w:rsidRPr="005335EC">
        <w:rPr>
          <w:color w:val="5B9BD5" w:themeColor="accent1"/>
          <w:sz w:val="26"/>
          <w:szCs w:val="26"/>
        </w:rPr>
        <w:t>OPPE (Ongoing Professional Practice Evaluation)</w:t>
      </w:r>
    </w:p>
    <w:p w:rsidR="005335EC" w:rsidRPr="006A5A23" w:rsidRDefault="005335EC" w:rsidP="005335EC">
      <w:pPr>
        <w:pStyle w:val="ListParagraph"/>
        <w:spacing w:after="0" w:line="240" w:lineRule="auto"/>
        <w:ind w:left="357"/>
        <w:rPr>
          <w:b/>
          <w:color w:val="5B9BD5" w:themeColor="accent1"/>
        </w:rPr>
      </w:pPr>
    </w:p>
    <w:p w:rsidR="005335EC" w:rsidRPr="005335EC" w:rsidRDefault="005335EC" w:rsidP="00AB6BCA">
      <w:pPr>
        <w:pStyle w:val="Heading2"/>
        <w:rPr>
          <w:b/>
          <w:sz w:val="36"/>
        </w:rPr>
      </w:pPr>
      <w:r w:rsidRPr="005335EC">
        <w:t>Brief Description: -</w:t>
      </w:r>
    </w:p>
    <w:p w:rsidR="005335EC" w:rsidRPr="0069129F" w:rsidRDefault="005335EC" w:rsidP="005335EC">
      <w:pPr>
        <w:pStyle w:val="ListParagraph"/>
        <w:numPr>
          <w:ilvl w:val="0"/>
          <w:numId w:val="11"/>
        </w:numPr>
        <w:spacing w:after="40" w:line="240" w:lineRule="auto"/>
        <w:ind w:left="795"/>
        <w:jc w:val="both"/>
      </w:pPr>
      <w:r w:rsidRPr="0069129F">
        <w:t>OPPE Information is factored into a decision to:</w:t>
      </w:r>
      <w:r>
        <w:t xml:space="preserve"> </w:t>
      </w:r>
      <w:r w:rsidRPr="0069129F">
        <w:t>Maintain existing privileges</w:t>
      </w:r>
      <w:r>
        <w:t xml:space="preserve">, </w:t>
      </w:r>
      <w:r w:rsidRPr="0069129F">
        <w:t>Revive existing privileges</w:t>
      </w:r>
      <w:r>
        <w:t>, o</w:t>
      </w:r>
      <w:r w:rsidRPr="0069129F">
        <w:t>r to Revoke existing privileges</w:t>
      </w:r>
      <w:r>
        <w:t xml:space="preserve"> p</w:t>
      </w:r>
      <w:r w:rsidRPr="0069129F">
        <w:t>rior to or at the time every new Privileges.</w:t>
      </w:r>
    </w:p>
    <w:p w:rsidR="005335EC" w:rsidRDefault="005335EC" w:rsidP="005335EC">
      <w:pPr>
        <w:pStyle w:val="ListParagraph"/>
        <w:numPr>
          <w:ilvl w:val="0"/>
          <w:numId w:val="11"/>
        </w:numPr>
        <w:spacing w:after="40" w:line="240" w:lineRule="auto"/>
        <w:jc w:val="both"/>
      </w:pPr>
      <w:r w:rsidRPr="0069129F">
        <w:t>Privileges are defined as the permission granted to a Hospital or other Healthcare institution to position or advance practice professional to render specific diagnostic or therapeutic services.</w:t>
      </w:r>
    </w:p>
    <w:p w:rsidR="005335EC" w:rsidRPr="0069129F" w:rsidRDefault="005335EC" w:rsidP="005335EC">
      <w:pPr>
        <w:pStyle w:val="ListParagraph"/>
        <w:numPr>
          <w:ilvl w:val="0"/>
          <w:numId w:val="11"/>
        </w:numPr>
        <w:spacing w:after="40" w:line="240" w:lineRule="auto"/>
        <w:jc w:val="both"/>
      </w:pPr>
      <w:r w:rsidRPr="0069129F">
        <w:t>Clinical privileges are limited by the individuals’ professional license and experience and competence.</w:t>
      </w:r>
    </w:p>
    <w:p w:rsidR="005335EC" w:rsidRDefault="005335EC" w:rsidP="005335EC">
      <w:pPr>
        <w:spacing w:after="40" w:line="240" w:lineRule="auto"/>
        <w:jc w:val="both"/>
        <w:rPr>
          <w:b/>
        </w:rPr>
      </w:pPr>
      <w:r w:rsidRPr="006A5A23">
        <w:rPr>
          <w:b/>
        </w:rPr>
        <w:t>NOTE: Medical Staff members must realise that privileges are earned and that provider’s demonstration at ongoing clinical and behavioural competence allows them to maintain these privileges throughout the appointment cycle.</w:t>
      </w:r>
    </w:p>
    <w:p w:rsidR="005335EC" w:rsidRDefault="005335EC" w:rsidP="005335EC">
      <w:pPr>
        <w:spacing w:after="40" w:line="240" w:lineRule="auto"/>
        <w:jc w:val="both"/>
        <w:rPr>
          <w:b/>
        </w:rPr>
      </w:pPr>
    </w:p>
    <w:p w:rsidR="005335EC" w:rsidRPr="005335EC" w:rsidRDefault="005335EC" w:rsidP="00AB6BCA">
      <w:pPr>
        <w:pStyle w:val="Heading2"/>
        <w:rPr>
          <w:b/>
          <w:sz w:val="24"/>
        </w:rPr>
      </w:pPr>
      <w:r w:rsidRPr="005335EC">
        <w:t xml:space="preserve">Purpose of OPPE: </w:t>
      </w:r>
    </w:p>
    <w:p w:rsidR="005335EC" w:rsidRPr="0069129F" w:rsidRDefault="005335EC" w:rsidP="005335EC">
      <w:pPr>
        <w:spacing w:after="40" w:line="240" w:lineRule="auto"/>
        <w:jc w:val="both"/>
      </w:pPr>
      <w:r w:rsidRPr="0069129F">
        <w:t>The purpose of OPPE is to ensure that the medical staff assess the ongoing professional practice and competence of its members, conduct professional practice evaluation and uses the results of such assessment and evaluation to improve professional competency, practice and the system of care.</w:t>
      </w:r>
    </w:p>
    <w:p w:rsidR="005335EC" w:rsidRDefault="005335EC" w:rsidP="005335EC">
      <w:pPr>
        <w:spacing w:after="40" w:line="240" w:lineRule="auto"/>
        <w:jc w:val="both"/>
      </w:pPr>
      <w:r w:rsidRPr="0069129F">
        <w:t>OPPE is an attempt to put some structure behind the process of evaluating clinical competency.</w:t>
      </w:r>
    </w:p>
    <w:p w:rsidR="005335EC" w:rsidRDefault="005335EC" w:rsidP="005335EC">
      <w:pPr>
        <w:spacing w:after="40" w:line="240" w:lineRule="auto"/>
        <w:jc w:val="both"/>
      </w:pPr>
      <w:r w:rsidRPr="0069129F">
        <w:t xml:space="preserve"> Its goals are</w:t>
      </w:r>
    </w:p>
    <w:p w:rsidR="005335EC" w:rsidRDefault="005335EC" w:rsidP="005335EC">
      <w:pPr>
        <w:pStyle w:val="ListParagraph"/>
        <w:numPr>
          <w:ilvl w:val="0"/>
          <w:numId w:val="8"/>
        </w:numPr>
        <w:spacing w:after="40" w:line="240" w:lineRule="auto"/>
        <w:jc w:val="both"/>
      </w:pPr>
      <w:r>
        <w:t>T</w:t>
      </w:r>
      <w:r w:rsidRPr="0069129F">
        <w:t>o monitor practice and performance in order to identify and prevent opportunities for both individuals and systems of care,</w:t>
      </w:r>
    </w:p>
    <w:p w:rsidR="005335EC" w:rsidRDefault="005335EC" w:rsidP="005335EC">
      <w:pPr>
        <w:pStyle w:val="ListParagraph"/>
        <w:numPr>
          <w:ilvl w:val="0"/>
          <w:numId w:val="8"/>
        </w:numPr>
        <w:spacing w:after="40" w:line="240" w:lineRule="auto"/>
        <w:jc w:val="both"/>
      </w:pPr>
      <w:r>
        <w:t>T</w:t>
      </w:r>
      <w:r w:rsidRPr="0069129F">
        <w:t>o monitor significant trends and performance by analysing aggregate data in case findings</w:t>
      </w:r>
      <w:r>
        <w:t>,</w:t>
      </w:r>
    </w:p>
    <w:p w:rsidR="005335EC" w:rsidRDefault="005335EC" w:rsidP="005335EC">
      <w:pPr>
        <w:pStyle w:val="ListParagraph"/>
        <w:numPr>
          <w:ilvl w:val="0"/>
          <w:numId w:val="8"/>
        </w:numPr>
        <w:spacing w:after="40" w:line="240" w:lineRule="auto"/>
        <w:jc w:val="both"/>
      </w:pPr>
      <w:r>
        <w:t>T</w:t>
      </w:r>
      <w:r w:rsidRPr="0069129F">
        <w:t>o ensure that the process for professional practic</w:t>
      </w:r>
      <w:r>
        <w:t xml:space="preserve">e evaluation is clearly defined, defensible, timely and helpful </w:t>
      </w:r>
    </w:p>
    <w:p w:rsidR="005335EC" w:rsidRDefault="005335EC" w:rsidP="005335EC">
      <w:pPr>
        <w:pStyle w:val="ListParagraph"/>
        <w:numPr>
          <w:ilvl w:val="0"/>
          <w:numId w:val="8"/>
        </w:numPr>
        <w:spacing w:after="40" w:line="240" w:lineRule="auto"/>
        <w:jc w:val="both"/>
      </w:pPr>
      <w:r>
        <w:t>To identify and address opportunities for system improvement.</w:t>
      </w:r>
    </w:p>
    <w:p w:rsidR="005335EC" w:rsidRDefault="005335EC" w:rsidP="005335EC">
      <w:pPr>
        <w:spacing w:after="40" w:line="240" w:lineRule="auto"/>
        <w:jc w:val="both"/>
      </w:pPr>
      <w:r>
        <w:t xml:space="preserve">OPPE is well designed program which is able to demonstrate that a provider with privileges is competent in </w:t>
      </w:r>
      <w:r w:rsidR="00AB6BCA">
        <w:t>exercising</w:t>
      </w:r>
      <w:r>
        <w:t xml:space="preserve"> those privileges. </w:t>
      </w:r>
    </w:p>
    <w:p w:rsidR="005335EC" w:rsidRDefault="005335EC" w:rsidP="005335EC">
      <w:pPr>
        <w:spacing w:after="40" w:line="240" w:lineRule="auto"/>
        <w:jc w:val="both"/>
      </w:pPr>
    </w:p>
    <w:p w:rsidR="005335EC" w:rsidRPr="005335EC" w:rsidRDefault="005335EC" w:rsidP="006213CD">
      <w:pPr>
        <w:pStyle w:val="Heading2"/>
      </w:pPr>
      <w:r w:rsidRPr="005335EC">
        <w:t>Measures:-</w:t>
      </w:r>
    </w:p>
    <w:p w:rsidR="005335EC" w:rsidRPr="00831C10" w:rsidRDefault="005335EC" w:rsidP="005335EC">
      <w:pPr>
        <w:spacing w:after="40" w:line="240" w:lineRule="auto"/>
        <w:ind w:left="360"/>
        <w:jc w:val="both"/>
      </w:pPr>
      <w:r w:rsidRPr="00831C10">
        <w:t>1. Review of operative &amp; other clinical procedure(s) performed and their Outcomes</w:t>
      </w:r>
    </w:p>
    <w:p w:rsidR="005335EC" w:rsidRPr="00831C10" w:rsidRDefault="005335EC" w:rsidP="005335EC">
      <w:pPr>
        <w:spacing w:after="40" w:line="240" w:lineRule="auto"/>
        <w:ind w:left="360"/>
        <w:jc w:val="both"/>
      </w:pPr>
      <w:r w:rsidRPr="00831C10">
        <w:t>2. Patterns of blood and pharmaceutical usage</w:t>
      </w:r>
    </w:p>
    <w:p w:rsidR="005335EC" w:rsidRPr="00831C10" w:rsidRDefault="005335EC" w:rsidP="005335EC">
      <w:pPr>
        <w:spacing w:after="40" w:line="240" w:lineRule="auto"/>
        <w:ind w:left="360"/>
        <w:jc w:val="both"/>
      </w:pPr>
      <w:r w:rsidRPr="00831C10">
        <w:t>3. Requests for tests &amp; procedures</w:t>
      </w:r>
    </w:p>
    <w:p w:rsidR="005335EC" w:rsidRPr="00831C10" w:rsidRDefault="005335EC" w:rsidP="005335EC">
      <w:pPr>
        <w:spacing w:after="40" w:line="240" w:lineRule="auto"/>
        <w:ind w:left="360"/>
        <w:jc w:val="both"/>
      </w:pPr>
      <w:r w:rsidRPr="00831C10">
        <w:t>4. Length of stay patterns</w:t>
      </w:r>
    </w:p>
    <w:p w:rsidR="005335EC" w:rsidRPr="00831C10" w:rsidRDefault="005335EC" w:rsidP="005335EC">
      <w:pPr>
        <w:spacing w:after="40" w:line="240" w:lineRule="auto"/>
        <w:ind w:left="360"/>
        <w:jc w:val="both"/>
      </w:pPr>
      <w:r w:rsidRPr="00831C10">
        <w:t>5. Morbidity &amp; mortality data</w:t>
      </w:r>
    </w:p>
    <w:p w:rsidR="005335EC" w:rsidRPr="00831C10" w:rsidRDefault="005335EC" w:rsidP="005335EC">
      <w:pPr>
        <w:spacing w:after="40" w:line="240" w:lineRule="auto"/>
        <w:ind w:left="360"/>
        <w:jc w:val="both"/>
      </w:pPr>
      <w:r w:rsidRPr="00831C10">
        <w:t>6. Practitioner’s use of consultants</w:t>
      </w:r>
    </w:p>
    <w:p w:rsidR="005335EC" w:rsidRPr="00831C10" w:rsidRDefault="005335EC" w:rsidP="005335EC">
      <w:pPr>
        <w:spacing w:after="40" w:line="240" w:lineRule="auto"/>
        <w:jc w:val="both"/>
      </w:pPr>
      <w:r>
        <w:t xml:space="preserve">       </w:t>
      </w:r>
      <w:r w:rsidRPr="00831C10">
        <w:t>7. Other relevant criteria as determined by Medical Staff</w:t>
      </w:r>
    </w:p>
    <w:p w:rsidR="005335EC" w:rsidRDefault="005335EC" w:rsidP="005335EC">
      <w:pPr>
        <w:spacing w:after="40" w:line="240" w:lineRule="auto"/>
        <w:jc w:val="both"/>
      </w:pPr>
    </w:p>
    <w:p w:rsidR="005335EC" w:rsidRDefault="005335EC" w:rsidP="005335EC">
      <w:pPr>
        <w:spacing w:after="40" w:line="240" w:lineRule="auto"/>
        <w:jc w:val="both"/>
      </w:pPr>
    </w:p>
    <w:p w:rsidR="005335EC" w:rsidRDefault="005335EC" w:rsidP="005335EC">
      <w:pPr>
        <w:spacing w:after="40" w:line="240" w:lineRule="auto"/>
        <w:jc w:val="both"/>
        <w:rPr>
          <w:b/>
        </w:rPr>
      </w:pPr>
      <w:r w:rsidRPr="00831C10">
        <w:rPr>
          <w:b/>
        </w:rPr>
        <w:t xml:space="preserve">NOTE: When OPPE identifies problem FPPE comes into play. </w:t>
      </w:r>
    </w:p>
    <w:p w:rsidR="005335EC" w:rsidRDefault="005335EC" w:rsidP="005335EC">
      <w:pPr>
        <w:spacing w:after="40" w:line="240" w:lineRule="auto"/>
        <w:jc w:val="both"/>
      </w:pPr>
    </w:p>
    <w:p w:rsidR="005335EC" w:rsidRPr="0069129F" w:rsidRDefault="005335EC" w:rsidP="005335EC">
      <w:pPr>
        <w:spacing w:after="40" w:line="240" w:lineRule="auto"/>
        <w:jc w:val="both"/>
      </w:pPr>
    </w:p>
    <w:p w:rsidR="005335EC" w:rsidRPr="006213CD" w:rsidRDefault="005335EC" w:rsidP="005335EC">
      <w:pPr>
        <w:pStyle w:val="ListParagraph"/>
        <w:numPr>
          <w:ilvl w:val="0"/>
          <w:numId w:val="12"/>
        </w:numPr>
        <w:jc w:val="both"/>
        <w:rPr>
          <w:sz w:val="26"/>
          <w:szCs w:val="26"/>
        </w:rPr>
      </w:pPr>
      <w:r w:rsidRPr="006213CD">
        <w:rPr>
          <w:color w:val="5B9BD5" w:themeColor="accent1"/>
          <w:sz w:val="26"/>
          <w:szCs w:val="26"/>
        </w:rPr>
        <w:lastRenderedPageBreak/>
        <w:t>FPPE (Focused Professional Practice Evaluation )</w:t>
      </w:r>
    </w:p>
    <w:p w:rsidR="005335EC" w:rsidRPr="00B40E34" w:rsidRDefault="005335EC" w:rsidP="005335EC">
      <w:pPr>
        <w:pStyle w:val="ListParagraph"/>
        <w:ind w:left="360"/>
        <w:jc w:val="both"/>
      </w:pPr>
    </w:p>
    <w:p w:rsidR="005335EC" w:rsidRPr="005335EC" w:rsidRDefault="005335EC" w:rsidP="006213CD">
      <w:pPr>
        <w:pStyle w:val="Heading2"/>
        <w:rPr>
          <w:b/>
        </w:rPr>
      </w:pPr>
      <w:r w:rsidRPr="005335EC">
        <w:t>Brief Description: -</w:t>
      </w:r>
    </w:p>
    <w:p w:rsidR="005335EC" w:rsidRDefault="005335EC" w:rsidP="005335EC">
      <w:pPr>
        <w:pStyle w:val="ListParagraph"/>
        <w:spacing w:after="40" w:line="240" w:lineRule="auto"/>
        <w:ind w:left="360"/>
      </w:pPr>
      <w:r>
        <w:t>Focused Professional Practice Evaluation (FPPE) involves more specific and time-limited monitoring of a provider’s practice performance in three situations:</w:t>
      </w:r>
    </w:p>
    <w:p w:rsidR="005335EC" w:rsidRDefault="005335EC" w:rsidP="005335EC">
      <w:pPr>
        <w:pStyle w:val="ListParagraph"/>
        <w:numPr>
          <w:ilvl w:val="0"/>
          <w:numId w:val="13"/>
        </w:numPr>
        <w:spacing w:after="40" w:line="240" w:lineRule="auto"/>
      </w:pPr>
      <w:r>
        <w:t>When a provider is initially granted practice privileges.</w:t>
      </w:r>
    </w:p>
    <w:p w:rsidR="005335EC" w:rsidRDefault="005335EC" w:rsidP="005335EC">
      <w:pPr>
        <w:pStyle w:val="ListParagraph"/>
        <w:numPr>
          <w:ilvl w:val="0"/>
          <w:numId w:val="13"/>
        </w:numPr>
        <w:spacing w:after="40" w:line="240" w:lineRule="auto"/>
      </w:pPr>
      <w:r>
        <w:t>When new privileges are requested for an already privileged provider.</w:t>
      </w:r>
    </w:p>
    <w:p w:rsidR="005335EC" w:rsidRPr="00A56B16" w:rsidRDefault="005335EC" w:rsidP="005335EC">
      <w:pPr>
        <w:pStyle w:val="ListParagraph"/>
        <w:numPr>
          <w:ilvl w:val="0"/>
          <w:numId w:val="13"/>
        </w:numPr>
        <w:spacing w:after="40" w:line="240" w:lineRule="auto"/>
        <w:rPr>
          <w:b/>
          <w:color w:val="5B9BD5" w:themeColor="accent1"/>
          <w:sz w:val="36"/>
          <w:u w:val="single"/>
        </w:rPr>
      </w:pPr>
      <w:r>
        <w:t>When performance non-conformance involving a privileged provider are identified (through the OPPE process or by any other means such as complaints or significant departure from accepted practice.)</w:t>
      </w:r>
    </w:p>
    <w:p w:rsidR="005335EC" w:rsidRPr="005335EC" w:rsidRDefault="005335EC" w:rsidP="006213CD">
      <w:pPr>
        <w:pStyle w:val="Heading2"/>
      </w:pPr>
      <w:r w:rsidRPr="005335EC">
        <w:t>Measures:-</w:t>
      </w:r>
    </w:p>
    <w:p w:rsidR="005335EC" w:rsidRPr="005335EC" w:rsidRDefault="005335EC" w:rsidP="005335EC">
      <w:pPr>
        <w:pStyle w:val="NormalWeb"/>
        <w:spacing w:before="0" w:beforeAutospacing="0" w:after="40" w:afterAutospacing="0"/>
        <w:ind w:left="357"/>
        <w:jc w:val="both"/>
        <w:rPr>
          <w:rFonts w:asciiTheme="minorHAnsi" w:hAnsiTheme="minorHAnsi"/>
          <w:color w:val="000000"/>
          <w:sz w:val="22"/>
          <w:szCs w:val="27"/>
        </w:rPr>
      </w:pPr>
      <w:r w:rsidRPr="005335EC">
        <w:rPr>
          <w:rFonts w:asciiTheme="minorHAnsi" w:hAnsiTheme="minorHAnsi"/>
          <w:color w:val="000000"/>
          <w:sz w:val="22"/>
          <w:szCs w:val="27"/>
        </w:rPr>
        <w:t>1. All new appointments</w:t>
      </w:r>
    </w:p>
    <w:p w:rsidR="005335EC" w:rsidRPr="005335EC" w:rsidRDefault="005335EC" w:rsidP="005335EC">
      <w:pPr>
        <w:pStyle w:val="NormalWeb"/>
        <w:spacing w:before="0" w:beforeAutospacing="0" w:after="40" w:afterAutospacing="0"/>
        <w:ind w:left="360"/>
        <w:jc w:val="both"/>
        <w:rPr>
          <w:rFonts w:asciiTheme="minorHAnsi" w:hAnsiTheme="minorHAnsi"/>
          <w:color w:val="000000"/>
          <w:sz w:val="22"/>
          <w:szCs w:val="27"/>
        </w:rPr>
      </w:pPr>
      <w:r w:rsidRPr="005335EC">
        <w:rPr>
          <w:rFonts w:asciiTheme="minorHAnsi" w:hAnsiTheme="minorHAnsi"/>
          <w:color w:val="000000"/>
          <w:sz w:val="22"/>
          <w:szCs w:val="27"/>
        </w:rPr>
        <w:t>2. All new privileges for existing practitioners</w:t>
      </w:r>
    </w:p>
    <w:p w:rsidR="005335EC" w:rsidRPr="005335EC" w:rsidRDefault="005335EC" w:rsidP="005335EC">
      <w:pPr>
        <w:pStyle w:val="NormalWeb"/>
        <w:spacing w:before="0" w:beforeAutospacing="0" w:after="40" w:afterAutospacing="0"/>
        <w:ind w:left="360"/>
        <w:jc w:val="both"/>
        <w:rPr>
          <w:rFonts w:asciiTheme="minorHAnsi" w:hAnsiTheme="minorHAnsi"/>
          <w:color w:val="000000"/>
          <w:sz w:val="22"/>
          <w:szCs w:val="27"/>
        </w:rPr>
      </w:pPr>
      <w:r w:rsidRPr="005335EC">
        <w:rPr>
          <w:rFonts w:asciiTheme="minorHAnsi" w:hAnsiTheme="minorHAnsi"/>
          <w:color w:val="000000"/>
          <w:sz w:val="22"/>
          <w:szCs w:val="27"/>
        </w:rPr>
        <w:t>3. All practitioners returning from prolonged leave of absence*</w:t>
      </w:r>
    </w:p>
    <w:p w:rsidR="005335EC" w:rsidRDefault="005335EC" w:rsidP="005335EC">
      <w:pPr>
        <w:pStyle w:val="NormalWeb"/>
        <w:spacing w:before="0" w:beforeAutospacing="0" w:after="40" w:afterAutospacing="0"/>
        <w:jc w:val="both"/>
        <w:rPr>
          <w:rFonts w:asciiTheme="minorHAnsi" w:hAnsiTheme="minorHAnsi"/>
          <w:color w:val="000000"/>
          <w:sz w:val="22"/>
          <w:szCs w:val="27"/>
        </w:rPr>
      </w:pPr>
      <w:r w:rsidRPr="005335EC">
        <w:rPr>
          <w:rFonts w:asciiTheme="minorHAnsi" w:hAnsiTheme="minorHAnsi"/>
          <w:color w:val="000000"/>
          <w:sz w:val="22"/>
          <w:szCs w:val="27"/>
        </w:rPr>
        <w:t xml:space="preserve">     </w:t>
      </w:r>
      <w:r>
        <w:rPr>
          <w:rFonts w:asciiTheme="minorHAnsi" w:hAnsiTheme="minorHAnsi"/>
          <w:color w:val="000000"/>
          <w:sz w:val="22"/>
          <w:szCs w:val="27"/>
        </w:rPr>
        <w:t xml:space="preserve">  </w:t>
      </w:r>
      <w:r w:rsidRPr="005335EC">
        <w:rPr>
          <w:rFonts w:asciiTheme="minorHAnsi" w:hAnsiTheme="minorHAnsi"/>
          <w:color w:val="000000"/>
          <w:sz w:val="22"/>
          <w:szCs w:val="27"/>
        </w:rPr>
        <w:t>4. OPPE triggers need for FPPE*</w:t>
      </w:r>
    </w:p>
    <w:p w:rsidR="005335EC" w:rsidRPr="005335EC" w:rsidRDefault="005335EC" w:rsidP="005335EC">
      <w:pPr>
        <w:pStyle w:val="NormalWeb"/>
        <w:spacing w:before="0" w:beforeAutospacing="0" w:after="40" w:afterAutospacing="0"/>
        <w:jc w:val="both"/>
        <w:rPr>
          <w:rFonts w:asciiTheme="minorHAnsi" w:hAnsiTheme="minorHAnsi"/>
          <w:color w:val="000000"/>
          <w:sz w:val="22"/>
          <w:szCs w:val="27"/>
        </w:rPr>
      </w:pPr>
    </w:p>
    <w:p w:rsidR="005335EC" w:rsidRPr="005335EC" w:rsidRDefault="005335EC" w:rsidP="005335EC">
      <w:pPr>
        <w:pStyle w:val="ListParagraph"/>
        <w:numPr>
          <w:ilvl w:val="0"/>
          <w:numId w:val="12"/>
        </w:numPr>
        <w:jc w:val="both"/>
        <w:rPr>
          <w:sz w:val="26"/>
          <w:szCs w:val="26"/>
        </w:rPr>
      </w:pPr>
      <w:r w:rsidRPr="005335EC">
        <w:rPr>
          <w:color w:val="5B9BD5" w:themeColor="accent1"/>
          <w:sz w:val="26"/>
          <w:szCs w:val="26"/>
        </w:rPr>
        <w:t>Software Solution for OPPE and FPPE</w:t>
      </w:r>
    </w:p>
    <w:p w:rsidR="005335EC" w:rsidRDefault="005335EC" w:rsidP="005335EC">
      <w:pPr>
        <w:pStyle w:val="ListParagraph"/>
        <w:ind w:left="360"/>
        <w:jc w:val="both"/>
        <w:rPr>
          <w:color w:val="000000" w:themeColor="text1"/>
        </w:rPr>
      </w:pPr>
      <w:r w:rsidRPr="00A56B16">
        <w:rPr>
          <w:color w:val="000000" w:themeColor="text1"/>
        </w:rPr>
        <w:t>There</w:t>
      </w:r>
      <w:r>
        <w:rPr>
          <w:color w:val="000000" w:themeColor="text1"/>
        </w:rPr>
        <w:t xml:space="preserve"> is one Software Solution available for OPPE and FPPE provided by </w:t>
      </w:r>
      <w:hyperlink r:id="rId15" w:history="1">
        <w:r w:rsidRPr="008F44AB">
          <w:rPr>
            <w:rStyle w:val="Hyperlink"/>
          </w:rPr>
          <w:t>Safe Care Group</w:t>
        </w:r>
      </w:hyperlink>
      <w:r>
        <w:rPr>
          <w:color w:val="000000" w:themeColor="text1"/>
        </w:rPr>
        <w:t xml:space="preserve"> named </w:t>
      </w:r>
      <w:hyperlink r:id="rId16" w:history="1">
        <w:r w:rsidRPr="008F44AB">
          <w:rPr>
            <w:rStyle w:val="Hyperlink"/>
          </w:rPr>
          <w:t>OPPERA (OPPE Readiness App)</w:t>
        </w:r>
      </w:hyperlink>
      <w:r>
        <w:rPr>
          <w:color w:val="000000" w:themeColor="text1"/>
        </w:rPr>
        <w:t>.</w:t>
      </w:r>
    </w:p>
    <w:p w:rsidR="005335EC" w:rsidRDefault="005335EC" w:rsidP="005335EC">
      <w:pPr>
        <w:pStyle w:val="ListParagraph"/>
        <w:ind w:left="360"/>
        <w:jc w:val="both"/>
        <w:rPr>
          <w:color w:val="000000" w:themeColor="text1"/>
        </w:rPr>
      </w:pPr>
      <w:r>
        <w:rPr>
          <w:color w:val="000000" w:themeColor="text1"/>
        </w:rPr>
        <w:t>Features:</w:t>
      </w:r>
    </w:p>
    <w:p w:rsidR="005335EC" w:rsidRDefault="005335EC" w:rsidP="005335EC">
      <w:pPr>
        <w:pStyle w:val="ListParagraph"/>
        <w:numPr>
          <w:ilvl w:val="0"/>
          <w:numId w:val="16"/>
        </w:numPr>
        <w:jc w:val="both"/>
        <w:rPr>
          <w:color w:val="000000" w:themeColor="text1"/>
        </w:rPr>
      </w:pPr>
      <w:r>
        <w:rPr>
          <w:color w:val="000000" w:themeColor="text1"/>
        </w:rPr>
        <w:t>Automated OPPE Reviews.</w:t>
      </w:r>
    </w:p>
    <w:p w:rsidR="005335EC" w:rsidRDefault="005335EC" w:rsidP="005335EC">
      <w:pPr>
        <w:pStyle w:val="ListParagraph"/>
        <w:numPr>
          <w:ilvl w:val="0"/>
          <w:numId w:val="16"/>
        </w:numPr>
        <w:jc w:val="both"/>
        <w:rPr>
          <w:color w:val="000000" w:themeColor="text1"/>
        </w:rPr>
      </w:pPr>
      <w:r>
        <w:rPr>
          <w:color w:val="000000" w:themeColor="text1"/>
        </w:rPr>
        <w:t>FPPE Appraisals.</w:t>
      </w:r>
    </w:p>
    <w:p w:rsidR="005335EC" w:rsidRDefault="005335EC" w:rsidP="005335EC">
      <w:pPr>
        <w:pStyle w:val="ListParagraph"/>
        <w:numPr>
          <w:ilvl w:val="0"/>
          <w:numId w:val="16"/>
        </w:numPr>
        <w:jc w:val="both"/>
        <w:rPr>
          <w:color w:val="000000" w:themeColor="text1"/>
        </w:rPr>
      </w:pPr>
      <w:r>
        <w:rPr>
          <w:color w:val="000000" w:themeColor="text1"/>
        </w:rPr>
        <w:t>ICMs at-a-glance innovation.</w:t>
      </w:r>
    </w:p>
    <w:p w:rsidR="005335EC" w:rsidRDefault="005335EC" w:rsidP="005335EC">
      <w:pPr>
        <w:pStyle w:val="ListParagraph"/>
        <w:numPr>
          <w:ilvl w:val="0"/>
          <w:numId w:val="16"/>
        </w:numPr>
        <w:jc w:val="both"/>
        <w:rPr>
          <w:color w:val="000000" w:themeColor="text1"/>
        </w:rPr>
      </w:pPr>
      <w:r>
        <w:rPr>
          <w:color w:val="000000" w:themeColor="text1"/>
        </w:rPr>
        <w:t>Speciality Specific.</w:t>
      </w:r>
    </w:p>
    <w:p w:rsidR="005335EC" w:rsidRPr="008F44AB" w:rsidRDefault="005335EC" w:rsidP="00A575FD">
      <w:pPr>
        <w:ind w:left="360"/>
        <w:jc w:val="both"/>
        <w:rPr>
          <w:color w:val="000000" w:themeColor="text1"/>
        </w:rPr>
      </w:pPr>
      <w:r>
        <w:rPr>
          <w:color w:val="000000" w:themeColor="text1"/>
        </w:rPr>
        <w:t xml:space="preserve">Acquires all Six Core Competencies </w:t>
      </w:r>
      <w:r w:rsidR="00A575FD">
        <w:rPr>
          <w:color w:val="000000" w:themeColor="text1"/>
        </w:rPr>
        <w:t>defined by The Joint Commission (</w:t>
      </w:r>
      <w:r>
        <w:rPr>
          <w:color w:val="000000" w:themeColor="text1"/>
        </w:rPr>
        <w:t>Patient Care</w:t>
      </w:r>
      <w:r w:rsidR="00A575FD">
        <w:rPr>
          <w:color w:val="000000" w:themeColor="text1"/>
        </w:rPr>
        <w:t xml:space="preserve">, </w:t>
      </w:r>
      <w:r>
        <w:rPr>
          <w:color w:val="000000" w:themeColor="text1"/>
        </w:rPr>
        <w:t>Communications</w:t>
      </w:r>
      <w:r w:rsidR="00A575FD">
        <w:rPr>
          <w:color w:val="000000" w:themeColor="text1"/>
        </w:rPr>
        <w:t xml:space="preserve">, </w:t>
      </w:r>
      <w:r>
        <w:rPr>
          <w:color w:val="000000" w:themeColor="text1"/>
        </w:rPr>
        <w:t>System based practice</w:t>
      </w:r>
      <w:r w:rsidR="00A575FD">
        <w:rPr>
          <w:color w:val="000000" w:themeColor="text1"/>
        </w:rPr>
        <w:t xml:space="preserve">, </w:t>
      </w:r>
      <w:r>
        <w:rPr>
          <w:color w:val="000000" w:themeColor="text1"/>
        </w:rPr>
        <w:t>Pr4ofessionalism</w:t>
      </w:r>
      <w:r w:rsidR="00A575FD">
        <w:rPr>
          <w:color w:val="000000" w:themeColor="text1"/>
        </w:rPr>
        <w:t xml:space="preserve">, </w:t>
      </w:r>
      <w:r>
        <w:rPr>
          <w:color w:val="000000" w:themeColor="text1"/>
        </w:rPr>
        <w:t>Practice Based Learning</w:t>
      </w:r>
      <w:r w:rsidR="00A575FD">
        <w:rPr>
          <w:color w:val="000000" w:themeColor="text1"/>
        </w:rPr>
        <w:t xml:space="preserve">, </w:t>
      </w:r>
      <w:r>
        <w:rPr>
          <w:color w:val="000000" w:themeColor="text1"/>
        </w:rPr>
        <w:t>Medical Knowledge</w:t>
      </w:r>
      <w:r w:rsidR="00A575FD">
        <w:rPr>
          <w:color w:val="000000" w:themeColor="text1"/>
        </w:rPr>
        <w:t>)</w:t>
      </w:r>
    </w:p>
    <w:p w:rsidR="005335EC" w:rsidRDefault="00910352" w:rsidP="0000752C">
      <w:pPr>
        <w:pStyle w:val="Heading2"/>
        <w:rPr>
          <w:color w:val="000000" w:themeColor="text1"/>
        </w:rPr>
      </w:pPr>
      <w:r w:rsidRPr="005335EC">
        <w:t>Contact Info: -</w:t>
      </w:r>
    </w:p>
    <w:p w:rsidR="00910352" w:rsidRDefault="00833AF8" w:rsidP="005335EC">
      <w:pPr>
        <w:pStyle w:val="ListParagraph"/>
        <w:ind w:left="360"/>
        <w:jc w:val="both"/>
        <w:rPr>
          <w:color w:val="000000" w:themeColor="text1"/>
        </w:rPr>
      </w:pPr>
      <w:hyperlink r:id="rId17" w:history="1">
        <w:r w:rsidR="00910352" w:rsidRPr="00F53A03">
          <w:rPr>
            <w:rStyle w:val="Hyperlink"/>
          </w:rPr>
          <w:t>http://www.jcrinc.com/contact-us/</w:t>
        </w:r>
      </w:hyperlink>
    </w:p>
    <w:p w:rsidR="00910352" w:rsidRPr="00910352" w:rsidRDefault="00910352" w:rsidP="00910352">
      <w:pPr>
        <w:pStyle w:val="ListParagraph"/>
        <w:ind w:left="360"/>
        <w:jc w:val="both"/>
        <w:rPr>
          <w:color w:val="000000" w:themeColor="text1"/>
        </w:rPr>
      </w:pPr>
      <w:r w:rsidRPr="00910352">
        <w:rPr>
          <w:color w:val="000000" w:themeColor="text1"/>
        </w:rPr>
        <w:t>Joint Commission Resources</w:t>
      </w:r>
    </w:p>
    <w:p w:rsidR="00910352" w:rsidRPr="00910352" w:rsidRDefault="00910352" w:rsidP="00910352">
      <w:pPr>
        <w:pStyle w:val="ListParagraph"/>
        <w:ind w:left="360"/>
        <w:jc w:val="both"/>
        <w:rPr>
          <w:color w:val="000000" w:themeColor="text1"/>
        </w:rPr>
      </w:pPr>
      <w:r w:rsidRPr="00910352">
        <w:rPr>
          <w:color w:val="000000" w:themeColor="text1"/>
        </w:rPr>
        <w:t>1515 West 22nd Street, Suite 1300W</w:t>
      </w:r>
    </w:p>
    <w:p w:rsidR="00910352" w:rsidRPr="00910352" w:rsidRDefault="00910352" w:rsidP="00910352">
      <w:pPr>
        <w:pStyle w:val="ListParagraph"/>
        <w:ind w:left="360"/>
        <w:jc w:val="both"/>
        <w:rPr>
          <w:color w:val="000000" w:themeColor="text1"/>
        </w:rPr>
      </w:pPr>
      <w:r w:rsidRPr="00910352">
        <w:rPr>
          <w:color w:val="000000" w:themeColor="text1"/>
        </w:rPr>
        <w:t>Oak Brook, Illinois 60523 USA</w:t>
      </w:r>
    </w:p>
    <w:p w:rsidR="00910352" w:rsidRPr="00910352" w:rsidRDefault="00910352" w:rsidP="00910352">
      <w:pPr>
        <w:pStyle w:val="ListParagraph"/>
        <w:ind w:left="360"/>
        <w:jc w:val="both"/>
        <w:rPr>
          <w:color w:val="000000" w:themeColor="text1"/>
        </w:rPr>
      </w:pPr>
      <w:r w:rsidRPr="00910352">
        <w:rPr>
          <w:color w:val="000000" w:themeColor="text1"/>
        </w:rPr>
        <w:t>P 630.268.7400 (within U.S.)</w:t>
      </w:r>
    </w:p>
    <w:p w:rsidR="005335EC" w:rsidRDefault="00EF517A" w:rsidP="006213CD">
      <w:pPr>
        <w:pStyle w:val="ListParagraph"/>
        <w:ind w:left="360"/>
        <w:jc w:val="both"/>
        <w:rPr>
          <w:color w:val="000000" w:themeColor="text1"/>
        </w:rPr>
      </w:pPr>
      <w:hyperlink r:id="rId18" w:history="1">
        <w:r w:rsidRPr="00510823">
          <w:rPr>
            <w:rStyle w:val="Hyperlink"/>
          </w:rPr>
          <w:t>info@jcrinc.com</w:t>
        </w:r>
      </w:hyperlink>
    </w:p>
    <w:p w:rsidR="00EF517A" w:rsidRDefault="00EF517A" w:rsidP="00EF517A">
      <w:pPr>
        <w:jc w:val="both"/>
      </w:pPr>
      <w:r>
        <w:t>Important Links:</w:t>
      </w:r>
    </w:p>
    <w:p w:rsidR="00EF517A" w:rsidRDefault="00EF517A" w:rsidP="00EF517A">
      <w:pPr>
        <w:jc w:val="both"/>
      </w:pPr>
      <w:hyperlink r:id="rId19" w:history="1">
        <w:r w:rsidRPr="00510823">
          <w:rPr>
            <w:rStyle w:val="Hyperlink"/>
          </w:rPr>
          <w:t>http://www.cap.org/apps/docs/reference/oppe_fppe.pdf</w:t>
        </w:r>
      </w:hyperlink>
    </w:p>
    <w:p w:rsidR="00EF517A" w:rsidRDefault="00EF517A" w:rsidP="00EF517A">
      <w:pPr>
        <w:jc w:val="both"/>
      </w:pPr>
      <w:hyperlink r:id="rId20" w:history="1">
        <w:r w:rsidRPr="00510823">
          <w:rPr>
            <w:rStyle w:val="Hyperlink"/>
          </w:rPr>
          <w:t>http://news.unchealthcare.org/archive/unc_physicians_newsletters/OPPEandFPPE.pdf</w:t>
        </w:r>
      </w:hyperlink>
    </w:p>
    <w:p w:rsidR="00EF517A" w:rsidRPr="00B40E34" w:rsidRDefault="00EF517A" w:rsidP="00EF517A">
      <w:pPr>
        <w:jc w:val="both"/>
      </w:pPr>
      <w:bookmarkStart w:id="18" w:name="_GoBack"/>
      <w:bookmarkEnd w:id="18"/>
    </w:p>
    <w:p w:rsidR="00AD34C5" w:rsidRPr="00AD34C5" w:rsidRDefault="00AD34C5" w:rsidP="00AD34C5">
      <w:pPr>
        <w:spacing w:after="0" w:line="240" w:lineRule="auto"/>
      </w:pPr>
    </w:p>
    <w:p w:rsidR="00D95CF1" w:rsidRDefault="00D95CF1" w:rsidP="00E84151"/>
    <w:p w:rsidR="00D95CF1" w:rsidRDefault="00D95CF1">
      <w:r>
        <w:br w:type="page"/>
      </w:r>
    </w:p>
    <w:p w:rsidR="00D26122" w:rsidRPr="00D26122" w:rsidRDefault="00D26122" w:rsidP="006213CD">
      <w:pPr>
        <w:pStyle w:val="Heading1"/>
        <w:rPr>
          <w:rFonts w:eastAsiaTheme="minorEastAsia"/>
        </w:rPr>
      </w:pPr>
      <w:r w:rsidRPr="00D26122">
        <w:rPr>
          <w:rFonts w:eastAsiaTheme="minorEastAsia"/>
        </w:rPr>
        <w:lastRenderedPageBreak/>
        <w:t>National Practitioner Data Bank (NPDB)</w:t>
      </w:r>
      <w:r w:rsidR="00A72A9C">
        <w:rPr>
          <w:rFonts w:eastAsiaTheme="minorEastAsia"/>
        </w:rPr>
        <w:tab/>
      </w:r>
    </w:p>
    <w:p w:rsidR="00D26122" w:rsidRDefault="00D26122" w:rsidP="00D26122">
      <w:pPr>
        <w:spacing w:after="40" w:line="240" w:lineRule="auto"/>
        <w:jc w:val="center"/>
      </w:pPr>
    </w:p>
    <w:p w:rsidR="00D26122" w:rsidRPr="00D26122" w:rsidRDefault="00D26122" w:rsidP="006213CD">
      <w:pPr>
        <w:pStyle w:val="Heading2"/>
      </w:pPr>
      <w:r w:rsidRPr="00D26122">
        <w:rPr>
          <w:rFonts w:eastAsiaTheme="minorEastAsia"/>
        </w:rPr>
        <w:t>Brief Description: -</w:t>
      </w:r>
    </w:p>
    <w:p w:rsidR="00D26122" w:rsidRDefault="00D26122" w:rsidP="00D26122">
      <w:pPr>
        <w:numPr>
          <w:ilvl w:val="0"/>
          <w:numId w:val="23"/>
        </w:numPr>
        <w:spacing w:after="40" w:line="240" w:lineRule="auto"/>
        <w:rPr>
          <w:rFonts w:eastAsiaTheme="minorEastAsia"/>
        </w:rPr>
      </w:pPr>
      <w:r w:rsidRPr="00DF295F">
        <w:rPr>
          <w:rFonts w:eastAsiaTheme="minorEastAsia"/>
        </w:rPr>
        <w:t>The National Practitioner Data Bank is a U</w:t>
      </w:r>
      <w:r>
        <w:rPr>
          <w:rFonts w:eastAsiaTheme="minorEastAsia"/>
        </w:rPr>
        <w:t xml:space="preserve">nited States Government program </w:t>
      </w:r>
      <w:r w:rsidRPr="00D34EB7">
        <w:rPr>
          <w:rFonts w:eastAsiaTheme="minorEastAsia"/>
        </w:rPr>
        <w:t>was established under Title IV of Public Law 99-660, the Health Care Quality Improvement Act of 1986, and is expanded by Section 1921, as amended by section 5(b) of the</w:t>
      </w:r>
      <w:r>
        <w:rPr>
          <w:rFonts w:eastAsiaTheme="minorEastAsia"/>
        </w:rPr>
        <w:t xml:space="preserve"> </w:t>
      </w:r>
      <w:r w:rsidRPr="00D34EB7">
        <w:rPr>
          <w:rFonts w:eastAsiaTheme="minorEastAsia"/>
        </w:rPr>
        <w:t>Medicare and Medicaid Patient and Program Protection Act of 1987</w:t>
      </w:r>
      <w:r>
        <w:rPr>
          <w:rFonts w:eastAsiaTheme="minorEastAsia"/>
        </w:rPr>
        <w:t>.</w:t>
      </w:r>
    </w:p>
    <w:p w:rsidR="00D26122" w:rsidRDefault="00D26122" w:rsidP="00D26122">
      <w:pPr>
        <w:numPr>
          <w:ilvl w:val="0"/>
          <w:numId w:val="23"/>
        </w:numPr>
        <w:spacing w:after="40" w:line="240" w:lineRule="auto"/>
        <w:rPr>
          <w:rFonts w:eastAsiaTheme="minorEastAsia"/>
        </w:rPr>
      </w:pPr>
      <w:r>
        <w:rPr>
          <w:rFonts w:eastAsiaTheme="minorEastAsia"/>
        </w:rPr>
        <w:t>It</w:t>
      </w:r>
      <w:r w:rsidRPr="00DF295F">
        <w:rPr>
          <w:rFonts w:eastAsiaTheme="minorEastAsia"/>
        </w:rPr>
        <w:t xml:space="preserve"> collects and discloses, only to authorized users, negative information on health care practitioners, including malpractice awards, loss of license or exclusion from participation in Medicare or Medicaid.</w:t>
      </w:r>
      <w:r>
        <w:rPr>
          <w:rFonts w:eastAsiaTheme="minorEastAsia"/>
        </w:rPr>
        <w:t xml:space="preserve"> </w:t>
      </w:r>
    </w:p>
    <w:p w:rsidR="00D26122" w:rsidRDefault="00D26122" w:rsidP="00D26122">
      <w:pPr>
        <w:numPr>
          <w:ilvl w:val="0"/>
          <w:numId w:val="23"/>
        </w:numPr>
        <w:spacing w:after="40" w:line="240" w:lineRule="auto"/>
        <w:rPr>
          <w:rFonts w:eastAsiaTheme="minorEastAsia"/>
        </w:rPr>
      </w:pPr>
      <w:r w:rsidRPr="00DF295F">
        <w:rPr>
          <w:rFonts w:eastAsiaTheme="minorEastAsia"/>
        </w:rPr>
        <w:t>The Data Bank was created by Congress with the primary goals of improving health care quality, protecting the public and reducing health care fraud and abuse.</w:t>
      </w:r>
    </w:p>
    <w:p w:rsidR="00D26122" w:rsidRPr="00B3568B" w:rsidRDefault="00D26122" w:rsidP="00D26122">
      <w:pPr>
        <w:numPr>
          <w:ilvl w:val="0"/>
          <w:numId w:val="23"/>
        </w:numPr>
        <w:spacing w:after="40" w:line="240" w:lineRule="auto"/>
        <w:rPr>
          <w:rFonts w:eastAsiaTheme="minorEastAsia"/>
        </w:rPr>
      </w:pPr>
      <w:r w:rsidRPr="00B3568B">
        <w:rPr>
          <w:rFonts w:eastAsiaTheme="minorEastAsia"/>
        </w:rPr>
        <w:t>Congress passed a Section 1128E, HIPDB (Healthcare Integrity and Protection Data Bank) was established</w:t>
      </w:r>
    </w:p>
    <w:p w:rsidR="00D26122" w:rsidRPr="00B3568B" w:rsidRDefault="00D26122" w:rsidP="00D26122">
      <w:pPr>
        <w:numPr>
          <w:ilvl w:val="0"/>
          <w:numId w:val="23"/>
        </w:numPr>
        <w:spacing w:after="40" w:line="240" w:lineRule="auto"/>
        <w:rPr>
          <w:rFonts w:eastAsiaTheme="minorEastAsia"/>
        </w:rPr>
      </w:pPr>
      <w:r w:rsidRPr="00B3568B">
        <w:rPr>
          <w:rFonts w:eastAsiaTheme="minorEastAsia"/>
        </w:rPr>
        <w:t>The HIPDB was a national bank that received and disclosed certain final adverse actions by Federal, state agencies and health plans against health care practitioners, providers and suppliers. The information are related to criminal convictions and civil judgements</w:t>
      </w:r>
    </w:p>
    <w:p w:rsidR="00D26122" w:rsidRPr="00B3568B" w:rsidRDefault="00D26122" w:rsidP="00D26122">
      <w:pPr>
        <w:numPr>
          <w:ilvl w:val="0"/>
          <w:numId w:val="23"/>
        </w:numPr>
        <w:spacing w:after="40" w:line="240" w:lineRule="auto"/>
        <w:rPr>
          <w:rFonts w:eastAsiaTheme="minorEastAsia"/>
        </w:rPr>
      </w:pPr>
      <w:r w:rsidRPr="00B3568B">
        <w:rPr>
          <w:rFonts w:eastAsiaTheme="minorEastAsia"/>
        </w:rPr>
        <w:t>On May 6, 2013 NPDB and the HIPDB were consolidated to avoid duplication</w:t>
      </w:r>
    </w:p>
    <w:p w:rsidR="00D26122" w:rsidRPr="00D26122" w:rsidRDefault="00D26122" w:rsidP="006213CD">
      <w:pPr>
        <w:pStyle w:val="Heading2"/>
      </w:pPr>
      <w:r w:rsidRPr="00D26122">
        <w:rPr>
          <w:rFonts w:eastAsiaTheme="minorEastAsia"/>
        </w:rPr>
        <w:t>Information provided to Users: -</w:t>
      </w:r>
    </w:p>
    <w:p w:rsidR="00D26122" w:rsidRDefault="00D26122" w:rsidP="00D26122">
      <w:pPr>
        <w:numPr>
          <w:ilvl w:val="0"/>
          <w:numId w:val="23"/>
        </w:numPr>
        <w:spacing w:after="40" w:line="240" w:lineRule="auto"/>
        <w:rPr>
          <w:rFonts w:eastAsiaTheme="minorEastAsia"/>
        </w:rPr>
      </w:pPr>
      <w:r w:rsidRPr="58744E0C">
        <w:rPr>
          <w:rFonts w:eastAsiaTheme="minorEastAsia"/>
        </w:rPr>
        <w:t>JSON document and it is made up of several data objects.</w:t>
      </w:r>
    </w:p>
    <w:p w:rsidR="00D26122" w:rsidRDefault="00D26122" w:rsidP="00D26122">
      <w:pPr>
        <w:numPr>
          <w:ilvl w:val="0"/>
          <w:numId w:val="23"/>
        </w:numPr>
        <w:spacing w:after="40" w:line="240" w:lineRule="auto"/>
        <w:rPr>
          <w:rFonts w:eastAsiaTheme="minorEastAsia"/>
        </w:rPr>
      </w:pPr>
      <w:r w:rsidRPr="00087BA4">
        <w:rPr>
          <w:rFonts w:eastAsiaTheme="minorEastAsia"/>
        </w:rPr>
        <w:t>Medical malpractice payments.</w:t>
      </w:r>
    </w:p>
    <w:p w:rsidR="00D26122" w:rsidRPr="00087BA4" w:rsidRDefault="00D26122" w:rsidP="00D26122">
      <w:pPr>
        <w:numPr>
          <w:ilvl w:val="0"/>
          <w:numId w:val="23"/>
        </w:numPr>
        <w:spacing w:after="40" w:line="240" w:lineRule="auto"/>
        <w:rPr>
          <w:rFonts w:eastAsiaTheme="minorEastAsia"/>
        </w:rPr>
      </w:pPr>
      <w:r w:rsidRPr="00087BA4">
        <w:rPr>
          <w:rFonts w:eastAsiaTheme="minorEastAsia"/>
        </w:rPr>
        <w:t>Any adverse licensure actions or loss of license</w:t>
      </w:r>
    </w:p>
    <w:p w:rsidR="00D26122" w:rsidRPr="00087BA4" w:rsidRDefault="00D26122" w:rsidP="00D26122">
      <w:pPr>
        <w:numPr>
          <w:ilvl w:val="0"/>
          <w:numId w:val="23"/>
        </w:numPr>
        <w:spacing w:after="40" w:line="240" w:lineRule="auto"/>
        <w:rPr>
          <w:rFonts w:eastAsiaTheme="minorEastAsia"/>
        </w:rPr>
      </w:pPr>
      <w:r w:rsidRPr="00087BA4">
        <w:rPr>
          <w:rFonts w:eastAsiaTheme="minorEastAsia"/>
        </w:rPr>
        <w:t>Adverse clinical privileging actions, or Adverse professional society membership actions</w:t>
      </w:r>
    </w:p>
    <w:p w:rsidR="00D26122" w:rsidRPr="00087BA4" w:rsidRDefault="00D26122" w:rsidP="00D26122">
      <w:pPr>
        <w:numPr>
          <w:ilvl w:val="0"/>
          <w:numId w:val="23"/>
        </w:numPr>
        <w:spacing w:after="40" w:line="240" w:lineRule="auto"/>
        <w:rPr>
          <w:rFonts w:eastAsiaTheme="minorEastAsia"/>
        </w:rPr>
      </w:pPr>
      <w:r w:rsidRPr="00087BA4">
        <w:rPr>
          <w:rFonts w:eastAsiaTheme="minorEastAsia"/>
        </w:rPr>
        <w:t>Any negative action or finding by a State licensing or certification authority</w:t>
      </w:r>
    </w:p>
    <w:p w:rsidR="00D26122" w:rsidRPr="00087BA4" w:rsidRDefault="00D26122" w:rsidP="00D26122">
      <w:pPr>
        <w:numPr>
          <w:ilvl w:val="0"/>
          <w:numId w:val="23"/>
        </w:numPr>
        <w:spacing w:after="40" w:line="240" w:lineRule="auto"/>
        <w:rPr>
          <w:rFonts w:eastAsiaTheme="minorEastAsia"/>
        </w:rPr>
      </w:pPr>
      <w:r w:rsidRPr="00087BA4">
        <w:rPr>
          <w:rFonts w:eastAsiaTheme="minorEastAsia"/>
        </w:rPr>
        <w:t>Private accreditation organization negative actions or findings against a health care practitioner or entity</w:t>
      </w:r>
    </w:p>
    <w:p w:rsidR="00D26122" w:rsidRPr="00087BA4" w:rsidRDefault="00D26122" w:rsidP="00D26122">
      <w:pPr>
        <w:numPr>
          <w:ilvl w:val="0"/>
          <w:numId w:val="23"/>
        </w:numPr>
        <w:spacing w:after="40" w:line="240" w:lineRule="auto"/>
        <w:rPr>
          <w:rFonts w:eastAsiaTheme="minorEastAsia"/>
        </w:rPr>
      </w:pPr>
      <w:r w:rsidRPr="00087BA4">
        <w:rPr>
          <w:rFonts w:eastAsiaTheme="minorEastAsia"/>
        </w:rPr>
        <w:t>Any negative action or finding by a Federal or State licensing and certification agency that is publicly available information</w:t>
      </w:r>
    </w:p>
    <w:p w:rsidR="00D26122" w:rsidRPr="00087BA4" w:rsidRDefault="00D26122" w:rsidP="00D26122">
      <w:pPr>
        <w:numPr>
          <w:ilvl w:val="0"/>
          <w:numId w:val="23"/>
        </w:numPr>
        <w:spacing w:after="40" w:line="240" w:lineRule="auto"/>
        <w:rPr>
          <w:rFonts w:eastAsiaTheme="minorEastAsia"/>
        </w:rPr>
      </w:pPr>
      <w:r w:rsidRPr="00087BA4">
        <w:rPr>
          <w:rFonts w:eastAsiaTheme="minorEastAsia"/>
        </w:rPr>
        <w:t>Civil judgments or criminal convictions that are health care-related</w:t>
      </w:r>
    </w:p>
    <w:p w:rsidR="00D26122" w:rsidRPr="00087BA4" w:rsidRDefault="00D26122" w:rsidP="00D26122">
      <w:pPr>
        <w:numPr>
          <w:ilvl w:val="0"/>
          <w:numId w:val="23"/>
        </w:numPr>
        <w:spacing w:after="40" w:line="240" w:lineRule="auto"/>
        <w:rPr>
          <w:rFonts w:eastAsiaTheme="minorEastAsia"/>
        </w:rPr>
      </w:pPr>
      <w:r w:rsidRPr="00087BA4">
        <w:rPr>
          <w:rFonts w:eastAsiaTheme="minorEastAsia"/>
        </w:rPr>
        <w:t>Exclusions from Federal or State health care programs</w:t>
      </w:r>
    </w:p>
    <w:p w:rsidR="00D26122" w:rsidRDefault="00D26122" w:rsidP="00D26122">
      <w:pPr>
        <w:numPr>
          <w:ilvl w:val="0"/>
          <w:numId w:val="23"/>
        </w:numPr>
        <w:spacing w:after="40" w:line="240" w:lineRule="auto"/>
        <w:rPr>
          <w:rFonts w:eastAsiaTheme="minorEastAsia"/>
        </w:rPr>
      </w:pPr>
      <w:r w:rsidRPr="00087BA4">
        <w:rPr>
          <w:rFonts w:eastAsiaTheme="minorEastAsia"/>
        </w:rPr>
        <w:t>Other adjudicated actions or decisions (formal or official actions, involving a due process mechanism and based on acts or omissions that affect or could affect the payment, provision, or delivery of a health care item or service)</w:t>
      </w:r>
    </w:p>
    <w:p w:rsidR="00D26122" w:rsidRPr="00D26122" w:rsidRDefault="00D26122" w:rsidP="00A53D36">
      <w:pPr>
        <w:pStyle w:val="Heading2"/>
      </w:pPr>
      <w:r w:rsidRPr="00D26122">
        <w:rPr>
          <w:rFonts w:eastAsiaTheme="minorEastAsia"/>
        </w:rPr>
        <w:t>Information Access: -</w:t>
      </w:r>
    </w:p>
    <w:p w:rsidR="00D26122" w:rsidRPr="005401BA" w:rsidRDefault="00D26122" w:rsidP="00D26122">
      <w:pPr>
        <w:numPr>
          <w:ilvl w:val="0"/>
          <w:numId w:val="23"/>
        </w:numPr>
        <w:spacing w:after="40" w:line="240" w:lineRule="auto"/>
        <w:rPr>
          <w:rFonts w:eastAsiaTheme="minorEastAsia"/>
        </w:rPr>
      </w:pPr>
      <w:r w:rsidRPr="005401BA">
        <w:rPr>
          <w:rFonts w:eastAsiaTheme="minorEastAsia"/>
        </w:rPr>
        <w:t>Access to the information is limited, and is not available to the general public.</w:t>
      </w:r>
    </w:p>
    <w:p w:rsidR="00D26122" w:rsidRPr="005401BA" w:rsidRDefault="00D26122" w:rsidP="00D26122">
      <w:pPr>
        <w:numPr>
          <w:ilvl w:val="0"/>
          <w:numId w:val="23"/>
        </w:numPr>
        <w:spacing w:after="40" w:line="240" w:lineRule="auto"/>
        <w:rPr>
          <w:rFonts w:eastAsiaTheme="minorEastAsia"/>
        </w:rPr>
      </w:pPr>
      <w:r w:rsidRPr="005401BA">
        <w:rPr>
          <w:rFonts w:eastAsiaTheme="minorEastAsia"/>
        </w:rPr>
        <w:t>It is provided to hospitals, other health care entities, professional societies, state and federal licensing and certification authorities (including Medical and Dental Boards), and agencies or contractors administering Federal or State health care programs.</w:t>
      </w:r>
    </w:p>
    <w:p w:rsidR="00D26122" w:rsidRPr="005401BA" w:rsidRDefault="00D26122" w:rsidP="00D26122">
      <w:pPr>
        <w:numPr>
          <w:ilvl w:val="0"/>
          <w:numId w:val="23"/>
        </w:numPr>
        <w:spacing w:after="40" w:line="240" w:lineRule="auto"/>
        <w:rPr>
          <w:rFonts w:eastAsiaTheme="minorEastAsia"/>
        </w:rPr>
      </w:pPr>
      <w:r w:rsidRPr="005401BA">
        <w:rPr>
          <w:rFonts w:eastAsiaTheme="minorEastAsia"/>
        </w:rPr>
        <w:t>In addition, individual healthcare providers can obtain access to their own records</w:t>
      </w:r>
      <w:r>
        <w:rPr>
          <w:rFonts w:eastAsiaTheme="minorEastAsia"/>
        </w:rPr>
        <w:t>.</w:t>
      </w:r>
    </w:p>
    <w:p w:rsidR="00D26122" w:rsidRPr="00087BA4" w:rsidRDefault="00D26122" w:rsidP="00D26122">
      <w:pPr>
        <w:numPr>
          <w:ilvl w:val="0"/>
          <w:numId w:val="23"/>
        </w:numPr>
        <w:spacing w:after="40" w:line="240" w:lineRule="auto"/>
        <w:rPr>
          <w:rFonts w:eastAsiaTheme="minorEastAsia"/>
        </w:rPr>
      </w:pPr>
      <w:r>
        <w:rPr>
          <w:rFonts w:eastAsiaTheme="minorEastAsia"/>
        </w:rPr>
        <w:t>T</w:t>
      </w:r>
      <w:r w:rsidRPr="005401BA">
        <w:rPr>
          <w:rFonts w:eastAsiaTheme="minorEastAsia"/>
        </w:rPr>
        <w:t>his information is also in some cases available to those who may be suing them</w:t>
      </w:r>
      <w:r>
        <w:rPr>
          <w:rFonts w:eastAsiaTheme="minorEastAsia"/>
        </w:rPr>
        <w:t>.</w:t>
      </w:r>
    </w:p>
    <w:p w:rsidR="00D26122" w:rsidRDefault="00D26122" w:rsidP="00D26122">
      <w:pPr>
        <w:numPr>
          <w:ilvl w:val="0"/>
          <w:numId w:val="23"/>
        </w:numPr>
        <w:spacing w:after="40" w:line="240" w:lineRule="auto"/>
        <w:rPr>
          <w:rFonts w:eastAsiaTheme="minorEastAsia"/>
        </w:rPr>
      </w:pPr>
      <w:r w:rsidRPr="005401BA">
        <w:rPr>
          <w:rFonts w:eastAsiaTheme="minorEastAsia"/>
        </w:rPr>
        <w:t>Researchers may also obtain statistical data, but not data on individuals.</w:t>
      </w:r>
    </w:p>
    <w:p w:rsidR="00D26122" w:rsidRDefault="00D26122" w:rsidP="00D26122">
      <w:pPr>
        <w:numPr>
          <w:ilvl w:val="0"/>
          <w:numId w:val="23"/>
        </w:numPr>
        <w:spacing w:after="40" w:line="240" w:lineRule="auto"/>
        <w:rPr>
          <w:rFonts w:eastAsiaTheme="minorEastAsia"/>
          <w:lang w:val="en-US"/>
        </w:rPr>
      </w:pPr>
      <w:r w:rsidRPr="0025197E">
        <w:rPr>
          <w:rFonts w:eastAsiaTheme="minorEastAsia"/>
        </w:rPr>
        <w:t>An eligible entity receiving information from the NPDB may disclose the information to others who are part of the same investigation or peer review process, as long as the information is used for the purpose for which it was provided</w:t>
      </w:r>
      <w:r>
        <w:rPr>
          <w:rFonts w:eastAsiaTheme="minorEastAsia"/>
        </w:rPr>
        <w:t>.</w:t>
      </w:r>
    </w:p>
    <w:p w:rsidR="00D26122" w:rsidRDefault="00D26122" w:rsidP="00D26122">
      <w:pPr>
        <w:spacing w:after="40" w:line="240" w:lineRule="auto"/>
        <w:ind w:left="360"/>
        <w:rPr>
          <w:rFonts w:eastAsiaTheme="minorEastAsia"/>
          <w:lang w:val="en-US"/>
        </w:rPr>
      </w:pPr>
    </w:p>
    <w:p w:rsidR="00D26122" w:rsidRPr="00D26122" w:rsidRDefault="00D26122" w:rsidP="00D26122">
      <w:pPr>
        <w:spacing w:after="40" w:line="240" w:lineRule="auto"/>
        <w:ind w:left="360"/>
        <w:rPr>
          <w:rFonts w:eastAsiaTheme="minorEastAsia"/>
          <w:lang w:val="en-US"/>
        </w:rPr>
      </w:pPr>
    </w:p>
    <w:p w:rsidR="00D26122" w:rsidRPr="00D26122" w:rsidRDefault="00D26122" w:rsidP="00A53D36">
      <w:pPr>
        <w:pStyle w:val="Heading2"/>
        <w:rPr>
          <w:rFonts w:eastAsiaTheme="minorEastAsia"/>
        </w:rPr>
      </w:pPr>
      <w:r w:rsidRPr="00D26122">
        <w:rPr>
          <w:rFonts w:eastAsiaTheme="minorEastAsia"/>
        </w:rPr>
        <w:lastRenderedPageBreak/>
        <w:t>Data Bank Security: -</w:t>
      </w:r>
    </w:p>
    <w:p w:rsidR="00D26122" w:rsidRPr="00B3568B" w:rsidRDefault="00D26122" w:rsidP="00D26122">
      <w:pPr>
        <w:pStyle w:val="NormalWeb"/>
        <w:shd w:val="clear" w:color="auto" w:fill="FFFFFF"/>
        <w:spacing w:before="0" w:beforeAutospacing="0" w:after="40" w:afterAutospacing="0"/>
        <w:rPr>
          <w:rFonts w:asciiTheme="minorHAnsi" w:eastAsiaTheme="minorEastAsia" w:hAnsiTheme="minorHAnsi" w:cstheme="minorBidi"/>
          <w:sz w:val="22"/>
          <w:szCs w:val="22"/>
        </w:rPr>
      </w:pPr>
      <w:r w:rsidRPr="00B3568B">
        <w:rPr>
          <w:rFonts w:asciiTheme="minorHAnsi" w:eastAsiaTheme="minorEastAsia" w:hAnsiTheme="minorHAnsi" w:cstheme="minorBidi"/>
          <w:sz w:val="22"/>
          <w:szCs w:val="22"/>
        </w:rPr>
        <w:t>As previously stated, information reported to the Data Bank is confidential. Safeguarding that confidential information includes proper and secure retrieval, handling, and disposal of the information. Taking the following actions helps to ensure Data Bank security.</w:t>
      </w:r>
    </w:p>
    <w:p w:rsidR="00D26122" w:rsidRPr="00F65D9F" w:rsidRDefault="00D26122" w:rsidP="00D26122">
      <w:pPr>
        <w:numPr>
          <w:ilvl w:val="0"/>
          <w:numId w:val="23"/>
        </w:numPr>
        <w:spacing w:after="40" w:line="240" w:lineRule="auto"/>
        <w:rPr>
          <w:rFonts w:eastAsiaTheme="minorEastAsia"/>
        </w:rPr>
      </w:pPr>
      <w:r w:rsidRPr="00F65D9F">
        <w:rPr>
          <w:rFonts w:eastAsiaTheme="minorEastAsia"/>
        </w:rPr>
        <w:t>Every registered health care organization must have a unique Data Bank Identification number (DBID) and password. All individual users within the organization must also use the organization DBID and have their own user ID and password. To learn more, see </w:t>
      </w:r>
      <w:hyperlink r:id="rId21" w:history="1">
        <w:r w:rsidRPr="00F65D9F">
          <w:rPr>
            <w:rFonts w:eastAsiaTheme="minorEastAsia"/>
          </w:rPr>
          <w:t>Manage User IDs and Passwords.</w:t>
        </w:r>
      </w:hyperlink>
    </w:p>
    <w:p w:rsidR="00D26122" w:rsidRPr="00F65D9F" w:rsidRDefault="00D26122" w:rsidP="00D26122">
      <w:pPr>
        <w:numPr>
          <w:ilvl w:val="0"/>
          <w:numId w:val="23"/>
        </w:numPr>
        <w:spacing w:after="40" w:line="240" w:lineRule="auto"/>
        <w:rPr>
          <w:rFonts w:eastAsiaTheme="minorEastAsia"/>
        </w:rPr>
      </w:pPr>
      <w:r w:rsidRPr="00F65D9F">
        <w:rPr>
          <w:rFonts w:eastAsiaTheme="minorEastAsia"/>
        </w:rPr>
        <w:t>Sign out of the Data Bank after each session to keep unauthorized personnel from gaining access to you or your organization’s sensitive information.</w:t>
      </w:r>
    </w:p>
    <w:p w:rsidR="00D26122" w:rsidRPr="00F65D9F" w:rsidRDefault="00D26122" w:rsidP="00D26122">
      <w:pPr>
        <w:numPr>
          <w:ilvl w:val="0"/>
          <w:numId w:val="23"/>
        </w:numPr>
        <w:spacing w:after="40" w:line="240" w:lineRule="auto"/>
        <w:rPr>
          <w:rFonts w:eastAsiaTheme="minorEastAsia"/>
        </w:rPr>
      </w:pPr>
      <w:r w:rsidRPr="00F65D9F">
        <w:rPr>
          <w:rFonts w:eastAsiaTheme="minorEastAsia"/>
        </w:rPr>
        <w:t>After signing in to the Data Bank, verify the date and time when last accessed. If incorrect, change your password immediately, call the Customer Service Centre (800-767-6732), and notify your organization’s Data Bank Administrator.</w:t>
      </w:r>
    </w:p>
    <w:p w:rsidR="00D26122" w:rsidRPr="00F65D9F" w:rsidRDefault="00D26122" w:rsidP="00D26122">
      <w:pPr>
        <w:numPr>
          <w:ilvl w:val="0"/>
          <w:numId w:val="23"/>
        </w:numPr>
        <w:spacing w:after="40" w:line="240" w:lineRule="auto"/>
        <w:rPr>
          <w:rFonts w:eastAsiaTheme="minorEastAsia"/>
        </w:rPr>
      </w:pPr>
      <w:r w:rsidRPr="00F65D9F">
        <w:rPr>
          <w:rFonts w:eastAsiaTheme="minorEastAsia"/>
        </w:rPr>
        <w:t>Do not share confidential Data Bank documents with anyone not authorized to see them. Also, handle the reports properly – do not leave them in plain sight at the office. Securely store and file the documents.</w:t>
      </w:r>
    </w:p>
    <w:p w:rsidR="00D26122" w:rsidRPr="00F65D9F" w:rsidRDefault="00D26122" w:rsidP="00D26122">
      <w:pPr>
        <w:numPr>
          <w:ilvl w:val="0"/>
          <w:numId w:val="23"/>
        </w:numPr>
        <w:spacing w:after="40" w:line="240" w:lineRule="auto"/>
        <w:rPr>
          <w:rFonts w:eastAsiaTheme="minorEastAsia"/>
        </w:rPr>
      </w:pPr>
      <w:r w:rsidRPr="00F65D9F">
        <w:rPr>
          <w:rFonts w:eastAsiaTheme="minorEastAsia"/>
        </w:rPr>
        <w:t>Refer to </w:t>
      </w:r>
      <w:hyperlink r:id="rId22" w:history="1">
        <w:r w:rsidRPr="00F65D9F">
          <w:rPr>
            <w:rFonts w:eastAsiaTheme="minorEastAsia"/>
          </w:rPr>
          <w:t>About Management Tools</w:t>
        </w:r>
      </w:hyperlink>
      <w:r w:rsidRPr="00F65D9F">
        <w:rPr>
          <w:rFonts w:eastAsiaTheme="minorEastAsia"/>
        </w:rPr>
        <w:t> for more details on Data Bank Administrator and user accounts.</w:t>
      </w:r>
    </w:p>
    <w:tbl>
      <w:tblPr>
        <w:tblW w:w="0" w:type="auto"/>
        <w:tblCellSpacing w:w="15" w:type="dxa"/>
        <w:shd w:val="clear" w:color="auto" w:fill="FFFFFF"/>
        <w:tblCellMar>
          <w:left w:w="0" w:type="dxa"/>
          <w:right w:w="0" w:type="dxa"/>
        </w:tblCellMar>
        <w:tblLook w:val="04A0" w:firstRow="1" w:lastRow="0" w:firstColumn="1" w:lastColumn="0" w:noHBand="0" w:noVBand="1"/>
        <w:tblDescription w:val="Table 1. The Data Bank at a Glance"/>
      </w:tblPr>
      <w:tblGrid>
        <w:gridCol w:w="8975"/>
        <w:gridCol w:w="51"/>
      </w:tblGrid>
      <w:tr w:rsidR="00D26122" w:rsidRPr="00F65D9F" w:rsidTr="002B17C6">
        <w:trPr>
          <w:tblCellSpacing w:w="15" w:type="dxa"/>
        </w:trPr>
        <w:tc>
          <w:tcPr>
            <w:tcW w:w="0" w:type="auto"/>
            <w:gridSpan w:val="2"/>
            <w:shd w:val="clear" w:color="auto" w:fill="FFFFFF"/>
            <w:vAlign w:val="center"/>
            <w:hideMark/>
          </w:tcPr>
          <w:p w:rsidR="00D26122" w:rsidRPr="00D26122" w:rsidRDefault="00D26122" w:rsidP="00A53D36">
            <w:pPr>
              <w:pStyle w:val="Heading2"/>
              <w:rPr>
                <w:rFonts w:ascii="Arial" w:eastAsia="Times New Roman" w:hAnsi="Arial" w:cs="Arial"/>
                <w:color w:val="000000"/>
                <w:lang w:val="en-US"/>
              </w:rPr>
            </w:pPr>
            <w:r w:rsidRPr="00D26122">
              <w:rPr>
                <w:rFonts w:eastAsiaTheme="minorEastAsia"/>
              </w:rPr>
              <w:t>NPDB Data Source: -</w:t>
            </w:r>
          </w:p>
        </w:tc>
      </w:tr>
      <w:tr w:rsidR="00D26122" w:rsidRPr="00F65D9F" w:rsidTr="002B17C6">
        <w:trPr>
          <w:tblCellSpacing w:w="15" w:type="dxa"/>
        </w:trPr>
        <w:tc>
          <w:tcPr>
            <w:tcW w:w="0" w:type="auto"/>
            <w:shd w:val="clear" w:color="auto" w:fill="FFFFFF"/>
            <w:vAlign w:val="center"/>
            <w:hideMark/>
          </w:tcPr>
          <w:p w:rsidR="00D26122" w:rsidRPr="00F65D9F" w:rsidRDefault="00D26122" w:rsidP="00D26122">
            <w:pPr>
              <w:numPr>
                <w:ilvl w:val="0"/>
                <w:numId w:val="23"/>
              </w:numPr>
              <w:spacing w:after="40" w:line="240" w:lineRule="auto"/>
              <w:rPr>
                <w:rFonts w:eastAsiaTheme="minorEastAsia"/>
              </w:rPr>
            </w:pPr>
            <w:r w:rsidRPr="00F65D9F">
              <w:rPr>
                <w:rFonts w:eastAsiaTheme="minorEastAsia"/>
              </w:rPr>
              <w:t>Medical malpractice payers</w:t>
            </w:r>
          </w:p>
          <w:p w:rsidR="00D26122" w:rsidRPr="00F65D9F" w:rsidRDefault="00D26122" w:rsidP="00D26122">
            <w:pPr>
              <w:numPr>
                <w:ilvl w:val="0"/>
                <w:numId w:val="23"/>
              </w:numPr>
              <w:spacing w:after="40" w:line="240" w:lineRule="auto"/>
              <w:rPr>
                <w:rFonts w:eastAsiaTheme="minorEastAsia"/>
              </w:rPr>
            </w:pPr>
            <w:r w:rsidRPr="00F65D9F">
              <w:rPr>
                <w:rFonts w:eastAsiaTheme="minorEastAsia"/>
              </w:rPr>
              <w:t>State health care practitioner licensing and certification authorities (including medical and dental boards)</w:t>
            </w:r>
          </w:p>
          <w:p w:rsidR="00D26122" w:rsidRPr="00F65D9F" w:rsidRDefault="00D26122" w:rsidP="00D26122">
            <w:pPr>
              <w:numPr>
                <w:ilvl w:val="0"/>
                <w:numId w:val="23"/>
              </w:numPr>
              <w:spacing w:after="40" w:line="240" w:lineRule="auto"/>
              <w:rPr>
                <w:rFonts w:eastAsiaTheme="minorEastAsia"/>
              </w:rPr>
            </w:pPr>
            <w:r w:rsidRPr="00F65D9F">
              <w:rPr>
                <w:rFonts w:eastAsiaTheme="minorEastAsia"/>
              </w:rPr>
              <w:t>Hospitals</w:t>
            </w:r>
          </w:p>
          <w:p w:rsidR="00D26122" w:rsidRPr="00F65D9F" w:rsidRDefault="00D26122" w:rsidP="00D26122">
            <w:pPr>
              <w:numPr>
                <w:ilvl w:val="0"/>
                <w:numId w:val="23"/>
              </w:numPr>
              <w:spacing w:after="40" w:line="240" w:lineRule="auto"/>
              <w:rPr>
                <w:rFonts w:eastAsiaTheme="minorEastAsia"/>
              </w:rPr>
            </w:pPr>
            <w:r w:rsidRPr="00F65D9F">
              <w:rPr>
                <w:rFonts w:eastAsiaTheme="minorEastAsia"/>
              </w:rPr>
              <w:t>Other health care entities with formal peer review (HMOs, group practices, managed care organizations)</w:t>
            </w:r>
          </w:p>
          <w:p w:rsidR="00D26122" w:rsidRPr="00F65D9F" w:rsidRDefault="00D26122" w:rsidP="00D26122">
            <w:pPr>
              <w:numPr>
                <w:ilvl w:val="0"/>
                <w:numId w:val="23"/>
              </w:numPr>
              <w:spacing w:after="40" w:line="240" w:lineRule="auto"/>
              <w:rPr>
                <w:rFonts w:eastAsiaTheme="minorEastAsia"/>
              </w:rPr>
            </w:pPr>
            <w:r w:rsidRPr="00F65D9F">
              <w:rPr>
                <w:rFonts w:eastAsiaTheme="minorEastAsia"/>
              </w:rPr>
              <w:t>Professional societies with formal peer review</w:t>
            </w:r>
          </w:p>
          <w:p w:rsidR="00D26122" w:rsidRPr="00F65D9F" w:rsidRDefault="00D26122" w:rsidP="00D26122">
            <w:pPr>
              <w:numPr>
                <w:ilvl w:val="0"/>
                <w:numId w:val="23"/>
              </w:numPr>
              <w:spacing w:after="40" w:line="240" w:lineRule="auto"/>
              <w:rPr>
                <w:rFonts w:eastAsiaTheme="minorEastAsia"/>
              </w:rPr>
            </w:pPr>
            <w:r w:rsidRPr="00F65D9F">
              <w:rPr>
                <w:rFonts w:eastAsiaTheme="minorEastAsia"/>
              </w:rPr>
              <w:t>State entity licensing and certification authorities</w:t>
            </w:r>
          </w:p>
          <w:p w:rsidR="00D26122" w:rsidRPr="00F65D9F" w:rsidRDefault="00D26122" w:rsidP="00D26122">
            <w:pPr>
              <w:numPr>
                <w:ilvl w:val="0"/>
                <w:numId w:val="23"/>
              </w:numPr>
              <w:spacing w:after="40" w:line="240" w:lineRule="auto"/>
              <w:rPr>
                <w:rFonts w:eastAsiaTheme="minorEastAsia"/>
              </w:rPr>
            </w:pPr>
            <w:r w:rsidRPr="00F65D9F">
              <w:rPr>
                <w:rFonts w:eastAsiaTheme="minorEastAsia"/>
              </w:rPr>
              <w:t>Peer review organizations</w:t>
            </w:r>
          </w:p>
          <w:p w:rsidR="00D26122" w:rsidRPr="00F65D9F" w:rsidRDefault="00D26122" w:rsidP="00D26122">
            <w:pPr>
              <w:numPr>
                <w:ilvl w:val="0"/>
                <w:numId w:val="23"/>
              </w:numPr>
              <w:spacing w:after="40" w:line="240" w:lineRule="auto"/>
              <w:rPr>
                <w:rFonts w:eastAsiaTheme="minorEastAsia"/>
              </w:rPr>
            </w:pPr>
            <w:r w:rsidRPr="00F65D9F">
              <w:rPr>
                <w:rFonts w:eastAsiaTheme="minorEastAsia"/>
              </w:rPr>
              <w:t>Private accreditation organizations</w:t>
            </w:r>
          </w:p>
          <w:p w:rsidR="00D26122" w:rsidRPr="00F65D9F" w:rsidRDefault="00D26122" w:rsidP="00D26122">
            <w:pPr>
              <w:numPr>
                <w:ilvl w:val="0"/>
                <w:numId w:val="23"/>
              </w:numPr>
              <w:spacing w:after="40" w:line="240" w:lineRule="auto"/>
              <w:rPr>
                <w:rFonts w:eastAsiaTheme="minorEastAsia"/>
              </w:rPr>
            </w:pPr>
            <w:r w:rsidRPr="00F65D9F">
              <w:rPr>
                <w:rFonts w:eastAsiaTheme="minorEastAsia"/>
              </w:rPr>
              <w:t>Federal and State Government agencies</w:t>
            </w:r>
          </w:p>
          <w:p w:rsidR="00D26122" w:rsidRPr="00F65D9F" w:rsidRDefault="00D26122" w:rsidP="00D26122">
            <w:pPr>
              <w:numPr>
                <w:ilvl w:val="0"/>
                <w:numId w:val="23"/>
              </w:numPr>
              <w:spacing w:after="40" w:line="240" w:lineRule="auto"/>
              <w:rPr>
                <w:rFonts w:ascii="Arial" w:eastAsia="Times New Roman" w:hAnsi="Arial" w:cs="Arial"/>
                <w:i/>
                <w:iCs/>
                <w:color w:val="000000"/>
                <w:sz w:val="20"/>
                <w:szCs w:val="20"/>
                <w:lang w:val="en-US"/>
              </w:rPr>
            </w:pPr>
            <w:r w:rsidRPr="00F65D9F">
              <w:rPr>
                <w:rFonts w:eastAsiaTheme="minorEastAsia"/>
              </w:rPr>
              <w:t>Health plans</w:t>
            </w:r>
          </w:p>
        </w:tc>
        <w:tc>
          <w:tcPr>
            <w:tcW w:w="0" w:type="auto"/>
            <w:shd w:val="clear" w:color="auto" w:fill="FFFFFF"/>
            <w:vAlign w:val="center"/>
            <w:hideMark/>
          </w:tcPr>
          <w:p w:rsidR="00D26122" w:rsidRPr="00F65D9F" w:rsidRDefault="00D26122" w:rsidP="00D26122">
            <w:pPr>
              <w:numPr>
                <w:ilvl w:val="0"/>
                <w:numId w:val="24"/>
              </w:numPr>
              <w:spacing w:after="40" w:line="240" w:lineRule="auto"/>
              <w:ind w:left="0"/>
              <w:rPr>
                <w:rFonts w:ascii="Arial" w:eastAsia="Times New Roman" w:hAnsi="Arial" w:cs="Arial"/>
                <w:i/>
                <w:iCs/>
                <w:color w:val="000000"/>
                <w:sz w:val="20"/>
                <w:szCs w:val="20"/>
                <w:lang w:val="en-US"/>
              </w:rPr>
            </w:pPr>
          </w:p>
        </w:tc>
      </w:tr>
    </w:tbl>
    <w:p w:rsidR="00D26122" w:rsidRPr="00D26122" w:rsidRDefault="00D26122" w:rsidP="00A53D36">
      <w:pPr>
        <w:pStyle w:val="Heading2"/>
        <w:rPr>
          <w:rFonts w:eastAsiaTheme="minorEastAsia"/>
        </w:rPr>
      </w:pPr>
      <w:r w:rsidRPr="00D26122">
        <w:rPr>
          <w:rFonts w:eastAsiaTheme="minorEastAsia"/>
        </w:rPr>
        <w:t>NPDB and HIPDB Data Bank Merger Highlights: -</w:t>
      </w:r>
    </w:p>
    <w:p w:rsidR="00D26122" w:rsidRPr="00230D9C" w:rsidRDefault="00D26122" w:rsidP="00D26122">
      <w:pPr>
        <w:numPr>
          <w:ilvl w:val="0"/>
          <w:numId w:val="23"/>
        </w:numPr>
        <w:spacing w:after="40" w:line="240" w:lineRule="auto"/>
        <w:rPr>
          <w:rFonts w:eastAsiaTheme="minorEastAsia"/>
        </w:rPr>
      </w:pPr>
      <w:r w:rsidRPr="00230D9C">
        <w:rPr>
          <w:rFonts w:eastAsiaTheme="minorEastAsia"/>
        </w:rPr>
        <w:t>Reports that are currently stored in both the NPDB and HIPDB will remain, but will reside in the NPDB only</w:t>
      </w:r>
    </w:p>
    <w:p w:rsidR="00D26122" w:rsidRPr="00230D9C" w:rsidRDefault="00D26122" w:rsidP="00D26122">
      <w:pPr>
        <w:numPr>
          <w:ilvl w:val="0"/>
          <w:numId w:val="23"/>
        </w:numPr>
        <w:spacing w:after="40" w:line="240" w:lineRule="auto"/>
        <w:rPr>
          <w:rFonts w:eastAsiaTheme="minorEastAsia"/>
        </w:rPr>
      </w:pPr>
      <w:r w:rsidRPr="00230D9C">
        <w:rPr>
          <w:rFonts w:eastAsiaTheme="minorEastAsia"/>
        </w:rPr>
        <w:t>There will be no need to re-register with the Data Bank, registration flagging systems will be automatically re-aligned</w:t>
      </w:r>
    </w:p>
    <w:p w:rsidR="00D26122" w:rsidRPr="00230D9C" w:rsidRDefault="00D26122" w:rsidP="00D26122">
      <w:pPr>
        <w:numPr>
          <w:ilvl w:val="0"/>
          <w:numId w:val="23"/>
        </w:numPr>
        <w:spacing w:after="40" w:line="240" w:lineRule="auto"/>
        <w:rPr>
          <w:rFonts w:eastAsiaTheme="minorEastAsia"/>
        </w:rPr>
      </w:pPr>
      <w:r w:rsidRPr="00230D9C">
        <w:rPr>
          <w:rFonts w:eastAsiaTheme="minorEastAsia"/>
        </w:rPr>
        <w:t>The authority for certain reportable actions has changed, but no user action is required</w:t>
      </w:r>
    </w:p>
    <w:p w:rsidR="00D26122" w:rsidRPr="00D26122" w:rsidRDefault="00D26122" w:rsidP="000908D9">
      <w:pPr>
        <w:numPr>
          <w:ilvl w:val="0"/>
          <w:numId w:val="23"/>
        </w:numPr>
        <w:spacing w:after="40" w:line="240" w:lineRule="auto"/>
        <w:rPr>
          <w:rFonts w:eastAsiaTheme="minorEastAsia"/>
          <w:lang w:val="en-US"/>
        </w:rPr>
      </w:pPr>
      <w:r w:rsidRPr="00D26122">
        <w:rPr>
          <w:rFonts w:eastAsiaTheme="minorEastAsia"/>
        </w:rPr>
        <w:t>If you query both the NPDB and the HIPDB, after the merger you will only need to query the NPDB</w:t>
      </w:r>
    </w:p>
    <w:p w:rsidR="00D26122" w:rsidRPr="00D26122" w:rsidRDefault="00D26122" w:rsidP="00A53D36">
      <w:pPr>
        <w:pStyle w:val="Heading2"/>
        <w:rPr>
          <w:rFonts w:eastAsiaTheme="minorEastAsia"/>
        </w:rPr>
      </w:pPr>
      <w:r w:rsidRPr="00D26122">
        <w:rPr>
          <w:rFonts w:eastAsiaTheme="minorEastAsia"/>
        </w:rPr>
        <w:t>Applicable federal law for the NPDB includes: -</w:t>
      </w:r>
    </w:p>
    <w:p w:rsidR="00D26122" w:rsidRPr="00E47761" w:rsidRDefault="00D26122" w:rsidP="00D26122">
      <w:pPr>
        <w:numPr>
          <w:ilvl w:val="0"/>
          <w:numId w:val="23"/>
        </w:numPr>
        <w:spacing w:after="40" w:line="240" w:lineRule="auto"/>
        <w:rPr>
          <w:rFonts w:eastAsiaTheme="minorEastAsia"/>
        </w:rPr>
      </w:pPr>
      <w:r w:rsidRPr="00E47761">
        <w:rPr>
          <w:rFonts w:eastAsiaTheme="minorEastAsia"/>
        </w:rPr>
        <w:t>Title IV of Public Law 99-660 </w:t>
      </w:r>
    </w:p>
    <w:p w:rsidR="00D26122" w:rsidRPr="00E47761" w:rsidRDefault="00D26122" w:rsidP="00D26122">
      <w:pPr>
        <w:numPr>
          <w:ilvl w:val="0"/>
          <w:numId w:val="23"/>
        </w:numPr>
        <w:spacing w:after="40" w:line="240" w:lineRule="auto"/>
        <w:rPr>
          <w:rFonts w:eastAsiaTheme="minorEastAsia"/>
        </w:rPr>
      </w:pPr>
      <w:r w:rsidRPr="00E47761">
        <w:rPr>
          <w:rFonts w:eastAsiaTheme="minorEastAsia"/>
        </w:rPr>
        <w:t>Section 1921 of the Social Security Act </w:t>
      </w:r>
    </w:p>
    <w:p w:rsidR="00D26122" w:rsidRPr="00D26122" w:rsidRDefault="00D26122" w:rsidP="009E1D2F">
      <w:pPr>
        <w:numPr>
          <w:ilvl w:val="0"/>
          <w:numId w:val="23"/>
        </w:numPr>
        <w:spacing w:after="40" w:line="240" w:lineRule="auto"/>
        <w:rPr>
          <w:rFonts w:eastAsiaTheme="minorEastAsia"/>
          <w:b/>
          <w:bCs/>
        </w:rPr>
      </w:pPr>
      <w:r w:rsidRPr="00D26122">
        <w:rPr>
          <w:rFonts w:eastAsiaTheme="minorEastAsia"/>
        </w:rPr>
        <w:t>Section 1128E of the Social Security Act</w:t>
      </w:r>
    </w:p>
    <w:p w:rsidR="00D26122" w:rsidRDefault="00D26122" w:rsidP="00A53D36">
      <w:pPr>
        <w:pStyle w:val="Heading2"/>
      </w:pPr>
      <w:r w:rsidRPr="00D26122">
        <w:rPr>
          <w:rFonts w:eastAsiaTheme="minorEastAsia"/>
          <w:color w:val="5B9BD5" w:themeColor="accent1"/>
        </w:rPr>
        <w:t>FAQ</w:t>
      </w:r>
      <w:r w:rsidRPr="00D26122">
        <w:rPr>
          <w:rFonts w:eastAsiaTheme="minorEastAsia"/>
          <w:b/>
        </w:rPr>
        <w:t>: -</w:t>
      </w:r>
    </w:p>
    <w:p w:rsidR="00D26122" w:rsidRPr="00DF295F" w:rsidRDefault="00D26122" w:rsidP="00D26122">
      <w:pPr>
        <w:pStyle w:val="ListParagraph"/>
        <w:numPr>
          <w:ilvl w:val="0"/>
          <w:numId w:val="7"/>
        </w:numPr>
        <w:spacing w:after="40" w:line="240" w:lineRule="auto"/>
        <w:rPr>
          <w:rFonts w:eastAsiaTheme="minorEastAsia"/>
        </w:rPr>
      </w:pPr>
      <w:r w:rsidRPr="00E47761">
        <w:rPr>
          <w:rFonts w:eastAsiaTheme="minorEastAsia"/>
        </w:rPr>
        <w:t>https://www.npdb.hrsa.gov/</w:t>
      </w:r>
    </w:p>
    <w:p w:rsidR="00711876" w:rsidRDefault="00711876" w:rsidP="00D26122">
      <w:pPr>
        <w:spacing w:after="40" w:line="240" w:lineRule="auto"/>
      </w:pPr>
    </w:p>
    <w:p w:rsidR="00933EA7" w:rsidRPr="0099670C" w:rsidRDefault="00933EA7" w:rsidP="0099670C">
      <w:pPr>
        <w:spacing w:after="40" w:line="240" w:lineRule="auto"/>
        <w:jc w:val="both"/>
        <w:rPr>
          <w:rFonts w:asciiTheme="majorHAnsi" w:hAnsiTheme="majorHAnsi"/>
          <w:color w:val="5B9BD5" w:themeColor="accent1"/>
          <w:sz w:val="32"/>
          <w:szCs w:val="32"/>
        </w:rPr>
      </w:pPr>
      <w:r w:rsidRPr="0099670C">
        <w:rPr>
          <w:rFonts w:asciiTheme="majorHAnsi" w:hAnsiTheme="majorHAnsi"/>
          <w:color w:val="5B9BD5" w:themeColor="accent1"/>
          <w:sz w:val="32"/>
          <w:szCs w:val="32"/>
        </w:rPr>
        <w:lastRenderedPageBreak/>
        <w:t xml:space="preserve">Council for Affordable Quality </w:t>
      </w:r>
      <w:r w:rsidR="0099670C" w:rsidRPr="0099670C">
        <w:rPr>
          <w:rFonts w:asciiTheme="majorHAnsi" w:hAnsiTheme="majorHAnsi"/>
          <w:color w:val="5B9BD5" w:themeColor="accent1"/>
          <w:sz w:val="32"/>
          <w:szCs w:val="32"/>
        </w:rPr>
        <w:t>Healthcare (</w:t>
      </w:r>
      <w:r w:rsidR="0099670C">
        <w:rPr>
          <w:rFonts w:asciiTheme="majorHAnsi" w:hAnsiTheme="majorHAnsi"/>
          <w:color w:val="5B9BD5" w:themeColor="accent1"/>
          <w:sz w:val="32"/>
          <w:szCs w:val="32"/>
        </w:rPr>
        <w:t>CAQH</w:t>
      </w:r>
      <w:r w:rsidR="0099670C" w:rsidRPr="0099670C">
        <w:rPr>
          <w:rFonts w:asciiTheme="majorHAnsi" w:hAnsiTheme="majorHAnsi"/>
          <w:color w:val="5B9BD5" w:themeColor="accent1"/>
          <w:sz w:val="32"/>
          <w:szCs w:val="32"/>
        </w:rPr>
        <w:t>)</w:t>
      </w:r>
    </w:p>
    <w:p w:rsidR="0099670C" w:rsidRPr="0099670C" w:rsidRDefault="0099670C" w:rsidP="00A53D36">
      <w:pPr>
        <w:pStyle w:val="Heading2"/>
        <w:rPr>
          <w:sz w:val="32"/>
          <w:szCs w:val="32"/>
        </w:rPr>
      </w:pPr>
      <w:r w:rsidRPr="0099670C">
        <w:rPr>
          <w:rFonts w:eastAsiaTheme="minorEastAsia"/>
        </w:rPr>
        <w:t>Brief Description: -</w:t>
      </w:r>
    </w:p>
    <w:p w:rsidR="00933EA7" w:rsidRPr="00933EA7" w:rsidRDefault="00933EA7" w:rsidP="00933EA7">
      <w:pPr>
        <w:pStyle w:val="ListParagraph"/>
        <w:spacing w:after="40" w:line="240" w:lineRule="auto"/>
        <w:rPr>
          <w:rFonts w:asciiTheme="majorHAnsi" w:hAnsiTheme="majorHAnsi"/>
          <w:color w:val="5B9BD5" w:themeColor="accent1"/>
          <w:sz w:val="6"/>
          <w:szCs w:val="16"/>
        </w:rPr>
      </w:pPr>
    </w:p>
    <w:p w:rsidR="00933EA7" w:rsidRPr="0099670C" w:rsidRDefault="00933EA7" w:rsidP="0099670C">
      <w:pPr>
        <w:pStyle w:val="ListParagraph"/>
        <w:numPr>
          <w:ilvl w:val="0"/>
          <w:numId w:val="40"/>
        </w:numPr>
        <w:spacing w:after="40" w:line="240" w:lineRule="auto"/>
      </w:pPr>
      <w:r w:rsidRPr="0099670C">
        <w:t xml:space="preserve">It is a </w:t>
      </w:r>
      <w:r w:rsidRPr="0099670C">
        <w:rPr>
          <w:b/>
          <w:bCs/>
        </w:rPr>
        <w:t>Non-profitable</w:t>
      </w:r>
      <w:r w:rsidRPr="0099670C">
        <w:t xml:space="preserve"> organization. Who collects, verify and monitor information about providers for valid credentials</w:t>
      </w:r>
    </w:p>
    <w:p w:rsidR="00933EA7" w:rsidRPr="0099670C" w:rsidRDefault="00933EA7" w:rsidP="0099670C">
      <w:pPr>
        <w:pStyle w:val="ListParagraph"/>
        <w:numPr>
          <w:ilvl w:val="0"/>
          <w:numId w:val="40"/>
        </w:numPr>
        <w:spacing w:after="40" w:line="240" w:lineRule="auto"/>
      </w:pPr>
      <w:r w:rsidRPr="0099670C">
        <w:t>They collect the data and share the information with insurance companies</w:t>
      </w:r>
    </w:p>
    <w:p w:rsidR="00933EA7" w:rsidRPr="0099670C" w:rsidRDefault="00933EA7" w:rsidP="0099670C">
      <w:pPr>
        <w:numPr>
          <w:ilvl w:val="0"/>
          <w:numId w:val="40"/>
        </w:numPr>
        <w:spacing w:after="40" w:line="240" w:lineRule="auto"/>
      </w:pPr>
      <w:r w:rsidRPr="0099670C">
        <w:t>CAQH are used by government insurance and many private carriers Database is secured and confidential</w:t>
      </w:r>
    </w:p>
    <w:p w:rsidR="00933EA7" w:rsidRDefault="00933EA7" w:rsidP="00A53D36">
      <w:pPr>
        <w:pStyle w:val="Heading2"/>
      </w:pPr>
      <w:r w:rsidRPr="0099670C">
        <w:t>Services by CAQH:-</w:t>
      </w:r>
    </w:p>
    <w:p w:rsidR="004332B5" w:rsidRPr="004332B5" w:rsidRDefault="004332B5" w:rsidP="004332B5">
      <w:pPr>
        <w:numPr>
          <w:ilvl w:val="0"/>
          <w:numId w:val="42"/>
        </w:numPr>
      </w:pPr>
      <w:r w:rsidRPr="004332B5">
        <w:rPr>
          <w:b/>
          <w:bCs/>
        </w:rPr>
        <w:t>COB Smart</w:t>
      </w:r>
      <w:r w:rsidRPr="004332B5">
        <w:rPr>
          <w:b/>
          <w:bCs/>
          <w:vertAlign w:val="superscript"/>
        </w:rPr>
        <w:t>®</w:t>
      </w:r>
      <w:r w:rsidRPr="004332B5">
        <w:t> quickly and accurately directs coordination of benefits processes.</w:t>
      </w:r>
    </w:p>
    <w:p w:rsidR="004332B5" w:rsidRPr="004332B5" w:rsidRDefault="004332B5" w:rsidP="004332B5">
      <w:pPr>
        <w:numPr>
          <w:ilvl w:val="0"/>
          <w:numId w:val="42"/>
        </w:numPr>
      </w:pPr>
      <w:r w:rsidRPr="004332B5">
        <w:rPr>
          <w:b/>
          <w:bCs/>
        </w:rPr>
        <w:t>Enroll</w:t>
      </w:r>
      <w:r w:rsidR="004C3650">
        <w:rPr>
          <w:b/>
          <w:bCs/>
        </w:rPr>
        <w:t xml:space="preserve"> </w:t>
      </w:r>
      <w:r w:rsidRPr="004332B5">
        <w:rPr>
          <w:b/>
          <w:bCs/>
        </w:rPr>
        <w:t>Hub</w:t>
      </w:r>
      <w:r w:rsidRPr="004332B5">
        <w:rPr>
          <w:b/>
          <w:bCs/>
          <w:vertAlign w:val="superscript"/>
        </w:rPr>
        <w:t>®</w:t>
      </w:r>
      <w:r w:rsidRPr="004332B5">
        <w:t xml:space="preserve"> reduces costly paper checks with </w:t>
      </w:r>
      <w:r w:rsidR="004C3650" w:rsidRPr="004332B5">
        <w:t>enrolment</w:t>
      </w:r>
      <w:r w:rsidRPr="004332B5">
        <w:t xml:space="preserve"> for electronic payments and electronic remittance advice.</w:t>
      </w:r>
    </w:p>
    <w:p w:rsidR="004332B5" w:rsidRPr="004332B5" w:rsidRDefault="004332B5" w:rsidP="004332B5">
      <w:pPr>
        <w:numPr>
          <w:ilvl w:val="0"/>
          <w:numId w:val="42"/>
        </w:numPr>
      </w:pPr>
      <w:r w:rsidRPr="004332B5">
        <w:rPr>
          <w:b/>
          <w:bCs/>
        </w:rPr>
        <w:t>CAQH ProView</w:t>
      </w:r>
      <w:r w:rsidRPr="004332B5">
        <w:rPr>
          <w:b/>
          <w:bCs/>
          <w:vertAlign w:val="superscript"/>
        </w:rPr>
        <w:t>®</w:t>
      </w:r>
      <w:r w:rsidRPr="004332B5">
        <w:t> eases the burden of provider data collection, maintenance and distribution.</w:t>
      </w:r>
    </w:p>
    <w:p w:rsidR="004332B5" w:rsidRPr="004332B5" w:rsidRDefault="004C3650" w:rsidP="004332B5">
      <w:pPr>
        <w:numPr>
          <w:ilvl w:val="0"/>
          <w:numId w:val="42"/>
        </w:numPr>
      </w:pPr>
      <w:r w:rsidRPr="004332B5">
        <w:rPr>
          <w:b/>
          <w:bCs/>
        </w:rPr>
        <w:t>Sanctions Track</w:t>
      </w:r>
      <w:r w:rsidR="004332B5" w:rsidRPr="004332B5">
        <w:rPr>
          <w:b/>
          <w:bCs/>
          <w:vertAlign w:val="superscript"/>
        </w:rPr>
        <w:t>®</w:t>
      </w:r>
      <w:r w:rsidR="004332B5" w:rsidRPr="004332B5">
        <w:t> delivers comprehensive, multi-state information on healthcare provider licensure disciplinary actions.</w:t>
      </w:r>
    </w:p>
    <w:p w:rsidR="004332B5" w:rsidRPr="004332B5" w:rsidRDefault="004332B5" w:rsidP="004332B5">
      <w:pPr>
        <w:numPr>
          <w:ilvl w:val="0"/>
          <w:numId w:val="42"/>
        </w:numPr>
      </w:pPr>
      <w:r w:rsidRPr="004332B5">
        <w:rPr>
          <w:b/>
          <w:bCs/>
        </w:rPr>
        <w:t>CAQH CORE</w:t>
      </w:r>
      <w:r w:rsidRPr="004332B5">
        <w:rPr>
          <w:b/>
          <w:bCs/>
          <w:vertAlign w:val="superscript"/>
        </w:rPr>
        <w:t>®</w:t>
      </w:r>
      <w:r w:rsidRPr="004332B5">
        <w:t> maximizes business efficiency and savings by developing and implementing national operating rules.</w:t>
      </w:r>
    </w:p>
    <w:p w:rsidR="004332B5" w:rsidRPr="004332B5" w:rsidRDefault="004332B5" w:rsidP="00250ED0">
      <w:pPr>
        <w:numPr>
          <w:ilvl w:val="0"/>
          <w:numId w:val="42"/>
        </w:numPr>
      </w:pPr>
      <w:r w:rsidRPr="004332B5">
        <w:rPr>
          <w:b/>
          <w:bCs/>
        </w:rPr>
        <w:t>CAQH Index</w:t>
      </w:r>
      <w:r w:rsidRPr="004332B5">
        <w:rPr>
          <w:b/>
          <w:bCs/>
          <w:vertAlign w:val="superscript"/>
        </w:rPr>
        <w:t>®</w:t>
      </w:r>
      <w:r w:rsidRPr="004332B5">
        <w:t> benchmarks progress and helps optimize operations by tracking industry adoption of electronic administrative transactions.</w:t>
      </w:r>
    </w:p>
    <w:p w:rsidR="00933EA7" w:rsidRPr="0099670C" w:rsidRDefault="00933EA7" w:rsidP="00A53D36">
      <w:pPr>
        <w:pStyle w:val="Heading2"/>
      </w:pPr>
      <w:r w:rsidRPr="0099670C">
        <w:t>Data Provided By CAQH:-</w:t>
      </w:r>
    </w:p>
    <w:p w:rsidR="00933EA7" w:rsidRPr="007C3DC7" w:rsidRDefault="00933EA7" w:rsidP="00933EA7">
      <w:pPr>
        <w:pStyle w:val="ListParagraph"/>
        <w:numPr>
          <w:ilvl w:val="0"/>
          <w:numId w:val="37"/>
        </w:numPr>
        <w:spacing w:after="40" w:line="240" w:lineRule="auto"/>
      </w:pPr>
      <w:r w:rsidRPr="007C3DC7">
        <w:t>Personal</w:t>
      </w:r>
    </w:p>
    <w:p w:rsidR="00933EA7" w:rsidRPr="007C3DC7" w:rsidRDefault="00933EA7" w:rsidP="00933EA7">
      <w:pPr>
        <w:pStyle w:val="ListParagraph"/>
        <w:numPr>
          <w:ilvl w:val="0"/>
          <w:numId w:val="37"/>
        </w:numPr>
        <w:spacing w:after="40" w:line="240" w:lineRule="auto"/>
      </w:pPr>
      <w:r w:rsidRPr="007C3DC7">
        <w:t>Education</w:t>
      </w:r>
    </w:p>
    <w:p w:rsidR="00933EA7" w:rsidRPr="007C3DC7" w:rsidRDefault="00933EA7" w:rsidP="00933EA7">
      <w:pPr>
        <w:pStyle w:val="ListParagraph"/>
        <w:numPr>
          <w:ilvl w:val="0"/>
          <w:numId w:val="37"/>
        </w:numPr>
        <w:spacing w:after="40" w:line="240" w:lineRule="auto"/>
      </w:pPr>
      <w:r w:rsidRPr="007C3DC7">
        <w:t>Speciality / Certifications</w:t>
      </w:r>
    </w:p>
    <w:p w:rsidR="00933EA7" w:rsidRPr="007C3DC7" w:rsidRDefault="00933EA7" w:rsidP="00933EA7">
      <w:pPr>
        <w:pStyle w:val="ListParagraph"/>
        <w:numPr>
          <w:ilvl w:val="0"/>
          <w:numId w:val="37"/>
        </w:numPr>
        <w:spacing w:after="40" w:line="240" w:lineRule="auto"/>
      </w:pPr>
      <w:r w:rsidRPr="007C3DC7">
        <w:t>Work history</w:t>
      </w:r>
    </w:p>
    <w:p w:rsidR="00933EA7" w:rsidRPr="007C3DC7" w:rsidRDefault="00933EA7" w:rsidP="00933EA7">
      <w:pPr>
        <w:pStyle w:val="ListParagraph"/>
        <w:numPr>
          <w:ilvl w:val="0"/>
          <w:numId w:val="37"/>
        </w:numPr>
        <w:spacing w:after="40" w:line="240" w:lineRule="auto"/>
      </w:pPr>
      <w:r w:rsidRPr="007C3DC7">
        <w:t>Disclosures</w:t>
      </w:r>
    </w:p>
    <w:p w:rsidR="00933EA7" w:rsidRPr="007C3DC7" w:rsidRDefault="00933EA7" w:rsidP="00933EA7">
      <w:pPr>
        <w:pStyle w:val="ListParagraph"/>
        <w:numPr>
          <w:ilvl w:val="0"/>
          <w:numId w:val="37"/>
        </w:numPr>
        <w:spacing w:after="40" w:line="240" w:lineRule="auto"/>
      </w:pPr>
      <w:r w:rsidRPr="007C3DC7">
        <w:t>Practice location</w:t>
      </w:r>
    </w:p>
    <w:p w:rsidR="00933EA7" w:rsidRDefault="00933EA7" w:rsidP="00933EA7">
      <w:pPr>
        <w:pStyle w:val="ListParagraph"/>
        <w:numPr>
          <w:ilvl w:val="0"/>
          <w:numId w:val="37"/>
        </w:numPr>
        <w:spacing w:after="40" w:line="240" w:lineRule="auto"/>
      </w:pPr>
      <w:r w:rsidRPr="007C3DC7">
        <w:t>Hospital affiliation</w:t>
      </w:r>
    </w:p>
    <w:p w:rsidR="00933EA7" w:rsidRPr="0099670C" w:rsidRDefault="00933EA7" w:rsidP="00A53D36">
      <w:pPr>
        <w:pStyle w:val="Heading2"/>
      </w:pPr>
      <w:r w:rsidRPr="0099670C">
        <w:t>Contact Info:-</w:t>
      </w:r>
    </w:p>
    <w:p w:rsidR="00933EA7" w:rsidRPr="00F91C6B" w:rsidRDefault="00933EA7" w:rsidP="00933EA7">
      <w:pPr>
        <w:spacing w:after="40" w:line="240" w:lineRule="auto"/>
        <w:rPr>
          <w:rFonts w:cs="Arial"/>
          <w:color w:val="222222"/>
          <w:shd w:val="clear" w:color="auto" w:fill="FFFFFF"/>
        </w:rPr>
      </w:pPr>
      <w:r w:rsidRPr="00F91C6B">
        <w:rPr>
          <w:rFonts w:cs="Arial"/>
          <w:color w:val="222222"/>
          <w:shd w:val="clear" w:color="auto" w:fill="FFFFFF"/>
        </w:rPr>
        <w:t>Contact the CAQH ProView Support Desk. CAQH ProView Support Desk:</w:t>
      </w:r>
      <w:r w:rsidRPr="00F91C6B">
        <w:rPr>
          <w:rFonts w:cs="Arial"/>
          <w:color w:val="222222"/>
        </w:rPr>
        <w:br/>
      </w:r>
      <w:r w:rsidRPr="00F91C6B">
        <w:rPr>
          <w:rFonts w:cs="Arial"/>
          <w:color w:val="222222"/>
          <w:shd w:val="clear" w:color="auto" w:fill="FFFFFF"/>
        </w:rPr>
        <w:t>E-mail: providerhelp@ProView.CAQH.org.</w:t>
      </w:r>
      <w:r w:rsidRPr="00F91C6B">
        <w:rPr>
          <w:rFonts w:cs="Arial"/>
          <w:color w:val="222222"/>
        </w:rPr>
        <w:br/>
      </w:r>
      <w:r w:rsidRPr="00F91C6B">
        <w:rPr>
          <w:rFonts w:cs="Arial"/>
          <w:color w:val="222222"/>
          <w:shd w:val="clear" w:color="auto" w:fill="FFFFFF"/>
        </w:rPr>
        <w:t>Phone:</w:t>
      </w:r>
      <w:r w:rsidRPr="00F91C6B">
        <w:rPr>
          <w:rStyle w:val="apple-converted-space"/>
          <w:rFonts w:cs="Arial"/>
          <w:color w:val="222222"/>
          <w:shd w:val="clear" w:color="auto" w:fill="FFFFFF"/>
        </w:rPr>
        <w:t> </w:t>
      </w:r>
      <w:r w:rsidRPr="00F91C6B">
        <w:rPr>
          <w:rFonts w:cs="Arial"/>
          <w:b/>
          <w:bCs/>
          <w:color w:val="222222"/>
          <w:shd w:val="clear" w:color="auto" w:fill="FFFFFF"/>
        </w:rPr>
        <w:t>(888) 599-1771</w:t>
      </w:r>
      <w:r w:rsidRPr="00F91C6B">
        <w:rPr>
          <w:rFonts w:cs="Arial"/>
          <w:color w:val="222222"/>
          <w:shd w:val="clear" w:color="auto" w:fill="FFFFFF"/>
        </w:rPr>
        <w:t>.</w:t>
      </w:r>
    </w:p>
    <w:p w:rsidR="00933EA7" w:rsidRPr="0099670C" w:rsidRDefault="00933EA7" w:rsidP="00A53D36">
      <w:pPr>
        <w:pStyle w:val="Heading2"/>
      </w:pPr>
      <w:r w:rsidRPr="0099670C">
        <w:t>FAQ’s:-</w:t>
      </w:r>
    </w:p>
    <w:p w:rsidR="00933EA7" w:rsidRPr="00892E56" w:rsidRDefault="00933EA7" w:rsidP="00933EA7">
      <w:pPr>
        <w:spacing w:after="40" w:line="240" w:lineRule="auto"/>
        <w:rPr>
          <w:color w:val="4472C4" w:themeColor="accent5"/>
        </w:rPr>
      </w:pPr>
      <w:r w:rsidRPr="00892E56">
        <w:rPr>
          <w:color w:val="4472C4" w:themeColor="accent5"/>
        </w:rPr>
        <w:t>https://www.bcbsga.com/provider/noapplication/plansbenefits/credentialing/notertiary/pw_a102052.pdf</w:t>
      </w:r>
    </w:p>
    <w:p w:rsidR="009351D9" w:rsidRDefault="009351D9" w:rsidP="00711876"/>
    <w:sectPr w:rsidR="009351D9" w:rsidSect="000E5A3F">
      <w:headerReference w:type="default" r:id="rId23"/>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BB5" w:rsidRDefault="00616BB5" w:rsidP="000908F9">
      <w:pPr>
        <w:spacing w:after="0" w:line="240" w:lineRule="auto"/>
      </w:pPr>
      <w:r>
        <w:separator/>
      </w:r>
    </w:p>
  </w:endnote>
  <w:endnote w:type="continuationSeparator" w:id="0">
    <w:p w:rsidR="00616BB5" w:rsidRDefault="00616BB5" w:rsidP="00090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859759"/>
      <w:docPartObj>
        <w:docPartGallery w:val="Page Numbers (Bottom of Page)"/>
        <w:docPartUnique/>
      </w:docPartObj>
    </w:sdtPr>
    <w:sdtEndPr>
      <w:rPr>
        <w:noProof/>
      </w:rPr>
    </w:sdtEndPr>
    <w:sdtContent>
      <w:p w:rsidR="000908F9" w:rsidRDefault="000908F9">
        <w:pPr>
          <w:pStyle w:val="Footer"/>
          <w:jc w:val="right"/>
        </w:pPr>
        <w:r>
          <w:fldChar w:fldCharType="begin"/>
        </w:r>
        <w:r>
          <w:instrText xml:space="preserve"> PAGE   \* MERGEFORMAT </w:instrText>
        </w:r>
        <w:r>
          <w:fldChar w:fldCharType="separate"/>
        </w:r>
        <w:r w:rsidR="00EF517A">
          <w:rPr>
            <w:noProof/>
          </w:rPr>
          <w:t>11</w:t>
        </w:r>
        <w:r>
          <w:rPr>
            <w:noProof/>
          </w:rPr>
          <w:fldChar w:fldCharType="end"/>
        </w:r>
      </w:p>
    </w:sdtContent>
  </w:sdt>
  <w:p w:rsidR="000908F9" w:rsidRDefault="000908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BB5" w:rsidRDefault="00616BB5" w:rsidP="000908F9">
      <w:pPr>
        <w:spacing w:after="0" w:line="240" w:lineRule="auto"/>
      </w:pPr>
      <w:r>
        <w:separator/>
      </w:r>
    </w:p>
  </w:footnote>
  <w:footnote w:type="continuationSeparator" w:id="0">
    <w:p w:rsidR="00616BB5" w:rsidRDefault="00616BB5" w:rsidP="000908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8F9" w:rsidRDefault="00EA1A90">
    <w:pPr>
      <w:pStyle w:val="Header"/>
    </w:pPr>
    <w:r>
      <w:t>CredAxis Product</w:t>
    </w:r>
  </w:p>
  <w:p w:rsidR="000908F9" w:rsidRDefault="000908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403C"/>
    <w:multiLevelType w:val="hybridMultilevel"/>
    <w:tmpl w:val="CDC467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7158FB"/>
    <w:multiLevelType w:val="hybridMultilevel"/>
    <w:tmpl w:val="99667DFC"/>
    <w:lvl w:ilvl="0" w:tplc="08E480A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867CEB"/>
    <w:multiLevelType w:val="hybridMultilevel"/>
    <w:tmpl w:val="B880A310"/>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 w15:restartNumberingAfterBreak="0">
    <w:nsid w:val="0DD14F64"/>
    <w:multiLevelType w:val="multilevel"/>
    <w:tmpl w:val="C978B872"/>
    <w:lvl w:ilvl="0">
      <w:start w:val="1"/>
      <w:numFmt w:val="bullet"/>
      <w:lvlText w:val=""/>
      <w:lvlJc w:val="left"/>
      <w:pPr>
        <w:tabs>
          <w:tab w:val="num" w:pos="720"/>
        </w:tabs>
        <w:ind w:left="720" w:hanging="360"/>
      </w:pPr>
      <w:rPr>
        <w:rFonts w:ascii="Wingdings" w:hAnsi="Wingdings" w:hint="default"/>
        <w:sz w:val="22"/>
        <w:szCs w:val="22"/>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A6FFA"/>
    <w:multiLevelType w:val="hybridMultilevel"/>
    <w:tmpl w:val="8D8CB3E4"/>
    <w:lvl w:ilvl="0" w:tplc="CCDA79DE">
      <w:start w:val="1"/>
      <w:numFmt w:val="lowerLetter"/>
      <w:lvlText w:val="%1)"/>
      <w:lvlJc w:val="left"/>
      <w:pPr>
        <w:ind w:left="785" w:hanging="360"/>
      </w:pPr>
      <w:rPr>
        <w:b w:val="0"/>
        <w:color w:val="000000" w:themeColor="text1"/>
        <w:sz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210287B"/>
    <w:multiLevelType w:val="hybridMultilevel"/>
    <w:tmpl w:val="8612C528"/>
    <w:lvl w:ilvl="0" w:tplc="1FEE671A">
      <w:start w:val="1"/>
      <w:numFmt w:val="bullet"/>
      <w:lvlText w:val=""/>
      <w:lvlJc w:val="left"/>
      <w:pPr>
        <w:ind w:left="502" w:hanging="360"/>
      </w:pPr>
      <w:rPr>
        <w:rFonts w:ascii="Symbol" w:hAnsi="Symbol" w:hint="default"/>
        <w:color w:val="5B9BD5" w:themeColor="accent1"/>
        <w:sz w:val="26"/>
        <w:szCs w:val="26"/>
      </w:rPr>
    </w:lvl>
    <w:lvl w:ilvl="1" w:tplc="4E50E34A">
      <w:start w:val="1"/>
      <w:numFmt w:val="bullet"/>
      <w:lvlText w:val="o"/>
      <w:lvlJc w:val="left"/>
      <w:pPr>
        <w:ind w:left="1222" w:hanging="360"/>
      </w:pPr>
      <w:rPr>
        <w:rFonts w:ascii="Courier New" w:hAnsi="Courier New" w:hint="default"/>
      </w:rPr>
    </w:lvl>
    <w:lvl w:ilvl="2" w:tplc="52783B08">
      <w:start w:val="1"/>
      <w:numFmt w:val="bullet"/>
      <w:lvlText w:val=""/>
      <w:lvlJc w:val="left"/>
      <w:pPr>
        <w:ind w:left="1942" w:hanging="360"/>
      </w:pPr>
      <w:rPr>
        <w:rFonts w:ascii="Wingdings" w:hAnsi="Wingdings" w:hint="default"/>
      </w:rPr>
    </w:lvl>
    <w:lvl w:ilvl="3" w:tplc="06E28858">
      <w:start w:val="1"/>
      <w:numFmt w:val="bullet"/>
      <w:lvlText w:val=""/>
      <w:lvlJc w:val="left"/>
      <w:pPr>
        <w:ind w:left="2662" w:hanging="360"/>
      </w:pPr>
      <w:rPr>
        <w:rFonts w:ascii="Symbol" w:hAnsi="Symbol" w:hint="default"/>
      </w:rPr>
    </w:lvl>
    <w:lvl w:ilvl="4" w:tplc="02DCF68C">
      <w:start w:val="1"/>
      <w:numFmt w:val="bullet"/>
      <w:lvlText w:val="o"/>
      <w:lvlJc w:val="left"/>
      <w:pPr>
        <w:ind w:left="3382" w:hanging="360"/>
      </w:pPr>
      <w:rPr>
        <w:rFonts w:ascii="Courier New" w:hAnsi="Courier New" w:hint="default"/>
      </w:rPr>
    </w:lvl>
    <w:lvl w:ilvl="5" w:tplc="E42ACDDC">
      <w:start w:val="1"/>
      <w:numFmt w:val="bullet"/>
      <w:lvlText w:val=""/>
      <w:lvlJc w:val="left"/>
      <w:pPr>
        <w:ind w:left="4102" w:hanging="360"/>
      </w:pPr>
      <w:rPr>
        <w:rFonts w:ascii="Wingdings" w:hAnsi="Wingdings" w:hint="default"/>
      </w:rPr>
    </w:lvl>
    <w:lvl w:ilvl="6" w:tplc="0FEAE09A">
      <w:start w:val="1"/>
      <w:numFmt w:val="bullet"/>
      <w:lvlText w:val=""/>
      <w:lvlJc w:val="left"/>
      <w:pPr>
        <w:ind w:left="4822" w:hanging="360"/>
      </w:pPr>
      <w:rPr>
        <w:rFonts w:ascii="Symbol" w:hAnsi="Symbol" w:hint="default"/>
      </w:rPr>
    </w:lvl>
    <w:lvl w:ilvl="7" w:tplc="F95A7296">
      <w:start w:val="1"/>
      <w:numFmt w:val="bullet"/>
      <w:lvlText w:val="o"/>
      <w:lvlJc w:val="left"/>
      <w:pPr>
        <w:ind w:left="5542" w:hanging="360"/>
      </w:pPr>
      <w:rPr>
        <w:rFonts w:ascii="Courier New" w:hAnsi="Courier New" w:hint="default"/>
      </w:rPr>
    </w:lvl>
    <w:lvl w:ilvl="8" w:tplc="48CC0CA4">
      <w:start w:val="1"/>
      <w:numFmt w:val="bullet"/>
      <w:lvlText w:val=""/>
      <w:lvlJc w:val="left"/>
      <w:pPr>
        <w:ind w:left="6262" w:hanging="360"/>
      </w:pPr>
      <w:rPr>
        <w:rFonts w:ascii="Wingdings" w:hAnsi="Wingdings" w:hint="default"/>
      </w:rPr>
    </w:lvl>
  </w:abstractNum>
  <w:abstractNum w:abstractNumId="6" w15:restartNumberingAfterBreak="0">
    <w:nsid w:val="12743061"/>
    <w:multiLevelType w:val="hybridMultilevel"/>
    <w:tmpl w:val="5A3C43F6"/>
    <w:lvl w:ilvl="0" w:tplc="08E480A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BF6385"/>
    <w:multiLevelType w:val="hybridMultilevel"/>
    <w:tmpl w:val="DC5C64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497D65"/>
    <w:multiLevelType w:val="hybridMultilevel"/>
    <w:tmpl w:val="22D0D71A"/>
    <w:lvl w:ilvl="0" w:tplc="908245E0">
      <w:start w:val="1"/>
      <w:numFmt w:val="bullet"/>
      <w:lvlText w:val=""/>
      <w:lvlJc w:val="left"/>
      <w:pPr>
        <w:ind w:left="720" w:hanging="360"/>
      </w:pPr>
      <w:rPr>
        <w:rFonts w:ascii="Wingdings" w:hAnsi="Wingding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30479B"/>
    <w:multiLevelType w:val="hybridMultilevel"/>
    <w:tmpl w:val="8C5ADAA2"/>
    <w:lvl w:ilvl="0" w:tplc="FB9294FA">
      <w:start w:val="1"/>
      <w:numFmt w:val="bullet"/>
      <w:lvlText w:val=""/>
      <w:lvlJc w:val="left"/>
      <w:pPr>
        <w:ind w:left="360" w:hanging="360"/>
      </w:pPr>
      <w:rPr>
        <w:rFonts w:ascii="Wingdings" w:hAnsi="Wingdings" w:hint="default"/>
        <w:color w:val="5B9BD5" w:themeColor="accent1"/>
        <w:sz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AEB51F7"/>
    <w:multiLevelType w:val="hybridMultilevel"/>
    <w:tmpl w:val="5C606146"/>
    <w:lvl w:ilvl="0" w:tplc="0F7A1866">
      <w:start w:val="1"/>
      <w:numFmt w:val="bullet"/>
      <w:lvlText w:val=""/>
      <w:lvlJc w:val="left"/>
      <w:pPr>
        <w:ind w:left="360" w:hanging="360"/>
      </w:pPr>
      <w:rPr>
        <w:rFonts w:ascii="Symbol" w:hAnsi="Symbol" w:hint="default"/>
        <w:color w:val="5B9BD5" w:themeColor="accent1"/>
        <w:sz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BD03BB5"/>
    <w:multiLevelType w:val="hybridMultilevel"/>
    <w:tmpl w:val="1E0C3650"/>
    <w:lvl w:ilvl="0" w:tplc="3FECC8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0D0DA4"/>
    <w:multiLevelType w:val="hybridMultilevel"/>
    <w:tmpl w:val="F4F8916A"/>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3" w15:restartNumberingAfterBreak="0">
    <w:nsid w:val="22141419"/>
    <w:multiLevelType w:val="hybridMultilevel"/>
    <w:tmpl w:val="93DA773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2747DFD"/>
    <w:multiLevelType w:val="hybridMultilevel"/>
    <w:tmpl w:val="B2F29788"/>
    <w:lvl w:ilvl="0" w:tplc="4009000B">
      <w:start w:val="1"/>
      <w:numFmt w:val="bullet"/>
      <w:lvlText w:val=""/>
      <w:lvlJc w:val="left"/>
      <w:pPr>
        <w:tabs>
          <w:tab w:val="num" w:pos="720"/>
        </w:tabs>
        <w:ind w:left="720" w:hanging="360"/>
      </w:pPr>
      <w:rPr>
        <w:rFonts w:ascii="Wingdings" w:hAnsi="Wingdings" w:hint="default"/>
        <w:color w:val="auto"/>
      </w:rPr>
    </w:lvl>
    <w:lvl w:ilvl="1" w:tplc="EEFE447C" w:tentative="1">
      <w:start w:val="1"/>
      <w:numFmt w:val="bullet"/>
      <w:lvlText w:val="•"/>
      <w:lvlJc w:val="left"/>
      <w:pPr>
        <w:tabs>
          <w:tab w:val="num" w:pos="1440"/>
        </w:tabs>
        <w:ind w:left="1440" w:hanging="360"/>
      </w:pPr>
      <w:rPr>
        <w:rFonts w:ascii="Arial" w:hAnsi="Arial" w:hint="default"/>
      </w:rPr>
    </w:lvl>
    <w:lvl w:ilvl="2" w:tplc="CCB23E4E" w:tentative="1">
      <w:start w:val="1"/>
      <w:numFmt w:val="bullet"/>
      <w:lvlText w:val="•"/>
      <w:lvlJc w:val="left"/>
      <w:pPr>
        <w:tabs>
          <w:tab w:val="num" w:pos="2160"/>
        </w:tabs>
        <w:ind w:left="2160" w:hanging="360"/>
      </w:pPr>
      <w:rPr>
        <w:rFonts w:ascii="Arial" w:hAnsi="Arial" w:hint="default"/>
      </w:rPr>
    </w:lvl>
    <w:lvl w:ilvl="3" w:tplc="A27038EC" w:tentative="1">
      <w:start w:val="1"/>
      <w:numFmt w:val="bullet"/>
      <w:lvlText w:val="•"/>
      <w:lvlJc w:val="left"/>
      <w:pPr>
        <w:tabs>
          <w:tab w:val="num" w:pos="2880"/>
        </w:tabs>
        <w:ind w:left="2880" w:hanging="360"/>
      </w:pPr>
      <w:rPr>
        <w:rFonts w:ascii="Arial" w:hAnsi="Arial" w:hint="default"/>
      </w:rPr>
    </w:lvl>
    <w:lvl w:ilvl="4" w:tplc="2EA0286E" w:tentative="1">
      <w:start w:val="1"/>
      <w:numFmt w:val="bullet"/>
      <w:lvlText w:val="•"/>
      <w:lvlJc w:val="left"/>
      <w:pPr>
        <w:tabs>
          <w:tab w:val="num" w:pos="3600"/>
        </w:tabs>
        <w:ind w:left="3600" w:hanging="360"/>
      </w:pPr>
      <w:rPr>
        <w:rFonts w:ascii="Arial" w:hAnsi="Arial" w:hint="default"/>
      </w:rPr>
    </w:lvl>
    <w:lvl w:ilvl="5" w:tplc="7A78CCEE" w:tentative="1">
      <w:start w:val="1"/>
      <w:numFmt w:val="bullet"/>
      <w:lvlText w:val="•"/>
      <w:lvlJc w:val="left"/>
      <w:pPr>
        <w:tabs>
          <w:tab w:val="num" w:pos="4320"/>
        </w:tabs>
        <w:ind w:left="4320" w:hanging="360"/>
      </w:pPr>
      <w:rPr>
        <w:rFonts w:ascii="Arial" w:hAnsi="Arial" w:hint="default"/>
      </w:rPr>
    </w:lvl>
    <w:lvl w:ilvl="6" w:tplc="3E8A7F38" w:tentative="1">
      <w:start w:val="1"/>
      <w:numFmt w:val="bullet"/>
      <w:lvlText w:val="•"/>
      <w:lvlJc w:val="left"/>
      <w:pPr>
        <w:tabs>
          <w:tab w:val="num" w:pos="5040"/>
        </w:tabs>
        <w:ind w:left="5040" w:hanging="360"/>
      </w:pPr>
      <w:rPr>
        <w:rFonts w:ascii="Arial" w:hAnsi="Arial" w:hint="default"/>
      </w:rPr>
    </w:lvl>
    <w:lvl w:ilvl="7" w:tplc="FF701352" w:tentative="1">
      <w:start w:val="1"/>
      <w:numFmt w:val="bullet"/>
      <w:lvlText w:val="•"/>
      <w:lvlJc w:val="left"/>
      <w:pPr>
        <w:tabs>
          <w:tab w:val="num" w:pos="5760"/>
        </w:tabs>
        <w:ind w:left="5760" w:hanging="360"/>
      </w:pPr>
      <w:rPr>
        <w:rFonts w:ascii="Arial" w:hAnsi="Arial" w:hint="default"/>
      </w:rPr>
    </w:lvl>
    <w:lvl w:ilvl="8" w:tplc="6CC2A68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D315B65"/>
    <w:multiLevelType w:val="hybridMultilevel"/>
    <w:tmpl w:val="00FC0704"/>
    <w:lvl w:ilvl="0" w:tplc="60669332">
      <w:start w:val="1"/>
      <w:numFmt w:val="bullet"/>
      <w:lvlText w:val=""/>
      <w:lvlJc w:val="left"/>
      <w:pPr>
        <w:ind w:left="720" w:hanging="360"/>
      </w:pPr>
      <w:rPr>
        <w:rFonts w:ascii="Symbol" w:hAnsi="Symbol" w:hint="default"/>
      </w:rPr>
    </w:lvl>
    <w:lvl w:ilvl="1" w:tplc="639478B6">
      <w:start w:val="1"/>
      <w:numFmt w:val="bullet"/>
      <w:lvlText w:val="o"/>
      <w:lvlJc w:val="left"/>
      <w:pPr>
        <w:ind w:left="1440" w:hanging="360"/>
      </w:pPr>
      <w:rPr>
        <w:rFonts w:ascii="Courier New" w:hAnsi="Courier New" w:hint="default"/>
      </w:rPr>
    </w:lvl>
    <w:lvl w:ilvl="2" w:tplc="6F9E8D28">
      <w:start w:val="1"/>
      <w:numFmt w:val="bullet"/>
      <w:lvlText w:val=""/>
      <w:lvlJc w:val="left"/>
      <w:pPr>
        <w:ind w:left="2160" w:hanging="360"/>
      </w:pPr>
      <w:rPr>
        <w:rFonts w:ascii="Wingdings" w:hAnsi="Wingdings" w:hint="default"/>
      </w:rPr>
    </w:lvl>
    <w:lvl w:ilvl="3" w:tplc="CD1415FC">
      <w:start w:val="1"/>
      <w:numFmt w:val="bullet"/>
      <w:lvlText w:val=""/>
      <w:lvlJc w:val="left"/>
      <w:pPr>
        <w:ind w:left="2880" w:hanging="360"/>
      </w:pPr>
      <w:rPr>
        <w:rFonts w:ascii="Symbol" w:hAnsi="Symbol" w:hint="default"/>
      </w:rPr>
    </w:lvl>
    <w:lvl w:ilvl="4" w:tplc="C49E7116">
      <w:start w:val="1"/>
      <w:numFmt w:val="bullet"/>
      <w:lvlText w:val="o"/>
      <w:lvlJc w:val="left"/>
      <w:pPr>
        <w:ind w:left="3600" w:hanging="360"/>
      </w:pPr>
      <w:rPr>
        <w:rFonts w:ascii="Courier New" w:hAnsi="Courier New" w:hint="default"/>
      </w:rPr>
    </w:lvl>
    <w:lvl w:ilvl="5" w:tplc="DFB22D98">
      <w:start w:val="1"/>
      <w:numFmt w:val="bullet"/>
      <w:lvlText w:val=""/>
      <w:lvlJc w:val="left"/>
      <w:pPr>
        <w:ind w:left="4320" w:hanging="360"/>
      </w:pPr>
      <w:rPr>
        <w:rFonts w:ascii="Wingdings" w:hAnsi="Wingdings" w:hint="default"/>
      </w:rPr>
    </w:lvl>
    <w:lvl w:ilvl="6" w:tplc="AECC33A6">
      <w:start w:val="1"/>
      <w:numFmt w:val="bullet"/>
      <w:lvlText w:val=""/>
      <w:lvlJc w:val="left"/>
      <w:pPr>
        <w:ind w:left="5040" w:hanging="360"/>
      </w:pPr>
      <w:rPr>
        <w:rFonts w:ascii="Symbol" w:hAnsi="Symbol" w:hint="default"/>
      </w:rPr>
    </w:lvl>
    <w:lvl w:ilvl="7" w:tplc="C4D00C10">
      <w:start w:val="1"/>
      <w:numFmt w:val="bullet"/>
      <w:lvlText w:val="o"/>
      <w:lvlJc w:val="left"/>
      <w:pPr>
        <w:ind w:left="5760" w:hanging="360"/>
      </w:pPr>
      <w:rPr>
        <w:rFonts w:ascii="Courier New" w:hAnsi="Courier New" w:hint="default"/>
      </w:rPr>
    </w:lvl>
    <w:lvl w:ilvl="8" w:tplc="33ACDE74">
      <w:start w:val="1"/>
      <w:numFmt w:val="bullet"/>
      <w:lvlText w:val=""/>
      <w:lvlJc w:val="left"/>
      <w:pPr>
        <w:ind w:left="6480" w:hanging="360"/>
      </w:pPr>
      <w:rPr>
        <w:rFonts w:ascii="Wingdings" w:hAnsi="Wingdings" w:hint="default"/>
      </w:rPr>
    </w:lvl>
  </w:abstractNum>
  <w:abstractNum w:abstractNumId="16" w15:restartNumberingAfterBreak="0">
    <w:nsid w:val="36C42934"/>
    <w:multiLevelType w:val="multilevel"/>
    <w:tmpl w:val="CBC4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9514F8"/>
    <w:multiLevelType w:val="hybridMultilevel"/>
    <w:tmpl w:val="B4BC306A"/>
    <w:lvl w:ilvl="0" w:tplc="08E480A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3D31B4"/>
    <w:multiLevelType w:val="hybridMultilevel"/>
    <w:tmpl w:val="5C34D412"/>
    <w:lvl w:ilvl="0" w:tplc="5542161A">
      <w:start w:val="1"/>
      <w:numFmt w:val="bullet"/>
      <w:lvlText w:val=""/>
      <w:lvlJc w:val="left"/>
      <w:pPr>
        <w:ind w:left="360" w:hanging="360"/>
      </w:pPr>
      <w:rPr>
        <w:rFonts w:ascii="Symbol" w:hAnsi="Symbol" w:hint="default"/>
        <w:color w:val="5B9BD5" w:themeColor="accent1"/>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9" w15:restartNumberingAfterBreak="0">
    <w:nsid w:val="3A6321FA"/>
    <w:multiLevelType w:val="hybridMultilevel"/>
    <w:tmpl w:val="13608A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AE22960"/>
    <w:multiLevelType w:val="hybridMultilevel"/>
    <w:tmpl w:val="1062BB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4F4A9B"/>
    <w:multiLevelType w:val="hybridMultilevel"/>
    <w:tmpl w:val="9C88B768"/>
    <w:lvl w:ilvl="0" w:tplc="9C94865A">
      <w:start w:val="1"/>
      <w:numFmt w:val="bullet"/>
      <w:lvlText w:val=""/>
      <w:lvlJc w:val="left"/>
      <w:pPr>
        <w:ind w:left="360" w:hanging="360"/>
      </w:pPr>
      <w:rPr>
        <w:rFonts w:ascii="Wingdings" w:hAnsi="Wingdings" w:hint="default"/>
        <w:color w:val="5B9BD5" w:themeColor="accent1"/>
        <w:sz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27379A3"/>
    <w:multiLevelType w:val="hybridMultilevel"/>
    <w:tmpl w:val="3F2CCF6A"/>
    <w:lvl w:ilvl="0" w:tplc="4009000B">
      <w:start w:val="1"/>
      <w:numFmt w:val="bullet"/>
      <w:lvlText w:val=""/>
      <w:lvlJc w:val="left"/>
      <w:pPr>
        <w:tabs>
          <w:tab w:val="num" w:pos="720"/>
        </w:tabs>
        <w:ind w:left="720" w:hanging="360"/>
      </w:pPr>
      <w:rPr>
        <w:rFonts w:ascii="Wingdings" w:hAnsi="Wingdings" w:hint="default"/>
      </w:rPr>
    </w:lvl>
    <w:lvl w:ilvl="1" w:tplc="FF2252D8" w:tentative="1">
      <w:start w:val="1"/>
      <w:numFmt w:val="bullet"/>
      <w:lvlText w:val=""/>
      <w:lvlJc w:val="left"/>
      <w:pPr>
        <w:tabs>
          <w:tab w:val="num" w:pos="1440"/>
        </w:tabs>
        <w:ind w:left="1440" w:hanging="360"/>
      </w:pPr>
      <w:rPr>
        <w:rFonts w:ascii="Wingdings" w:hAnsi="Wingdings" w:hint="default"/>
      </w:rPr>
    </w:lvl>
    <w:lvl w:ilvl="2" w:tplc="9A2E5AA4" w:tentative="1">
      <w:start w:val="1"/>
      <w:numFmt w:val="bullet"/>
      <w:lvlText w:val=""/>
      <w:lvlJc w:val="left"/>
      <w:pPr>
        <w:tabs>
          <w:tab w:val="num" w:pos="2160"/>
        </w:tabs>
        <w:ind w:left="2160" w:hanging="360"/>
      </w:pPr>
      <w:rPr>
        <w:rFonts w:ascii="Wingdings" w:hAnsi="Wingdings" w:hint="default"/>
      </w:rPr>
    </w:lvl>
    <w:lvl w:ilvl="3" w:tplc="C9C07CD6" w:tentative="1">
      <w:start w:val="1"/>
      <w:numFmt w:val="bullet"/>
      <w:lvlText w:val=""/>
      <w:lvlJc w:val="left"/>
      <w:pPr>
        <w:tabs>
          <w:tab w:val="num" w:pos="2880"/>
        </w:tabs>
        <w:ind w:left="2880" w:hanging="360"/>
      </w:pPr>
      <w:rPr>
        <w:rFonts w:ascii="Wingdings" w:hAnsi="Wingdings" w:hint="default"/>
      </w:rPr>
    </w:lvl>
    <w:lvl w:ilvl="4" w:tplc="B0180154" w:tentative="1">
      <w:start w:val="1"/>
      <w:numFmt w:val="bullet"/>
      <w:lvlText w:val=""/>
      <w:lvlJc w:val="left"/>
      <w:pPr>
        <w:tabs>
          <w:tab w:val="num" w:pos="3600"/>
        </w:tabs>
        <w:ind w:left="3600" w:hanging="360"/>
      </w:pPr>
      <w:rPr>
        <w:rFonts w:ascii="Wingdings" w:hAnsi="Wingdings" w:hint="default"/>
      </w:rPr>
    </w:lvl>
    <w:lvl w:ilvl="5" w:tplc="54E2DAAA" w:tentative="1">
      <w:start w:val="1"/>
      <w:numFmt w:val="bullet"/>
      <w:lvlText w:val=""/>
      <w:lvlJc w:val="left"/>
      <w:pPr>
        <w:tabs>
          <w:tab w:val="num" w:pos="4320"/>
        </w:tabs>
        <w:ind w:left="4320" w:hanging="360"/>
      </w:pPr>
      <w:rPr>
        <w:rFonts w:ascii="Wingdings" w:hAnsi="Wingdings" w:hint="default"/>
      </w:rPr>
    </w:lvl>
    <w:lvl w:ilvl="6" w:tplc="4606C2D8" w:tentative="1">
      <w:start w:val="1"/>
      <w:numFmt w:val="bullet"/>
      <w:lvlText w:val=""/>
      <w:lvlJc w:val="left"/>
      <w:pPr>
        <w:tabs>
          <w:tab w:val="num" w:pos="5040"/>
        </w:tabs>
        <w:ind w:left="5040" w:hanging="360"/>
      </w:pPr>
      <w:rPr>
        <w:rFonts w:ascii="Wingdings" w:hAnsi="Wingdings" w:hint="default"/>
      </w:rPr>
    </w:lvl>
    <w:lvl w:ilvl="7" w:tplc="68200E2C" w:tentative="1">
      <w:start w:val="1"/>
      <w:numFmt w:val="bullet"/>
      <w:lvlText w:val=""/>
      <w:lvlJc w:val="left"/>
      <w:pPr>
        <w:tabs>
          <w:tab w:val="num" w:pos="5760"/>
        </w:tabs>
        <w:ind w:left="5760" w:hanging="360"/>
      </w:pPr>
      <w:rPr>
        <w:rFonts w:ascii="Wingdings" w:hAnsi="Wingdings" w:hint="default"/>
      </w:rPr>
    </w:lvl>
    <w:lvl w:ilvl="8" w:tplc="ECD07B5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2163C1"/>
    <w:multiLevelType w:val="hybridMultilevel"/>
    <w:tmpl w:val="DEA293D0"/>
    <w:lvl w:ilvl="0" w:tplc="37C63420">
      <w:start w:val="1"/>
      <w:numFmt w:val="bullet"/>
      <w:lvlText w:val=""/>
      <w:lvlJc w:val="left"/>
      <w:pPr>
        <w:ind w:left="644" w:hanging="360"/>
      </w:pPr>
      <w:rPr>
        <w:rFonts w:ascii="Wingdings" w:hAnsi="Wingdings" w:hint="default"/>
        <w:color w:val="auto"/>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4" w15:restartNumberingAfterBreak="0">
    <w:nsid w:val="44912B6A"/>
    <w:multiLevelType w:val="hybridMultilevel"/>
    <w:tmpl w:val="9FD668A8"/>
    <w:lvl w:ilvl="0" w:tplc="82E85BA0">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6752C4A"/>
    <w:multiLevelType w:val="hybridMultilevel"/>
    <w:tmpl w:val="D4AECE7E"/>
    <w:lvl w:ilvl="0" w:tplc="45D089D6">
      <w:start w:val="1"/>
      <w:numFmt w:val="bullet"/>
      <w:lvlText w:val=""/>
      <w:lvlJc w:val="left"/>
      <w:pPr>
        <w:ind w:left="360" w:hanging="360"/>
      </w:pPr>
      <w:rPr>
        <w:rFonts w:ascii="Symbol" w:hAnsi="Symbol" w:hint="default"/>
        <w:color w:val="5B9BD5" w:themeColor="accent1"/>
        <w:sz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C8A035C"/>
    <w:multiLevelType w:val="hybridMultilevel"/>
    <w:tmpl w:val="436AA7AC"/>
    <w:lvl w:ilvl="0" w:tplc="06BE1EB4">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0BD2B97"/>
    <w:multiLevelType w:val="hybridMultilevel"/>
    <w:tmpl w:val="3ED4A7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92C4702"/>
    <w:multiLevelType w:val="hybridMultilevel"/>
    <w:tmpl w:val="784C97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21F0C5F"/>
    <w:multiLevelType w:val="hybridMultilevel"/>
    <w:tmpl w:val="B9D832D0"/>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55366AD"/>
    <w:multiLevelType w:val="hybridMultilevel"/>
    <w:tmpl w:val="EEB09646"/>
    <w:lvl w:ilvl="0" w:tplc="40090017">
      <w:start w:val="1"/>
      <w:numFmt w:val="lowerLetter"/>
      <w:lvlText w:val="%1)"/>
      <w:lvlJc w:val="left"/>
      <w:pPr>
        <w:ind w:left="720" w:hanging="360"/>
      </w:pPr>
    </w:lvl>
    <w:lvl w:ilvl="1" w:tplc="7552704E">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8A839AB"/>
    <w:multiLevelType w:val="hybridMultilevel"/>
    <w:tmpl w:val="418ADE3A"/>
    <w:lvl w:ilvl="0" w:tplc="1152DC48">
      <w:start w:val="1"/>
      <w:numFmt w:val="bullet"/>
      <w:lvlText w:val=""/>
      <w:lvlJc w:val="left"/>
      <w:pPr>
        <w:ind w:left="360" w:hanging="360"/>
      </w:pPr>
      <w:rPr>
        <w:rFonts w:ascii="Symbol" w:hAnsi="Symbol" w:hint="default"/>
        <w:color w:val="5B9BD5" w:themeColor="accent1"/>
        <w:sz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69552F8E"/>
    <w:multiLevelType w:val="hybridMultilevel"/>
    <w:tmpl w:val="BA62BFE2"/>
    <w:lvl w:ilvl="0" w:tplc="B12EBB44">
      <w:start w:val="1"/>
      <w:numFmt w:val="bullet"/>
      <w:lvlText w:val=""/>
      <w:lvlJc w:val="left"/>
      <w:pPr>
        <w:ind w:left="960" w:hanging="360"/>
      </w:pPr>
      <w:rPr>
        <w:rFonts w:ascii="Wingdings" w:hAnsi="Wingdings" w:hint="default"/>
        <w:color w:val="auto"/>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3" w15:restartNumberingAfterBreak="0">
    <w:nsid w:val="6C485623"/>
    <w:multiLevelType w:val="hybridMultilevel"/>
    <w:tmpl w:val="22F6A448"/>
    <w:lvl w:ilvl="0" w:tplc="E326EF20">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D477A4E"/>
    <w:multiLevelType w:val="hybridMultilevel"/>
    <w:tmpl w:val="93E8AE4C"/>
    <w:lvl w:ilvl="0" w:tplc="08E480A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D9D72E9"/>
    <w:multiLevelType w:val="hybridMultilevel"/>
    <w:tmpl w:val="6C2AE232"/>
    <w:lvl w:ilvl="0" w:tplc="23AA901A">
      <w:start w:val="1"/>
      <w:numFmt w:val="bullet"/>
      <w:lvlText w:val=""/>
      <w:lvlJc w:val="left"/>
      <w:pPr>
        <w:ind w:left="360" w:hanging="360"/>
      </w:pPr>
      <w:rPr>
        <w:rFonts w:ascii="Symbol" w:hAnsi="Symbol" w:hint="default"/>
        <w:color w:val="5B9BD5" w:themeColor="accen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6DAC3822"/>
    <w:multiLevelType w:val="hybridMultilevel"/>
    <w:tmpl w:val="6D141B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6DCF78EC"/>
    <w:multiLevelType w:val="hybridMultilevel"/>
    <w:tmpl w:val="D10AF1FA"/>
    <w:lvl w:ilvl="0" w:tplc="4009000B">
      <w:start w:val="1"/>
      <w:numFmt w:val="bullet"/>
      <w:lvlText w:val=""/>
      <w:lvlJc w:val="left"/>
      <w:pPr>
        <w:ind w:left="720" w:hanging="360"/>
      </w:pPr>
      <w:rPr>
        <w:rFonts w:ascii="Wingdings" w:hAnsi="Wingdings" w:hint="default"/>
      </w:rPr>
    </w:lvl>
    <w:lvl w:ilvl="1" w:tplc="4E50E34A">
      <w:start w:val="1"/>
      <w:numFmt w:val="bullet"/>
      <w:lvlText w:val="o"/>
      <w:lvlJc w:val="left"/>
      <w:pPr>
        <w:ind w:left="1440" w:hanging="360"/>
      </w:pPr>
      <w:rPr>
        <w:rFonts w:ascii="Courier New" w:hAnsi="Courier New" w:hint="default"/>
      </w:rPr>
    </w:lvl>
    <w:lvl w:ilvl="2" w:tplc="52783B08">
      <w:start w:val="1"/>
      <w:numFmt w:val="bullet"/>
      <w:lvlText w:val=""/>
      <w:lvlJc w:val="left"/>
      <w:pPr>
        <w:ind w:left="2160" w:hanging="360"/>
      </w:pPr>
      <w:rPr>
        <w:rFonts w:ascii="Wingdings" w:hAnsi="Wingdings" w:hint="default"/>
      </w:rPr>
    </w:lvl>
    <w:lvl w:ilvl="3" w:tplc="06E28858">
      <w:start w:val="1"/>
      <w:numFmt w:val="bullet"/>
      <w:lvlText w:val=""/>
      <w:lvlJc w:val="left"/>
      <w:pPr>
        <w:ind w:left="2880" w:hanging="360"/>
      </w:pPr>
      <w:rPr>
        <w:rFonts w:ascii="Symbol" w:hAnsi="Symbol" w:hint="default"/>
      </w:rPr>
    </w:lvl>
    <w:lvl w:ilvl="4" w:tplc="02DCF68C">
      <w:start w:val="1"/>
      <w:numFmt w:val="bullet"/>
      <w:lvlText w:val="o"/>
      <w:lvlJc w:val="left"/>
      <w:pPr>
        <w:ind w:left="3600" w:hanging="360"/>
      </w:pPr>
      <w:rPr>
        <w:rFonts w:ascii="Courier New" w:hAnsi="Courier New" w:hint="default"/>
      </w:rPr>
    </w:lvl>
    <w:lvl w:ilvl="5" w:tplc="E42ACDDC">
      <w:start w:val="1"/>
      <w:numFmt w:val="bullet"/>
      <w:lvlText w:val=""/>
      <w:lvlJc w:val="left"/>
      <w:pPr>
        <w:ind w:left="4320" w:hanging="360"/>
      </w:pPr>
      <w:rPr>
        <w:rFonts w:ascii="Wingdings" w:hAnsi="Wingdings" w:hint="default"/>
      </w:rPr>
    </w:lvl>
    <w:lvl w:ilvl="6" w:tplc="0FEAE09A">
      <w:start w:val="1"/>
      <w:numFmt w:val="bullet"/>
      <w:lvlText w:val=""/>
      <w:lvlJc w:val="left"/>
      <w:pPr>
        <w:ind w:left="5040" w:hanging="360"/>
      </w:pPr>
      <w:rPr>
        <w:rFonts w:ascii="Symbol" w:hAnsi="Symbol" w:hint="default"/>
      </w:rPr>
    </w:lvl>
    <w:lvl w:ilvl="7" w:tplc="F95A7296">
      <w:start w:val="1"/>
      <w:numFmt w:val="bullet"/>
      <w:lvlText w:val="o"/>
      <w:lvlJc w:val="left"/>
      <w:pPr>
        <w:ind w:left="5760" w:hanging="360"/>
      </w:pPr>
      <w:rPr>
        <w:rFonts w:ascii="Courier New" w:hAnsi="Courier New" w:hint="default"/>
      </w:rPr>
    </w:lvl>
    <w:lvl w:ilvl="8" w:tplc="48CC0CA4">
      <w:start w:val="1"/>
      <w:numFmt w:val="bullet"/>
      <w:lvlText w:val=""/>
      <w:lvlJc w:val="left"/>
      <w:pPr>
        <w:ind w:left="6480" w:hanging="360"/>
      </w:pPr>
      <w:rPr>
        <w:rFonts w:ascii="Wingdings" w:hAnsi="Wingdings" w:hint="default"/>
      </w:rPr>
    </w:lvl>
  </w:abstractNum>
  <w:abstractNum w:abstractNumId="38" w15:restartNumberingAfterBreak="0">
    <w:nsid w:val="76846571"/>
    <w:multiLevelType w:val="hybridMultilevel"/>
    <w:tmpl w:val="23B066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6A02237"/>
    <w:multiLevelType w:val="hybridMultilevel"/>
    <w:tmpl w:val="7AF21F0E"/>
    <w:lvl w:ilvl="0" w:tplc="23AA901A">
      <w:start w:val="1"/>
      <w:numFmt w:val="bullet"/>
      <w:lvlText w:val=""/>
      <w:lvlJc w:val="left"/>
      <w:pPr>
        <w:ind w:left="720" w:hanging="360"/>
      </w:pPr>
      <w:rPr>
        <w:rFonts w:ascii="Symbol" w:hAnsi="Symbol" w:hint="default"/>
        <w:color w:val="5B9BD5"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3940F9"/>
    <w:multiLevelType w:val="hybridMultilevel"/>
    <w:tmpl w:val="99469556"/>
    <w:lvl w:ilvl="0" w:tplc="F55204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C7C7D60"/>
    <w:multiLevelType w:val="hybridMultilevel"/>
    <w:tmpl w:val="2AC05FF6"/>
    <w:lvl w:ilvl="0" w:tplc="23AA901A">
      <w:start w:val="1"/>
      <w:numFmt w:val="bullet"/>
      <w:lvlText w:val=""/>
      <w:lvlJc w:val="left"/>
      <w:pPr>
        <w:ind w:left="360" w:hanging="360"/>
      </w:pPr>
      <w:rPr>
        <w:rFonts w:ascii="Symbol" w:hAnsi="Symbol" w:hint="default"/>
        <w:color w:val="5B9BD5" w:themeColor="accen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7"/>
  </w:num>
  <w:num w:numId="2">
    <w:abstractNumId w:val="6"/>
  </w:num>
  <w:num w:numId="3">
    <w:abstractNumId w:val="1"/>
  </w:num>
  <w:num w:numId="4">
    <w:abstractNumId w:val="15"/>
  </w:num>
  <w:num w:numId="5">
    <w:abstractNumId w:val="29"/>
  </w:num>
  <w:num w:numId="6">
    <w:abstractNumId w:val="34"/>
  </w:num>
  <w:num w:numId="7">
    <w:abstractNumId w:val="14"/>
  </w:num>
  <w:num w:numId="8">
    <w:abstractNumId w:val="30"/>
  </w:num>
  <w:num w:numId="9">
    <w:abstractNumId w:val="21"/>
  </w:num>
  <w:num w:numId="10">
    <w:abstractNumId w:val="25"/>
  </w:num>
  <w:num w:numId="11">
    <w:abstractNumId w:val="2"/>
  </w:num>
  <w:num w:numId="12">
    <w:abstractNumId w:val="9"/>
  </w:num>
  <w:num w:numId="13">
    <w:abstractNumId w:val="4"/>
  </w:num>
  <w:num w:numId="14">
    <w:abstractNumId w:val="31"/>
  </w:num>
  <w:num w:numId="15">
    <w:abstractNumId w:val="10"/>
  </w:num>
  <w:num w:numId="16">
    <w:abstractNumId w:val="11"/>
  </w:num>
  <w:num w:numId="17">
    <w:abstractNumId w:val="40"/>
  </w:num>
  <w:num w:numId="18">
    <w:abstractNumId w:val="41"/>
  </w:num>
  <w:num w:numId="19">
    <w:abstractNumId w:val="36"/>
  </w:num>
  <w:num w:numId="20">
    <w:abstractNumId w:val="27"/>
  </w:num>
  <w:num w:numId="21">
    <w:abstractNumId w:val="19"/>
  </w:num>
  <w:num w:numId="22">
    <w:abstractNumId w:val="0"/>
  </w:num>
  <w:num w:numId="23">
    <w:abstractNumId w:val="37"/>
  </w:num>
  <w:num w:numId="24">
    <w:abstractNumId w:val="16"/>
  </w:num>
  <w:num w:numId="25">
    <w:abstractNumId w:val="18"/>
  </w:num>
  <w:num w:numId="26">
    <w:abstractNumId w:val="23"/>
  </w:num>
  <w:num w:numId="27">
    <w:abstractNumId w:val="5"/>
  </w:num>
  <w:num w:numId="28">
    <w:abstractNumId w:val="22"/>
  </w:num>
  <w:num w:numId="29">
    <w:abstractNumId w:val="33"/>
  </w:num>
  <w:num w:numId="30">
    <w:abstractNumId w:val="8"/>
  </w:num>
  <w:num w:numId="31">
    <w:abstractNumId w:val="28"/>
  </w:num>
  <w:num w:numId="32">
    <w:abstractNumId w:val="20"/>
  </w:num>
  <w:num w:numId="33">
    <w:abstractNumId w:val="7"/>
  </w:num>
  <w:num w:numId="34">
    <w:abstractNumId w:val="13"/>
  </w:num>
  <w:num w:numId="35">
    <w:abstractNumId w:val="24"/>
  </w:num>
  <w:num w:numId="36">
    <w:abstractNumId w:val="32"/>
  </w:num>
  <w:num w:numId="37">
    <w:abstractNumId w:val="38"/>
  </w:num>
  <w:num w:numId="38">
    <w:abstractNumId w:val="12"/>
  </w:num>
  <w:num w:numId="39">
    <w:abstractNumId w:val="39"/>
  </w:num>
  <w:num w:numId="40">
    <w:abstractNumId w:val="26"/>
  </w:num>
  <w:num w:numId="41">
    <w:abstractNumId w:val="35"/>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C42"/>
    <w:rsid w:val="0000752C"/>
    <w:rsid w:val="000124B9"/>
    <w:rsid w:val="000908F9"/>
    <w:rsid w:val="000E5A3F"/>
    <w:rsid w:val="000F35AA"/>
    <w:rsid w:val="0017585E"/>
    <w:rsid w:val="001F4994"/>
    <w:rsid w:val="001F5975"/>
    <w:rsid w:val="0022158D"/>
    <w:rsid w:val="002407DC"/>
    <w:rsid w:val="00261FB0"/>
    <w:rsid w:val="00321C51"/>
    <w:rsid w:val="00353767"/>
    <w:rsid w:val="003B46C4"/>
    <w:rsid w:val="003B58E8"/>
    <w:rsid w:val="003F3476"/>
    <w:rsid w:val="004332B5"/>
    <w:rsid w:val="00484224"/>
    <w:rsid w:val="004861AE"/>
    <w:rsid w:val="004A5134"/>
    <w:rsid w:val="004C3650"/>
    <w:rsid w:val="004F716F"/>
    <w:rsid w:val="0051690D"/>
    <w:rsid w:val="005335EC"/>
    <w:rsid w:val="005B0A54"/>
    <w:rsid w:val="005C3EC6"/>
    <w:rsid w:val="006141AB"/>
    <w:rsid w:val="00616BB5"/>
    <w:rsid w:val="006213CD"/>
    <w:rsid w:val="006410CB"/>
    <w:rsid w:val="00663148"/>
    <w:rsid w:val="006E52BE"/>
    <w:rsid w:val="00711876"/>
    <w:rsid w:val="0079065C"/>
    <w:rsid w:val="00791080"/>
    <w:rsid w:val="007F0FE5"/>
    <w:rsid w:val="00833AF8"/>
    <w:rsid w:val="00851C42"/>
    <w:rsid w:val="008A090C"/>
    <w:rsid w:val="008C4743"/>
    <w:rsid w:val="00910352"/>
    <w:rsid w:val="00933EA7"/>
    <w:rsid w:val="009351D9"/>
    <w:rsid w:val="00986504"/>
    <w:rsid w:val="0099670C"/>
    <w:rsid w:val="00A53D36"/>
    <w:rsid w:val="00A575FD"/>
    <w:rsid w:val="00A72A9C"/>
    <w:rsid w:val="00AB6BCA"/>
    <w:rsid w:val="00AD34C5"/>
    <w:rsid w:val="00B71553"/>
    <w:rsid w:val="00B86602"/>
    <w:rsid w:val="00C77EB8"/>
    <w:rsid w:val="00CC3885"/>
    <w:rsid w:val="00CE3096"/>
    <w:rsid w:val="00D26122"/>
    <w:rsid w:val="00D43BAE"/>
    <w:rsid w:val="00D71C93"/>
    <w:rsid w:val="00D95CF1"/>
    <w:rsid w:val="00E84151"/>
    <w:rsid w:val="00EA1A90"/>
    <w:rsid w:val="00EC55D4"/>
    <w:rsid w:val="00ED2463"/>
    <w:rsid w:val="00EF517A"/>
    <w:rsid w:val="00F55BFF"/>
    <w:rsid w:val="00F658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37E32-2C75-49E0-A448-164D6013E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1C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69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69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C4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51C42"/>
    <w:pPr>
      <w:ind w:left="720"/>
      <w:contextualSpacing/>
    </w:pPr>
  </w:style>
  <w:style w:type="character" w:customStyle="1" w:styleId="Heading2Char">
    <w:name w:val="Heading 2 Char"/>
    <w:basedOn w:val="DefaultParagraphFont"/>
    <w:link w:val="Heading2"/>
    <w:uiPriority w:val="9"/>
    <w:rsid w:val="0051690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1690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8A090C"/>
    <w:rPr>
      <w:color w:val="0563C1" w:themeColor="hyperlink"/>
      <w:u w:val="single"/>
    </w:rPr>
  </w:style>
  <w:style w:type="paragraph" w:styleId="NoSpacing">
    <w:name w:val="No Spacing"/>
    <w:link w:val="NoSpacingChar"/>
    <w:uiPriority w:val="1"/>
    <w:qFormat/>
    <w:rsid w:val="000E5A3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5A3F"/>
    <w:rPr>
      <w:rFonts w:eastAsiaTheme="minorEastAsia"/>
      <w:lang w:val="en-US"/>
    </w:rPr>
  </w:style>
  <w:style w:type="paragraph" w:styleId="IntenseQuote">
    <w:name w:val="Intense Quote"/>
    <w:basedOn w:val="Normal"/>
    <w:next w:val="Normal"/>
    <w:link w:val="IntenseQuoteChar"/>
    <w:uiPriority w:val="30"/>
    <w:qFormat/>
    <w:rsid w:val="0079065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9065C"/>
    <w:rPr>
      <w:i/>
      <w:iCs/>
      <w:color w:val="5B9BD5" w:themeColor="accent1"/>
    </w:rPr>
  </w:style>
  <w:style w:type="paragraph" w:styleId="Header">
    <w:name w:val="header"/>
    <w:basedOn w:val="Normal"/>
    <w:link w:val="HeaderChar"/>
    <w:uiPriority w:val="99"/>
    <w:unhideWhenUsed/>
    <w:rsid w:val="000908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8F9"/>
  </w:style>
  <w:style w:type="paragraph" w:styleId="Footer">
    <w:name w:val="footer"/>
    <w:basedOn w:val="Normal"/>
    <w:link w:val="FooterChar"/>
    <w:uiPriority w:val="99"/>
    <w:unhideWhenUsed/>
    <w:rsid w:val="000908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8F9"/>
  </w:style>
  <w:style w:type="paragraph" w:styleId="TOC1">
    <w:name w:val="toc 1"/>
    <w:basedOn w:val="Normal"/>
    <w:next w:val="Normal"/>
    <w:autoRedefine/>
    <w:uiPriority w:val="39"/>
    <w:unhideWhenUsed/>
    <w:rsid w:val="000908F9"/>
    <w:pPr>
      <w:spacing w:after="100"/>
    </w:pPr>
  </w:style>
  <w:style w:type="paragraph" w:styleId="TOC2">
    <w:name w:val="toc 2"/>
    <w:basedOn w:val="Normal"/>
    <w:next w:val="Normal"/>
    <w:autoRedefine/>
    <w:uiPriority w:val="39"/>
    <w:unhideWhenUsed/>
    <w:rsid w:val="000908F9"/>
    <w:pPr>
      <w:spacing w:after="100"/>
      <w:ind w:left="220"/>
    </w:pPr>
  </w:style>
  <w:style w:type="paragraph" w:styleId="TOC3">
    <w:name w:val="toc 3"/>
    <w:basedOn w:val="Normal"/>
    <w:next w:val="Normal"/>
    <w:autoRedefine/>
    <w:uiPriority w:val="39"/>
    <w:unhideWhenUsed/>
    <w:rsid w:val="000908F9"/>
    <w:pPr>
      <w:spacing w:after="100"/>
      <w:ind w:left="440"/>
    </w:pPr>
  </w:style>
  <w:style w:type="table" w:styleId="TableGrid">
    <w:name w:val="Table Grid"/>
    <w:basedOn w:val="TableNormal"/>
    <w:uiPriority w:val="39"/>
    <w:rsid w:val="00321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21C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5335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33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536024">
      <w:bodyDiv w:val="1"/>
      <w:marLeft w:val="0"/>
      <w:marRight w:val="0"/>
      <w:marTop w:val="0"/>
      <w:marBottom w:val="0"/>
      <w:divBdr>
        <w:top w:val="none" w:sz="0" w:space="0" w:color="auto"/>
        <w:left w:val="none" w:sz="0" w:space="0" w:color="auto"/>
        <w:bottom w:val="none" w:sz="0" w:space="0" w:color="auto"/>
        <w:right w:val="none" w:sz="0" w:space="0" w:color="auto"/>
      </w:divBdr>
    </w:div>
    <w:div w:id="155354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coursey@ABMSsolutions.com" TargetMode="External"/><Relationship Id="rId13" Type="http://schemas.openxmlformats.org/officeDocument/2006/relationships/hyperlink" Target="mailto:credentials@osteopathic.org" TargetMode="External"/><Relationship Id="rId18" Type="http://schemas.openxmlformats.org/officeDocument/2006/relationships/hyperlink" Target="mailto:info@jcrinc.com"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npdb-hipdb.com/healthcare-organisations/management-tools/manage-user-ids-and-passwords/" TargetMode="External"/><Relationship Id="rId7" Type="http://schemas.openxmlformats.org/officeDocument/2006/relationships/endnotes" Target="endnotes.xml"/><Relationship Id="rId12" Type="http://schemas.openxmlformats.org/officeDocument/2006/relationships/hyperlink" Target="http://info.commerce.ama-assn.org/ama-credentialing-form" TargetMode="External"/><Relationship Id="rId17" Type="http://schemas.openxmlformats.org/officeDocument/2006/relationships/hyperlink" Target="http://www.jcrinc.com/contact-u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nmNT1841OOc" TargetMode="External"/><Relationship Id="rId20" Type="http://schemas.openxmlformats.org/officeDocument/2006/relationships/hyperlink" Target="http://news.unchealthcare.org/archive/unc_physicians_newsletters/OPPEandFPP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wainwright@ABMSsolutions.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safecaregroup.com/" TargetMode="External"/><Relationship Id="rId23" Type="http://schemas.openxmlformats.org/officeDocument/2006/relationships/header" Target="header1.xml"/><Relationship Id="rId10" Type="http://schemas.openxmlformats.org/officeDocument/2006/relationships/hyperlink" Target="mailto:dgjerde@ABMSsolutions.com" TargetMode="External"/><Relationship Id="rId19" Type="http://schemas.openxmlformats.org/officeDocument/2006/relationships/hyperlink" Target="http://www.cap.org/apps/docs/reference/oppe_fppe.pdf" TargetMode="External"/><Relationship Id="rId4" Type="http://schemas.openxmlformats.org/officeDocument/2006/relationships/settings" Target="settings.xml"/><Relationship Id="rId9" Type="http://schemas.openxmlformats.org/officeDocument/2006/relationships/hyperlink" Target="mailto:elorenz@ABMSsolutions.com" TargetMode="External"/><Relationship Id="rId14" Type="http://schemas.openxmlformats.org/officeDocument/2006/relationships/hyperlink" Target="https://www.jointcommission.org/" TargetMode="External"/><Relationship Id="rId22" Type="http://schemas.openxmlformats.org/officeDocument/2006/relationships/hyperlink" Target="http://npdb-hipdb.com/healthcare-organisations/management-tool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EB62D6B4E1D49A7BD9C3C18499F33E0"/>
        <w:category>
          <w:name w:val="General"/>
          <w:gallery w:val="placeholder"/>
        </w:category>
        <w:types>
          <w:type w:val="bbPlcHdr"/>
        </w:types>
        <w:behaviors>
          <w:behavior w:val="content"/>
        </w:behaviors>
        <w:guid w:val="{09C19483-AEEE-4D0B-B258-B16148DDF130}"/>
      </w:docPartPr>
      <w:docPartBody>
        <w:p w:rsidR="009B5B73" w:rsidRDefault="00462D45" w:rsidP="00462D45">
          <w:pPr>
            <w:pStyle w:val="EEB62D6B4E1D49A7BD9C3C18499F33E0"/>
          </w:pPr>
          <w:r>
            <w:rPr>
              <w:color w:val="2E74B5" w:themeColor="accent1" w:themeShade="BF"/>
              <w:sz w:val="24"/>
              <w:szCs w:val="24"/>
            </w:rPr>
            <w:t>[Company name]</w:t>
          </w:r>
        </w:p>
      </w:docPartBody>
    </w:docPart>
    <w:docPart>
      <w:docPartPr>
        <w:name w:val="E44A257B4E4F489D882C727628B11794"/>
        <w:category>
          <w:name w:val="General"/>
          <w:gallery w:val="placeholder"/>
        </w:category>
        <w:types>
          <w:type w:val="bbPlcHdr"/>
        </w:types>
        <w:behaviors>
          <w:behavior w:val="content"/>
        </w:behaviors>
        <w:guid w:val="{E46A40E1-9971-40D7-8EFA-B95AEB11B860}"/>
      </w:docPartPr>
      <w:docPartBody>
        <w:p w:rsidR="009B5B73" w:rsidRDefault="00462D45" w:rsidP="00462D45">
          <w:pPr>
            <w:pStyle w:val="E44A257B4E4F489D882C727628B11794"/>
          </w:pPr>
          <w:r>
            <w:rPr>
              <w:rFonts w:asciiTheme="majorHAnsi" w:eastAsiaTheme="majorEastAsia" w:hAnsiTheme="majorHAnsi" w:cstheme="majorBidi"/>
              <w:color w:val="5B9BD5" w:themeColor="accent1"/>
              <w:sz w:val="88"/>
              <w:szCs w:val="88"/>
            </w:rPr>
            <w:t>[Document title]</w:t>
          </w:r>
        </w:p>
      </w:docPartBody>
    </w:docPart>
    <w:docPart>
      <w:docPartPr>
        <w:name w:val="9EB1C7A67E1848FC91B3982297977062"/>
        <w:category>
          <w:name w:val="General"/>
          <w:gallery w:val="placeholder"/>
        </w:category>
        <w:types>
          <w:type w:val="bbPlcHdr"/>
        </w:types>
        <w:behaviors>
          <w:behavior w:val="content"/>
        </w:behaviors>
        <w:guid w:val="{9D2C2849-1058-40F8-9396-78C5F3FE6AC8}"/>
      </w:docPartPr>
      <w:docPartBody>
        <w:p w:rsidR="009B5B73" w:rsidRDefault="00462D45" w:rsidP="00462D45">
          <w:pPr>
            <w:pStyle w:val="9EB1C7A67E1848FC91B3982297977062"/>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D45"/>
    <w:rsid w:val="003F2084"/>
    <w:rsid w:val="00462D45"/>
    <w:rsid w:val="008F73C1"/>
    <w:rsid w:val="009B5B73"/>
    <w:rsid w:val="00B226B1"/>
    <w:rsid w:val="00B239D9"/>
    <w:rsid w:val="00C901A9"/>
    <w:rsid w:val="00CD590D"/>
    <w:rsid w:val="00D324FE"/>
    <w:rsid w:val="00EB6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B62D6B4E1D49A7BD9C3C18499F33E0">
    <w:name w:val="EEB62D6B4E1D49A7BD9C3C18499F33E0"/>
    <w:rsid w:val="00462D45"/>
  </w:style>
  <w:style w:type="paragraph" w:customStyle="1" w:styleId="E44A257B4E4F489D882C727628B11794">
    <w:name w:val="E44A257B4E4F489D882C727628B11794"/>
    <w:rsid w:val="00462D45"/>
  </w:style>
  <w:style w:type="paragraph" w:customStyle="1" w:styleId="9EB1C7A67E1848FC91B3982297977062">
    <w:name w:val="9EB1C7A67E1848FC91B3982297977062"/>
    <w:rsid w:val="00462D45"/>
  </w:style>
  <w:style w:type="paragraph" w:customStyle="1" w:styleId="3FA48F0597DF438191C891816F39D947">
    <w:name w:val="3FA48F0597DF438191C891816F39D947"/>
    <w:rsid w:val="00462D45"/>
  </w:style>
  <w:style w:type="paragraph" w:customStyle="1" w:styleId="08AE4F4880634908A9400CBCE24907E0">
    <w:name w:val="08AE4F4880634908A9400CBCE24907E0"/>
    <w:rsid w:val="00462D45"/>
  </w:style>
  <w:style w:type="paragraph" w:customStyle="1" w:styleId="9C60264120CF469B848DE7857E47D522">
    <w:name w:val="9C60264120CF469B848DE7857E47D522"/>
    <w:rsid w:val="00462D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A4731-6107-4342-9787-4B0EA7CDE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3023</Words>
  <Characters>17234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Provider Information Integration and Verification Services</vt:lpstr>
    </vt:vector>
  </TitlesOfParts>
  <Company>Access</Company>
  <LinksUpToDate>false</LinksUpToDate>
  <CharactersWithSpaces>20217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Provider Information Integration and Verification Services</dc:title>
  <dc:subject>CredAxis Product</dc:subject>
  <dc:creator>Nitesh Suresh</dc:creator>
  <cp:keywords/>
  <dc:description/>
  <cp:lastModifiedBy>Shankhdhar</cp:lastModifiedBy>
  <cp:revision>28</cp:revision>
  <cp:lastPrinted>2016-07-27T14:22:00Z</cp:lastPrinted>
  <dcterms:created xsi:type="dcterms:W3CDTF">2016-07-28T06:22:00Z</dcterms:created>
  <dcterms:modified xsi:type="dcterms:W3CDTF">2016-08-02T05:18:00Z</dcterms:modified>
</cp:coreProperties>
</file>