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oboto Serif" w:cs="Roboto Serif" w:eastAsia="Roboto Serif" w:hAnsi="Roboto Serif"/>
          <w:color w:val="000000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30"/>
          <w:szCs w:val="30"/>
          <w:rtl w:val="0"/>
        </w:rPr>
        <w:t xml:space="preserve">Full Audit Archive – Chiron Accessibility Support Assistant v1.0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Prompt Name: Chiron – Accessibility Support &amp; Audit Assistant v1.0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Author: A.H. Faria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Fulfillment Testing &amp; Safety Review: Atlas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Ethics Review: Jiminy Cricket Protocol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Finalized: June 2025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Audit Archive Compiled: June 09, 2025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1. Capability Audit (Atlas)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Web Access: Not Required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 simulation or memory features used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Fully functional in plain-text, single-session environments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Multi-step logic is triggered by user input only</w:t>
      </w:r>
    </w:p>
    <w:p w:rsidR="00000000" w:rsidDel="00000000" w:rsidP="00000000" w:rsidRDefault="00000000" w:rsidRPr="00000000" w14:paraId="00000010">
      <w:pPr>
        <w:pStyle w:val="Heading2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2. UX Walkthrough (Atlas)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Intro prompt is optional and only shown once per session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One-mode-at-a-time architecture prevents overload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Clear entry/exit instructions for Support, Audit, and Ethics modes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Alt text guidance and plain language framing verified</w:t>
      </w:r>
    </w:p>
    <w:p w:rsidR="00000000" w:rsidDel="00000000" w:rsidP="00000000" w:rsidRDefault="00000000" w:rsidRPr="00000000" w14:paraId="00000015">
      <w:pPr>
        <w:pStyle w:val="Heading2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3. Ethics Review (Jiminy Cricket Protocol)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 simulation, no sentiment scoring, and no overreach detected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Dignity-based design confirmed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 moralizing tone or productivity bias present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Risk warnings and platform-specific notes clearly disclosed</w:t>
      </w:r>
    </w:p>
    <w:p w:rsidR="00000000" w:rsidDel="00000000" w:rsidP="00000000" w:rsidRDefault="00000000" w:rsidRPr="00000000" w14:paraId="0000001A">
      <w:pPr>
        <w:pStyle w:val="Heading2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4. Token Budget Audit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Estimated Total Token Load: ~3,700 tokens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Within GPT-3.5 (4,096 token limit) and GPT-4 context window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Optimized for minimal redundancy and clean session pacing</w:t>
      </w:r>
    </w:p>
    <w:p w:rsidR="00000000" w:rsidDel="00000000" w:rsidP="00000000" w:rsidRDefault="00000000" w:rsidRPr="00000000" w14:paraId="0000001E">
      <w:pPr>
        <w:pStyle w:val="Heading2"/>
        <w:rPr>
          <w:rFonts w:ascii="Roboto Serif" w:cs="Roboto Serif" w:eastAsia="Roboto Serif" w:hAnsi="Roboto Serif"/>
          <w:color w:val="000000"/>
          <w:sz w:val="22"/>
          <w:szCs w:val="22"/>
        </w:rPr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5. Fulfillment Ratings Rubric (Declared Scope)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WCAG Plain Language (Understandable): 5/5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WCAG Perceivable (Text Alternatives): 4/5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WCAG Operable (Keyboard &amp; Interface): 3/5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WCAG Robust (Assistive Tech Compatibility): 3/5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Dignity-Based Design: 5/5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Ethical AI Transparency: 5/5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Neurodivergent UX Safety: 5/5</w:t>
      </w:r>
    </w:p>
    <w:p w:rsidR="00000000" w:rsidDel="00000000" w:rsidP="00000000" w:rsidRDefault="00000000" w:rsidRPr="00000000" w14:paraId="0000002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Rating Scale:</w:t>
      </w:r>
    </w:p>
    <w:p w:rsidR="00000000" w:rsidDel="00000000" w:rsidP="00000000" w:rsidRDefault="00000000" w:rsidRPr="00000000" w14:paraId="0000002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 – Mentioned but unsupported</w:t>
      </w:r>
    </w:p>
    <w:p w:rsidR="00000000" w:rsidDel="00000000" w:rsidP="00000000" w:rsidRDefault="00000000" w:rsidRPr="00000000" w14:paraId="0000002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 – Minimally addressed</w:t>
      </w:r>
    </w:p>
    <w:p w:rsidR="00000000" w:rsidDel="00000000" w:rsidP="00000000" w:rsidRDefault="00000000" w:rsidRPr="00000000" w14:paraId="0000002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3 – Generally acknowledged with meaningful questions or framing</w:t>
      </w:r>
    </w:p>
    <w:p w:rsidR="00000000" w:rsidDel="00000000" w:rsidP="00000000" w:rsidRDefault="00000000" w:rsidRPr="00000000" w14:paraId="0000002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4 – Supported within prompt text and assistant behavior</w:t>
      </w:r>
    </w:p>
    <w:p w:rsidR="00000000" w:rsidDel="00000000" w:rsidP="00000000" w:rsidRDefault="00000000" w:rsidRPr="00000000" w14:paraId="0000002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5 – Fully supported within declared limits</w:t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LnKi3dmi7cmEDl8Ecg4CNrZeBQ==">CgMxLjA4AHIhMTI4djAzdTVCek9PWUw1Um1DOWtwaFFSbTR0aHVCVnRv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