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Minerva Suite – Minnie Basic v3.5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A.H. Faria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Fulfillment Testing &amp; Safety Review: Atlas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Finalized: April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0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Legal &amp; Copyright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Prompt Name: Minnie Basic – Focus Assistant (Core Mode)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Version: v3.5 – Accessibility-Friendly Edition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Author: A.H. Faria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Copyright © 2025 A.H. Faria &amp; Byte. All rights reserved.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prompt and its associated documentation were collaboratively created by A.H. Faria and Byte – AI Assistant. It is designed as an accessibility-safe support tool for neurodivergent users within the limitations of ChatGPT Basic (GPT-3.5).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Usage Terms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 may: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Use the prompt personally or within your own ChatGPT session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Share the prompt as part of an educational or accessibility case study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Include it in public prompt portfolios with appropriate attribution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You may not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Resell, redistribute, or rebrand this prompt as your 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Integrate into commercial products, apps, or paid productivity tools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Use this assistant for diagnostic, therapeutic, or institutional purposes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Required Attribution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Created by A.H. Faria in collaboration with Byte – AI Assistant, powered by ChatGPT.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line must be included wherever the prompt or its components are publicly referenced, shared, or published.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Disclaimer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Minnie Basic is a conversational support tool. It does not include reminders, persistent memory, task tracking, or real-time interaction. It is not intended as a substitute for therapy, coaching, or medical services. All dashboards, summaries, and behavior responses are simulated and occur only within the scope of the current session.</w:t>
        <w:br w:type="textWrapping"/>
        <w:br w:type="textWrapping"/>
        <w:t xml:space="preserve">Users are responsible for saving their chat content, as nothing is retained between sessions.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 Use Notice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prompt is designed for use only within ChatGPT. It may not function as intended on other AI platforms. No portion of this assistant stores, tracks, or transmits personal data.</w:t>
        <w:br w:type="textWrapping"/>
        <w:br w:type="textWrapping"/>
        <w:t xml:space="preserve">Redistribution is permitted with proper credit. Unauthorized commercial use is prohibited.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