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Minerva Suite – Minerva Pro v3.5 Metadata &amp; Version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Fulfillment Testing &amp; Safety Review: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12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Metadata &amp; Version History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Version: v3.5 – Compatibility Compliant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Prompt Status: Finalized and 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Audit Rating: A+ (Ethical Use, Non-Automated, Compliant with EU AI 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Included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Final Prompt</w:t>
        <w:br w:type="textWrapping"/>
        <w:t xml:space="preserve">• Capability Audit</w:t>
        <w:br w:type="textWrapping"/>
        <w:t xml:space="preserve">• Full Audit Report</w:t>
        <w:br w:type="textWrapping"/>
        <w:t xml:space="preserve">• Professional Summary</w:t>
        <w:br w:type="textWrapping"/>
        <w:t xml:space="preserve">• Change Log</w:t>
        <w:br w:type="textWrapping"/>
        <w:t xml:space="preserve">• Prompt Summary Sheet</w:t>
        <w:br w:type="textWrapping"/>
        <w:t xml:space="preserve">• Legal &amp; Copyright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files use the approved formatting standard established for prompt portfolio deliverables.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