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Times New Roman" w:cs="Times New Roman" w:eastAsia="Times New Roman" w:hAnsi="Times New Roman"/>
          <w:sz w:val="20"/>
          <w:szCs w:val="20"/>
        </w:rPr>
        <w:t xml:space="preserve">Ingeniería en Software y Tecnologías Emergentes</w:t>
      </w:r>
    </w:p>
    <w:p>
      <w:pPr>
        <w:spacing w:after="400"/>
        <w:jc w:val="right"/>
      </w:pPr>
      <w:r>
        <w:rPr>
          <w:rFonts w:ascii="Times New Roman" w:cs="Times New Roman" w:eastAsia="Times New Roman" w:hAnsi="Times New Roman"/>
          <w:sz w:val="20"/>
          <w:szCs w:val="20"/>
        </w:rPr>
        <w:t xml:space="preserve">Manual de talleres de la materia Tecnologías Emergentes para el Desarrollo de Soluciones</w:t>
      </w:r>
    </w:p>
    <w:p>
      <w:pPr>
        <w:spacing w:after="120"/>
        <w:jc w:val="center"/>
      </w:pPr>
      <w:r>
        <w:rPr>
          <w:rFonts w:ascii="Times New Roman" w:cs="Times New Roman" w:eastAsia="Times New Roman" w:hAnsi="Times New Roman"/>
          <w:b/>
          <w:bCs/>
          <w:sz w:val="30"/>
          <w:szCs w:val="30"/>
        </w:rPr>
        <w:t xml:space="preserve">Universidad Autónoma de Baja California</w:t>
      </w:r>
    </w:p>
    <w:p>
      <w:pPr>
        <w:spacing w:after="400"/>
        <w:jc w:val="center"/>
      </w:pPr>
      <w:r>
        <w:rPr>
          <w:rFonts w:ascii="Times New Roman" w:cs="Times New Roman" w:eastAsia="Times New Roman" w:hAnsi="Times New Roman"/>
          <w:sz w:val="26"/>
          <w:szCs w:val="26"/>
        </w:rPr>
        <w:t xml:space="preserve">(Facultad de Ingeniería, Arquitectura y Diseño)</w:t>
      </w:r>
    </w:p>
    <w:p>
      <w:pPr>
        <w:spacing w:after="500"/>
        <w:jc w:val="center"/>
      </w:pPr>
      <w:r>
        <w:drawing>
          <wp:inline distT="0" distB="0" distL="0" distR="0">
            <wp:extent cx="1428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24050"/>
                    </a:xfrm>
                    <a:prstGeom prst="rect">
                      <a:avLst/>
                    </a:prstGeom>
                  </pic:spPr>
                </pic:pic>
              </a:graphicData>
            </a:graphic>
          </wp:inline>
        </w:drawing>
      </w:r>
      <w:r>
        <w:t xml:space="preserve">   </w:t>
      </w:r>
      <w:r>
        <w:drawing>
          <wp:inline distT="0" distB="0" distL="0" distR="0">
            <wp:extent cx="14287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52625"/>
                    </a:xfrm>
                    <a:prstGeom prst="rect">
                      <a:avLst/>
                    </a:prstGeom>
                  </pic:spPr>
                </pic:pic>
              </a:graphicData>
            </a:graphic>
          </wp:inline>
        </w:drawing>
      </w:r>
    </w:p>
    <w:p>
      <w:pPr>
        <w:spacing w:after="260"/>
        <w:jc w:val="center"/>
      </w:pPr>
      <w:r>
        <w:rPr>
          <w:rFonts w:ascii="Times New Roman" w:cs="Times New Roman" w:eastAsia="Times New Roman" w:hAnsi="Times New Roman"/>
          <w:sz w:val="24"/>
          <w:szCs w:val="24"/>
        </w:rPr>
        <w:t xml:space="preserve">Materia: </w:t>
      </w:r>
      <w:r>
        <w:rPr>
          <w:rFonts w:ascii="Times New Roman" w:cs="Times New Roman" w:eastAsia="Times New Roman" w:hAnsi="Times New Roman"/>
          <w:b/>
          <w:bCs/>
          <w:sz w:val="24"/>
          <w:szCs w:val="24"/>
        </w:rPr>
        <w:t xml:space="preserve">Tecnologías Emergentes para el Desarrollo de Soluciones</w:t>
      </w:r>
    </w:p>
    <w:p>
      <w:pPr>
        <w:spacing w:after="260"/>
        <w:jc w:val="center"/>
      </w:pPr>
      <w:r>
        <w:rPr>
          <w:rFonts w:ascii="Times New Roman" w:cs="Times New Roman" w:eastAsia="Times New Roman" w:hAnsi="Times New Roman"/>
          <w:sz w:val="24"/>
          <w:szCs w:val="24"/>
        </w:rPr>
        <w:t xml:space="preserve">Profesor(a): </w:t>
      </w:r>
      <w:r>
        <w:rPr>
          <w:rFonts w:ascii="Times New Roman" w:cs="Times New Roman" w:eastAsia="Times New Roman" w:hAnsi="Times New Roman"/>
          <w:b/>
          <w:bCs/>
          <w:sz w:val="24"/>
          <w:szCs w:val="24"/>
        </w:rPr>
        <w:t xml:space="preserve">Antonio de Jesús García Chávez</w:t>
      </w:r>
    </w:p>
    <w:p>
      <w:pPr>
        <w:spacing w:after="60"/>
        <w:jc w:val="center"/>
      </w:pPr>
      <w:r>
        <w:rPr>
          <w:rFonts w:ascii="Times New Roman" w:cs="Times New Roman" w:eastAsia="Times New Roman" w:hAnsi="Times New Roman"/>
          <w:sz w:val="24"/>
          <w:szCs w:val="24"/>
        </w:rPr>
        <w:t xml:space="preserve">Tipo de Trabajo: </w:t>
      </w:r>
      <w:r>
        <w:rPr>
          <w:rFonts w:ascii="Times New Roman" w:cs="Times New Roman" w:eastAsia="Times New Roman" w:hAnsi="Times New Roman"/>
          <w:b/>
          <w:bCs/>
          <w:sz w:val="24"/>
          <w:szCs w:val="24"/>
        </w:rPr>
        <w:t xml:space="preserve">Avance de Proyecto No. 1</w:t>
      </w:r>
    </w:p>
    <w:p>
      <w:pPr>
        <w:spacing w:after="400"/>
        <w:jc w:val="center"/>
      </w:pPr>
      <w:r>
        <w:rPr>
          <w:rFonts w:ascii="Times New Roman" w:cs="Times New Roman" w:eastAsia="Times New Roman" w:hAnsi="Times New Roman"/>
          <w:b/>
          <w:bCs/>
          <w:sz w:val="24"/>
          <w:szCs w:val="24"/>
        </w:rPr>
        <w:t xml:space="preserve">“Casos de uso del sistema de parte digital”</w:t>
      </w:r>
    </w:p>
    <w:p>
      <w:pPr>
        <w:spacing w:after="160"/>
        <w:jc w:val="center"/>
      </w:pPr>
      <w:r>
        <w:rPr>
          <w:rFonts w:ascii="Times New Roman" w:cs="Times New Roman" w:eastAsia="Times New Roman" w:hAnsi="Times New Roman"/>
          <w:sz w:val="24"/>
          <w:szCs w:val="24"/>
        </w:rPr>
        <w:t xml:space="preserve">Alumnos:</w:t>
      </w:r>
    </w:p>
    <w:p>
      <w:pPr>
        <w:spacing w:after="100"/>
        <w:jc w:val="center"/>
      </w:pPr>
      <w:r>
        <w:rPr>
          <w:rFonts w:ascii="Times New Roman" w:cs="Times New Roman" w:eastAsia="Times New Roman" w:hAnsi="Times New Roman"/>
          <w:b/>
          <w:bCs/>
          <w:sz w:val="24"/>
          <w:szCs w:val="24"/>
        </w:rPr>
        <w:t xml:space="preserve">Ahhmed Affif Jalife Burgueño (376285)</w:t>
      </w:r>
    </w:p>
    <w:p>
      <w:pPr>
        <w:spacing w:after="100"/>
        <w:jc w:val="center"/>
      </w:pPr>
      <w:r>
        <w:rPr>
          <w:rFonts w:ascii="Times New Roman" w:cs="Times New Roman" w:eastAsia="Times New Roman" w:hAnsi="Times New Roman"/>
          <w:b/>
          <w:bCs/>
          <w:sz w:val="24"/>
          <w:szCs w:val="24"/>
        </w:rPr>
        <w:t xml:space="preserve">Elias Tamayo Salcedo (376290)</w:t>
      </w:r>
    </w:p>
    <w:p>
      <w:pPr>
        <w:spacing w:after="100"/>
        <w:jc w:val="center"/>
      </w:pPr>
      <w:r>
        <w:rPr>
          <w:rFonts w:ascii="Times New Roman" w:cs="Times New Roman" w:eastAsia="Times New Roman" w:hAnsi="Times New Roman"/>
          <w:b/>
          <w:bCs/>
          <w:sz w:val="24"/>
          <w:szCs w:val="24"/>
        </w:rPr>
        <w:t xml:space="preserve">Veronica Acevedo Carrillo (380207)</w:t>
      </w:r>
    </w:p>
    <w:p>
      <w:pPr>
        <w:spacing w:after="100"/>
        <w:jc w:val="center"/>
      </w:pPr>
      <w:r>
        <w:rPr>
          <w:rFonts w:ascii="Times New Roman" w:cs="Times New Roman" w:eastAsia="Times New Roman" w:hAnsi="Times New Roman"/>
          <w:b/>
          <w:bCs/>
          <w:sz w:val="24"/>
          <w:szCs w:val="24"/>
        </w:rPr>
        <w:t xml:space="preserve">Josselyn Alexa Rivera Chavez (379219)</w:t>
      </w:r>
    </w:p>
    <w:p>
      <w:pPr>
        <w:spacing w:after="100"/>
        <w:jc w:val="center"/>
      </w:pPr>
      <w:r>
        <w:rPr>
          <w:rFonts w:ascii="Times New Roman" w:cs="Times New Roman" w:eastAsia="Times New Roman" w:hAnsi="Times New Roman"/>
          <w:b/>
          <w:bCs/>
          <w:sz w:val="24"/>
          <w:szCs w:val="24"/>
        </w:rPr>
        <w:t xml:space="preserve">Arturo Rafael Cornejo Escobar (365239)</w:t>
      </w:r>
    </w:p>
    <w:p>
      <w:pPr>
        <w:spacing w:after="300"/>
      </w:pPr>
    </w:p>
    <w:p>
      <w:pPr>
        <w:spacing w:after="260"/>
        <w:jc w:val="center"/>
      </w:pPr>
      <w:r>
        <w:rPr>
          <w:rFonts w:ascii="Times New Roman" w:cs="Times New Roman" w:eastAsia="Times New Roman" w:hAnsi="Times New Roman"/>
          <w:sz w:val="24"/>
          <w:szCs w:val="24"/>
        </w:rPr>
        <w:t xml:space="preserve">Fecha: </w:t>
      </w:r>
      <w:r>
        <w:rPr>
          <w:rFonts w:ascii="Times New Roman" w:cs="Times New Roman" w:eastAsia="Times New Roman" w:hAnsi="Times New Roman"/>
          <w:b/>
          <w:bCs/>
          <w:sz w:val="24"/>
          <w:szCs w:val="24"/>
        </w:rPr>
        <w:t xml:space="preserve">08 de Septiembre del 2026</w:t>
      </w:r>
    </w:p>
    <w:p>
      <w:r>
        <w:br w:type="page"/>
      </w:r>
    </w:p>
    <w:p>
      <w:pPr>
        <w:spacing w:after="200" w:line="276"/>
        <w:jc w:val="both"/>
      </w:pPr>
      <w:r>
        <w:rPr>
          <w:rFonts w:ascii="Times New Roman" w:cs="Times New Roman" w:eastAsia="Times New Roman" w:hAnsi="Times New Roman"/>
          <w:b/>
          <w:bCs/>
          <w:i w:val="false"/>
          <w:iCs w:val="false"/>
          <w:sz w:val="22"/>
          <w:szCs w:val="22"/>
        </w:rPr>
        <w:t xml:space="preserve">Objetivo: </w:t>
      </w:r>
      <w:r>
        <w:rPr>
          <w:rFonts w:ascii="Times New Roman" w:cs="Times New Roman" w:eastAsia="Times New Roman" w:hAnsi="Times New Roman"/>
          <w:b w:val="false"/>
          <w:bCs w:val="false"/>
          <w:i w:val="false"/>
          <w:iCs w:val="false"/>
          <w:sz w:val="22"/>
          <w:szCs w:val="22"/>
        </w:rPr>
        <w:t xml:space="preserve">Modelar en UML los actores, los casos de uso y los requerimientos funcionales del sistema de parte digital para los Bomberos de Ensenada, como avance previo a la investigación de usuarios y al diseño de la interfaz.</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Introducción</w:t>
      </w:r>
    </w:p>
    <w:p>
      <w:pPr>
        <w:spacing w:after="200" w:line="276"/>
        <w:jc w:val="both"/>
      </w:pPr>
      <w:r>
        <w:rPr>
          <w:rFonts w:ascii="Times New Roman" w:cs="Times New Roman" w:eastAsia="Times New Roman" w:hAnsi="Times New Roman"/>
          <w:sz w:val="22"/>
          <w:szCs w:val="22"/>
        </w:rPr>
        <w:t xml:space="preserve">Este documento es el primer avance del proyecto del curso. En la entrega anterior se definió el problema y se elaboró el plan de obtención de datos de usuarios; aquí se traduce ese planteamiento a un modelo de casos de uso en UML, que es la forma habitual de fijar qué debe hacer un sistema antes de escribir código.</w:t>
      </w:r>
    </w:p>
    <w:p>
      <w:pPr>
        <w:spacing w:after="200" w:line="276"/>
        <w:jc w:val="both"/>
      </w:pPr>
      <w:r>
        <w:rPr>
          <w:rFonts w:ascii="Times New Roman" w:cs="Times New Roman" w:eastAsia="Times New Roman" w:hAnsi="Times New Roman"/>
          <w:sz w:val="22"/>
          <w:szCs w:val="22"/>
        </w:rPr>
        <w:t xml:space="preserve">Se eligió el diagrama de casos de uso porque describe el sistema desde afuera: quién lo usa y qué puede lograr con él, sin comprometerse todavía con pantallas, tecnologías ni estructura de datos. En Larman (2004) se señala que los casos de uso sirven sobre todo para acordar el alcance con quienes van a usar el sistema, y no como un artefacto de diseño interno; esa es exactamente la etapa en la que está el proyecto. La notación empleada es la de UML 2.5.1, la versión vigente del estándar publicado por el Object Management Group.</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Alcance de este avance</w:t>
      </w:r>
    </w:p>
    <w:p>
      <w:pPr>
        <w:spacing w:after="200" w:line="276"/>
        <w:jc w:val="both"/>
      </w:pPr>
      <w:r>
        <w:rPr>
          <w:rFonts w:ascii="Times New Roman" w:cs="Times New Roman" w:eastAsia="Times New Roman" w:hAnsi="Times New Roman"/>
          <w:sz w:val="22"/>
          <w:szCs w:val="22"/>
        </w:rPr>
        <w:t xml:space="preserve">Conviene delimitar qué contiene y qué no contiene este avance, para que se lea con la expectativa correcta.</w:t>
      </w:r>
    </w:p>
    <w:p>
      <w:pPr>
        <w:spacing w:after="200" w:line="276"/>
        <w:jc w:val="both"/>
      </w:pPr>
      <w:r>
        <w:rPr>
          <w:rFonts w:ascii="Times New Roman" w:cs="Times New Roman" w:eastAsia="Times New Roman" w:hAnsi="Times New Roman"/>
          <w:b/>
          <w:bCs/>
          <w:i w:val="false"/>
          <w:iCs w:val="false"/>
          <w:sz w:val="22"/>
          <w:szCs w:val="22"/>
        </w:rPr>
        <w:t xml:space="preserve">Sí se incluye: </w:t>
      </w:r>
      <w:r>
        <w:rPr>
          <w:rFonts w:ascii="Times New Roman" w:cs="Times New Roman" w:eastAsia="Times New Roman" w:hAnsi="Times New Roman"/>
          <w:b w:val="false"/>
          <w:bCs w:val="false"/>
          <w:i w:val="false"/>
          <w:iCs w:val="false"/>
          <w:sz w:val="22"/>
          <w:szCs w:val="22"/>
        </w:rPr>
        <w:t xml:space="preserve">el marco de trabajo empleado, los actores del sistema, el diagrama general de casos de uso, un diagrama por cada actor, la tabla de requerimientos funcionales derivada de esos casos, una primera lista de requerimientos no funcionales, el mapeo de cada caso de uso a su pantalla y tres diagramas de actividad para los flujos críticos.</w:t>
      </w:r>
    </w:p>
    <w:p>
      <w:pPr>
        <w:spacing w:after="200" w:line="276"/>
        <w:jc w:val="both"/>
      </w:pPr>
      <w:r>
        <w:rPr>
          <w:rFonts w:ascii="Times New Roman" w:cs="Times New Roman" w:eastAsia="Times New Roman" w:hAnsi="Times New Roman"/>
          <w:b/>
          <w:bCs/>
          <w:i w:val="false"/>
          <w:iCs w:val="false"/>
          <w:sz w:val="22"/>
          <w:szCs w:val="22"/>
        </w:rPr>
        <w:t xml:space="preserve">No se incluye todavía: </w:t>
      </w:r>
      <w:r>
        <w:rPr>
          <w:rFonts w:ascii="Times New Roman" w:cs="Times New Roman" w:eastAsia="Times New Roman" w:hAnsi="Times New Roman"/>
          <w:b w:val="false"/>
          <w:bCs w:val="false"/>
          <w:i w:val="false"/>
          <w:iCs w:val="false"/>
          <w:sz w:val="22"/>
          <w:szCs w:val="22"/>
        </w:rPr>
        <w:t xml:space="preserve">entrevistas ni observación con bomberos reales, empathy maps, segmentación de usuarios, arquitectura de la información y prototipo navegable. El mockup de la aplicación ya está construido y publicado; las capturas de cada pantalla se integran a este mismo documento antes de la entrega final.</w:t>
      </w:r>
    </w:p>
    <w:p>
      <w:pPr>
        <w:spacing w:after="200" w:line="276"/>
        <w:jc w:val="both"/>
      </w:pPr>
      <w:r>
        <w:rPr>
          <w:rFonts w:ascii="Times New Roman" w:cs="Times New Roman" w:eastAsia="Times New Roman" w:hAnsi="Times New Roman"/>
          <w:sz w:val="22"/>
          <w:szCs w:val="22"/>
        </w:rPr>
        <w:t xml:space="preserve">Es importante ser explícito en un punto: los casos de uso de este avance provienen de los supuestos registrados en el plan de aprendizaje de la entrega anterior, no de evidencia recogida en campo. Varios de esos supuestos están marcados ahí con certeza media o baja, por ejemplo que el jefe de turno revisa el parte antes de archivarlo o que los reportes se llenan al final del turno. El modelo funciona entonces como una hipótesis de trabajo que las entrevistas deberán confirmar, ajustar o descartar.</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Descripción del problema</w:t>
      </w:r>
    </w:p>
    <w:p>
      <w:pPr>
        <w:spacing w:after="200" w:line="276"/>
        <w:jc w:val="both"/>
      </w:pPr>
      <w:r>
        <w:rPr>
          <w:rFonts w:ascii="Times New Roman" w:cs="Times New Roman" w:eastAsia="Times New Roman" w:hAnsi="Times New Roman"/>
          <w:sz w:val="22"/>
          <w:szCs w:val="22"/>
        </w:rPr>
        <w:t xml:space="preserve">Los bomberos de Ensenada documentan a mano un reporte por cada emergencia atendida. Como el personal permanece ocupado durante toda la jornada, los reportes se acumulan y, además, alguien debe trasladar físicamente la papelería hasta la dirección de bomberos para entregarla. El proyecto propone una aplicación web que permita capturar el parte desde el navegador —en el celular del bombero o en la computadora de la estación— y enviarlo de forma digital.</w:t>
      </w:r>
    </w:p>
    <w:p>
      <w:pPr>
        <w:spacing w:after="200" w:line="276"/>
        <w:jc w:val="both"/>
      </w:pPr>
      <w:r>
        <w:rPr>
          <w:rFonts w:ascii="Times New Roman" w:cs="Times New Roman" w:eastAsia="Times New Roman" w:hAnsi="Times New Roman"/>
          <w:sz w:val="22"/>
          <w:szCs w:val="22"/>
        </w:rPr>
        <w:t xml:space="preserve">Sobre esa base se agregan dos elementos que dan cuerpo tecnológico al proyecto. El primero es la firma del parte mediante autenticación con clave pública en el propio dispositivo, siguiendo el estándar WebAuthn del W3C, que sustituye la firma de puño y letra sin perder la trazabilidad de quién elaboró el reporte. El segundo es la generación automática de un croquis esquemático de la escena a partir de la descripción escrita por el bombero, apoyada en la salida estructurada en JSON que ofrece la API de Gemini.</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Marco de trabajo empleado</w:t>
      </w:r>
    </w:p>
    <w:p>
      <w:pPr>
        <w:spacing w:after="200" w:line="276"/>
        <w:jc w:val="both"/>
      </w:pPr>
      <w:r>
        <w:rPr>
          <w:rFonts w:ascii="Times New Roman" w:cs="Times New Roman" w:eastAsia="Times New Roman" w:hAnsi="Times New Roman"/>
          <w:sz w:val="22"/>
          <w:szCs w:val="22"/>
        </w:rPr>
        <w:t xml:space="preserve">El avance combina dos marcos distintos, uno para levantar los requerimientos y otro para modelarlos. No son intercambiables: el primero produce la materia prima y el segundo le da forma. La Tabla 1 resume qué se usó en cada etapa y en qué estado se encuentra.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400"/>
        <w:gridCol w:w="1960"/>
      </w:tblGrid>
      <w:tr>
        <w:trPr>
          <w:cantSplit/>
          <w:tblHeader/>
        </w:trPr>
        <w:tc>
          <w:tcPr>
            <w:tcW w:type="dxa" w:w="17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Etapa</w:t>
            </w:r>
          </w:p>
        </w:tc>
        <w:tc>
          <w:tcPr>
            <w:tcW w:type="dxa" w:w="23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Marco o técnica</w:t>
            </w:r>
          </w:p>
        </w:tc>
        <w:tc>
          <w:tcPr>
            <w:tcW w:type="dxa" w:w="34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Qué produce</w:t>
            </w:r>
          </w:p>
        </w:tc>
        <w:tc>
          <w:tcPr>
            <w:tcW w:type="dxa" w:w="19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Estado</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Ingeniería Centrada en el Humano (unidad del curso)</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Enfoque general: el requerimiento se descubre con el usuario, no se declara desde el escritorio.</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En curso</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Learning Plan (plan de aprendizaje)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Tabla de creencias y supuestos con nivel de certeza, lo que falta saber y la evidencia esperada de cada uno.</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Elaborado en la Tarea 2</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Preguntas de investigación en cuatro bloques: exploratorias, descriptivas, explicativas y relacionales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Guion de entrevista de 16 preguntas para bomberos operativos y mandos.</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Elaborado, sin aplicar</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Needfinding / Iceberg de necesidades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Separación entre necesidades obvias y ocultas a partir de la observación directa.</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Pendiente</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Modelado</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UML 2.5.1, diagrama de casos de uso</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Actores, casos de uso, frontera del sistema y relaciones «include» y «extend».</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Aplicado (figuras 1 a 4)</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Modelado</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UML 2.5.1, diagrama de actividad</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Flujo paso a paso, con decisiones y caminos alternos, de los casos de uso críticos.</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Aplicado (figuras 5 a 7)</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Modelado</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Casos de uso como fuente de requerimientos, según Larman</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Traducción de cada caso de uso a un requerimiento funcional numerado y rastreable.</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Aplicado (Tabla 2)</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Diseño de interfaz</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Mockup de baja fidelidad</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Una pantalla por caso de uso, construida en HTML y CSS y publicada en la web.</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Aplicado (figuras 8.1 a 8.6b)</w:t>
            </w:r>
          </w:p>
        </w:tc>
      </w:tr>
    </w:tbl>
    <w:p>
      <w:pPr>
        <w:spacing w:after="200" w:line="276"/>
        <w:jc w:val="both"/>
      </w:pPr>
      <w:r>
        <w:rPr>
          <w:rFonts w:ascii="Times New Roman" w:cs="Times New Roman" w:eastAsia="Times New Roman" w:hAnsi="Times New Roman"/>
          <w:sz w:val="22"/>
          <w:szCs w:val="22"/>
        </w:rPr>
        <w:t xml:space="preserve">La decisión de fondo es que el modelo se construyó de los supuestos hacia el diagrama, y no al revés: cada supuesto del plan de aprendizaje se convirtió en un caso de uso o en un requerimiento no funcional. Por eso el modelo puede cambiar cuando lleguen las entrevistas.</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Actores del sistema</w:t>
      </w:r>
    </w:p>
    <w:p>
      <w:pPr>
        <w:spacing w:after="200" w:line="276"/>
        <w:jc w:val="both"/>
      </w:pPr>
      <w:r>
        <w:rPr>
          <w:rFonts w:ascii="Times New Roman" w:cs="Times New Roman" w:eastAsia="Times New Roman" w:hAnsi="Times New Roman"/>
          <w:sz w:val="22"/>
          <w:szCs w:val="22"/>
        </w:rPr>
        <w:t xml:space="preserve">Se identificaron cuatro actores: tres personas y un sistema externo. En UML ambos se representan igual, porque lo que define a un actor es que quede fuera de la frontera del sistema. La Tabla 2 los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cantSplit/>
          <w:tblHeader/>
        </w:trPr>
        <w:tc>
          <w:tcPr>
            <w:tcW w:type="dxa" w:w="17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Actor</w:t>
            </w:r>
          </w:p>
        </w:tc>
        <w:tc>
          <w:tcPr>
            <w:tcW w:type="dxa" w:w="13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Tipo</w:t>
            </w:r>
          </w:p>
        </w:tc>
        <w:tc>
          <w:tcPr>
            <w:tcW w:type="dxa" w:w="63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Papel en el sistema</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 operativo</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Principal</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Captura el parte en el lugar de la emergencia, adjunta evidencia y firma el envío.</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Jefe de turno</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Principal</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 los partes recibidos: los valida o los devuelve con una nota de corrección.</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Personal de la Dirección</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Principal</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 filtra y exporta los partes validados. No captura información.</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Servicio de IA</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Secundario (externo)</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Devuelve los elementos del croquis a partir de la descripción.</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Diagrama general de casos de uso</w:t>
      </w:r>
    </w:p>
    <w:p>
      <w:pPr>
        <w:spacing w:after="200" w:line="276"/>
        <w:jc w:val="both"/>
      </w:pPr>
      <w:r>
        <w:rPr>
          <w:rFonts w:ascii="Times New Roman" w:cs="Times New Roman" w:eastAsia="Times New Roman" w:hAnsi="Times New Roman"/>
          <w:sz w:val="22"/>
          <w:szCs w:val="22"/>
        </w:rPr>
        <w:t xml:space="preserve">La Figura 1 muestra el sistema completo con sus cuatro actores. El rectángulo punteado es la frontera del sistema: todo lo que está dentro es responsabilidad del software y todo lo que está fuera interactúa con él.</w:t>
      </w:r>
    </w:p>
    <w:p>
      <w:pPr>
        <w:spacing w:after="120" w:before="120"/>
        <w:jc w:val="center"/>
      </w:pPr>
      <w:r>
        <w:drawing>
          <wp:inline distT="0" distB="0" distL="0" distR="0">
            <wp:extent cx="5524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8863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1. Diagrama general de casos de uso del sistema.</w:t>
      </w:r>
    </w:p>
    <w:p>
      <w:pPr>
        <w:spacing w:after="200" w:line="276"/>
        <w:jc w:val="both"/>
      </w:pPr>
      <w:r>
        <w:rPr>
          <w:rFonts w:ascii="Times New Roman" w:cs="Times New Roman" w:eastAsia="Times New Roman" w:hAnsi="Times New Roman"/>
          <w:sz w:val="22"/>
          <w:szCs w:val="22"/>
        </w:rPr>
        <w:t xml:space="preserve">Dos relaciones entre casos de uso merecen una nota aparte; ambas están dibujadas en la Figura 1 como flechas punteadas, para no dejarlas solo en prosa:</w:t>
      </w:r>
    </w:p>
    <w:p>
      <w:pPr>
        <w:spacing w:after="200" w:line="276"/>
        <w:jc w:val="both"/>
      </w:pPr>
      <w:r>
        <w:rPr>
          <w:rFonts w:ascii="Times New Roman" w:cs="Times New Roman" w:eastAsia="Times New Roman" w:hAnsi="Times New Roman"/>
          <w:b/>
          <w:bCs/>
          <w:i w:val="false"/>
          <w:iCs w:val="false"/>
          <w:sz w:val="22"/>
          <w:szCs w:val="22"/>
        </w:rPr>
        <w:t xml:space="preserve">Generar croquis con IA </w:t>
      </w:r>
      <w:r>
        <w:rPr>
          <w:rFonts w:ascii="Times New Roman" w:cs="Times New Roman" w:eastAsia="Times New Roman" w:hAnsi="Times New Roman"/>
          <w:b w:val="false"/>
          <w:bCs w:val="false"/>
          <w:i w:val="false"/>
          <w:iCs w:val="false"/>
          <w:sz w:val="22"/>
          <w:szCs w:val="22"/>
        </w:rPr>
        <w:t xml:space="preserve">es una extensión («extend») de </w:t>
      </w:r>
      <w:r>
        <w:rPr>
          <w:rFonts w:ascii="Times New Roman" w:cs="Times New Roman" w:eastAsia="Times New Roman" w:hAnsi="Times New Roman"/>
          <w:b/>
          <w:bCs/>
          <w:i w:val="false"/>
          <w:iCs w:val="false"/>
          <w:sz w:val="22"/>
          <w:szCs w:val="22"/>
        </w:rPr>
        <w:t xml:space="preserve">Capturar parte</w:t>
      </w:r>
      <w:r>
        <w:rPr>
          <w:rFonts w:ascii="Times New Roman" w:cs="Times New Roman" w:eastAsia="Times New Roman" w:hAnsi="Times New Roman"/>
          <w:b w:val="false"/>
          <w:bCs w:val="false"/>
          <w:i w:val="false"/>
          <w:iCs w:val="false"/>
          <w:sz w:val="22"/>
          <w:szCs w:val="22"/>
        </w:rPr>
        <w:t xml:space="preserve">. Es opcional: si no hay señal o la interfaz de programación no responde, el parte se guarda de todos modos sin croquis.</w:t>
      </w:r>
    </w:p>
    <w:p>
      <w:pPr>
        <w:spacing w:after="200" w:line="276"/>
        <w:jc w:val="both"/>
      </w:pPr>
      <w:r>
        <w:rPr>
          <w:rFonts w:ascii="Times New Roman" w:cs="Times New Roman" w:eastAsia="Times New Roman" w:hAnsi="Times New Roman"/>
          <w:b/>
          <w:bCs/>
          <w:i w:val="false"/>
          <w:iCs w:val="false"/>
          <w:sz w:val="22"/>
          <w:szCs w:val="22"/>
        </w:rPr>
        <w:t xml:space="preserve">Firmar y enviar parte </w:t>
      </w:r>
      <w:r>
        <w:rPr>
          <w:rFonts w:ascii="Times New Roman" w:cs="Times New Roman" w:eastAsia="Times New Roman" w:hAnsi="Times New Roman"/>
          <w:b w:val="false"/>
          <w:bCs w:val="false"/>
          <w:i w:val="false"/>
          <w:iCs w:val="false"/>
          <w:sz w:val="22"/>
          <w:szCs w:val="22"/>
        </w:rPr>
        <w:t xml:space="preserve">incluye («include») a </w:t>
      </w:r>
      <w:r>
        <w:rPr>
          <w:rFonts w:ascii="Times New Roman" w:cs="Times New Roman" w:eastAsia="Times New Roman" w:hAnsi="Times New Roman"/>
          <w:b/>
          <w:bCs/>
          <w:i w:val="false"/>
          <w:iCs w:val="false"/>
          <w:sz w:val="22"/>
          <w:szCs w:val="22"/>
        </w:rPr>
        <w:t xml:space="preserve">Iniciar sesión</w:t>
      </w:r>
      <w:r>
        <w:rPr>
          <w:rFonts w:ascii="Times New Roman" w:cs="Times New Roman" w:eastAsia="Times New Roman" w:hAnsi="Times New Roman"/>
          <w:b w:val="false"/>
          <w:bCs w:val="false"/>
          <w:i w:val="false"/>
          <w:iCs w:val="false"/>
          <w:sz w:val="22"/>
          <w:szCs w:val="22"/>
        </w:rPr>
        <w:t xml:space="preserve">. La firma reutiliza la credencial creada al iniciar sesión, así que la autenticación es obligatoria en ese punto.</w:t>
      </w:r>
    </w:p>
    <w:p>
      <w:pPr>
        <w:spacing w:after="200" w:line="276"/>
        <w:jc w:val="both"/>
      </w:pPr>
      <w:r>
        <w:rPr>
          <w:rFonts w:ascii="Times New Roman" w:cs="Times New Roman" w:eastAsia="Times New Roman" w:hAnsi="Times New Roman"/>
          <w:sz w:val="22"/>
          <w:szCs w:val="22"/>
        </w:rPr>
        <w:t xml:space="preserve">Nota sobre el nivel de detalle: la Figura 1 agrupa dos de sus casos de uso a un nivel más general que las Figuras 2 a 4, para no repetir en el diagrama de contexto las mismas ramas que ya se muestran en los diagramas por actor. La Tabla siguiente hace explícita esa correspondencia; el resto de los casos de uso de la Figura 1 (Iniciar sesión, Adjuntar evidencia, Generar croquis con IA, Firmar y enviar parte, Consultar partes) conserva el mismo nombre en ambos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Caso de uso general (Figura 1)</w:t>
            </w:r>
          </w:p>
        </w:tc>
        <w:tc>
          <w:tcPr>
            <w:tcW w:type="dxa" w:w="65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Se detalla en (Figuras 2 a 4)</w:t>
            </w:r>
          </w:p>
        </w:tc>
      </w:tr>
      <w:tr>
        <w:trPr>
          <w:cantSplit w:val="false"/>
          <w:tblHeader w:val="false"/>
        </w:trP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Capturar parte</w:t>
            </w:r>
          </w:p>
        </w:tc>
        <w:tc>
          <w:tcPr>
            <w:tcW w:type="dxa" w:w="65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Crear un nuevo parte, Registrar la emergencia</w:t>
            </w:r>
          </w:p>
        </w:tc>
      </w:tr>
      <w:tr>
        <w:trPr>
          <w:cantSplit w:val="false"/>
          <w:tblHeader w:val="false"/>
        </w:trP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Validar parte</w:t>
            </w:r>
          </w:p>
        </w:tc>
        <w:tc>
          <w:tcPr>
            <w:tcW w:type="dxa" w:w="65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Revisar pendientes, Validar el parte, Devolver para corregir</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Casos de uso por actor</w:t>
      </w:r>
    </w:p>
    <w:p>
      <w:pPr>
        <w:spacing w:after="200" w:line="276"/>
        <w:jc w:val="both"/>
      </w:pPr>
      <w:r>
        <w:rPr>
          <w:rFonts w:ascii="Times New Roman" w:cs="Times New Roman" w:eastAsia="Times New Roman" w:hAnsi="Times New Roman"/>
          <w:sz w:val="22"/>
          <w:szCs w:val="22"/>
        </w:rPr>
        <w:t xml:space="preserve">Conviene separar el diagrama general por actor para ver con claridad el alcance de cada perfil. Las Figuras 2, 3 y 4 hacen esa separación, con el nivel de detalle señalado en la nota anterior.</w:t>
      </w:r>
    </w:p>
    <w:p>
      <w:pPr>
        <w:spacing w:after="140" w:before="260"/>
      </w:pPr>
      <w:r>
        <w:rPr>
          <w:rFonts w:ascii="Times New Roman" w:cs="Times New Roman" w:eastAsia="Times New Roman" w:hAnsi="Times New Roman"/>
          <w:b/>
          <w:bCs/>
          <w:color w:val="1F1F1F"/>
          <w:sz w:val="24"/>
          <w:szCs w:val="24"/>
        </w:rPr>
        <w:t xml:space="preserve">1. Bombero operativo</w:t>
      </w:r>
    </w:p>
    <w:p>
      <w:pPr>
        <w:spacing w:after="200" w:line="276"/>
        <w:jc w:val="both"/>
      </w:pPr>
      <w:r>
        <w:rPr>
          <w:rFonts w:ascii="Times New Roman" w:cs="Times New Roman" w:eastAsia="Times New Roman" w:hAnsi="Times New Roman"/>
          <w:sz w:val="22"/>
          <w:szCs w:val="22"/>
        </w:rPr>
        <w:t xml:space="preserve">Concentra casi todo el sistema porque es quien genera la información. El servicio de IA aparece a la derecha porque participa en un caso de uso pero no lo inicia.</w:t>
      </w:r>
    </w:p>
    <w:p>
      <w:pPr>
        <w:spacing w:after="120" w:before="120"/>
        <w:jc w:val="center"/>
      </w:pPr>
      <w:r>
        <w:drawing>
          <wp:inline distT="0" distB="0" distL="0" distR="0">
            <wp:extent cx="5524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95287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2. Casos de uso del bombero operativo.</w:t>
      </w:r>
    </w:p>
    <w:p>
      <w:pPr>
        <w:spacing w:after="140" w:before="260"/>
      </w:pPr>
      <w:r>
        <w:rPr>
          <w:rFonts w:ascii="Times New Roman" w:cs="Times New Roman" w:eastAsia="Times New Roman" w:hAnsi="Times New Roman"/>
          <w:b/>
          <w:bCs/>
          <w:color w:val="1F1F1F"/>
          <w:sz w:val="24"/>
          <w:szCs w:val="24"/>
        </w:rPr>
        <w:t xml:space="preserve">2. Jefe de turno</w:t>
      </w:r>
    </w:p>
    <w:p>
      <w:pPr>
        <w:spacing w:after="200" w:line="276"/>
        <w:jc w:val="both"/>
      </w:pPr>
      <w:r>
        <w:rPr>
          <w:rFonts w:ascii="Times New Roman" w:cs="Times New Roman" w:eastAsia="Times New Roman" w:hAnsi="Times New Roman"/>
          <w:b w:val="false"/>
          <w:bCs w:val="false"/>
          <w:i w:val="false"/>
          <w:iCs w:val="false"/>
          <w:sz w:val="22"/>
          <w:szCs w:val="22"/>
        </w:rPr>
        <w:t xml:space="preserve">Su papel es de control de calidad del parte. El bombero operativo aparece asociado a </w:t>
      </w:r>
      <w:r>
        <w:rPr>
          <w:rFonts w:ascii="Times New Roman" w:cs="Times New Roman" w:eastAsia="Times New Roman" w:hAnsi="Times New Roman"/>
          <w:b/>
          <w:bCs/>
          <w:i w:val="false"/>
          <w:iCs w:val="false"/>
          <w:sz w:val="22"/>
          <w:szCs w:val="22"/>
        </w:rPr>
        <w:t xml:space="preserve">Devolver para corregir</w:t>
      </w:r>
      <w:r>
        <w:rPr>
          <w:rFonts w:ascii="Times New Roman" w:cs="Times New Roman" w:eastAsia="Times New Roman" w:hAnsi="Times New Roman"/>
          <w:b w:val="false"/>
          <w:bCs w:val="false"/>
          <w:i w:val="false"/>
          <w:iCs w:val="false"/>
          <w:sz w:val="22"/>
          <w:szCs w:val="22"/>
        </w:rPr>
        <w:t xml:space="preserve"> porque es quien recibe el parte rechazado, y el personal de la Dirección aparece asociado a </w:t>
      </w:r>
      <w:r>
        <w:rPr>
          <w:rFonts w:ascii="Times New Roman" w:cs="Times New Roman" w:eastAsia="Times New Roman" w:hAnsi="Times New Roman"/>
          <w:b/>
          <w:bCs/>
          <w:i w:val="false"/>
          <w:iCs w:val="false"/>
          <w:sz w:val="22"/>
          <w:szCs w:val="22"/>
        </w:rPr>
        <w:t xml:space="preserve">Consultar partes</w:t>
      </w:r>
      <w:r>
        <w:rPr>
          <w:rFonts w:ascii="Times New Roman" w:cs="Times New Roman" w:eastAsia="Times New Roman" w:hAnsi="Times New Roman"/>
          <w:b w:val="false"/>
          <w:bCs w:val="false"/>
          <w:i w:val="false"/>
          <w:iCs w:val="false"/>
          <w:sz w:val="22"/>
          <w:szCs w:val="22"/>
        </w:rPr>
        <w:t xml:space="preserve"> porque es el mismo caso de uso que ya se veía en la Figura 1 y que se detalla en la Figura 4: el jefe de turno también usa esa pantalla para consultar el histórico de partes ya validados de su turno, no solo los pendientes de revisión.</w:t>
      </w:r>
    </w:p>
    <w:p>
      <w:pPr>
        <w:spacing w:after="120" w:before="120"/>
        <w:jc w:val="center"/>
      </w:pPr>
      <w:r>
        <w:drawing>
          <wp:inline distT="0" distB="0" distL="0" distR="0">
            <wp:extent cx="5524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0767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3. Casos de uso del jefe de turno.</w:t>
      </w:r>
    </w:p>
    <w:p>
      <w:pPr>
        <w:spacing w:after="140" w:before="260"/>
      </w:pPr>
      <w:r>
        <w:rPr>
          <w:rFonts w:ascii="Times New Roman" w:cs="Times New Roman" w:eastAsia="Times New Roman" w:hAnsi="Times New Roman"/>
          <w:b/>
          <w:bCs/>
          <w:color w:val="1F1F1F"/>
          <w:sz w:val="24"/>
          <w:szCs w:val="24"/>
        </w:rPr>
        <w:t xml:space="preserve">3. Personal de la Dirección</w:t>
      </w:r>
    </w:p>
    <w:p>
      <w:pPr>
        <w:spacing w:after="200" w:line="276"/>
        <w:jc w:val="both"/>
      </w:pPr>
      <w:r>
        <w:rPr>
          <w:rFonts w:ascii="Times New Roman" w:cs="Times New Roman" w:eastAsia="Times New Roman" w:hAnsi="Times New Roman"/>
          <w:sz w:val="22"/>
          <w:szCs w:val="22"/>
        </w:rPr>
        <w:t xml:space="preserve">Solo consume información. Es el actor que hoy recibe la papelería en físico: si puede consultar los partes en línea, desaparece el traslado.</w:t>
      </w:r>
    </w:p>
    <w:p>
      <w:pPr>
        <w:spacing w:after="120" w:before="120"/>
        <w:jc w:val="center"/>
      </w:pPr>
      <w:r>
        <w:drawing>
          <wp:inline distT="0" distB="0" distL="0" distR="0">
            <wp:extent cx="5524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8615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4. Casos de uso del personal de la Dirección.</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Requerimientos funcionales</w:t>
      </w:r>
    </w:p>
    <w:p>
      <w:pPr>
        <w:spacing w:after="200" w:line="276"/>
        <w:jc w:val="both"/>
      </w:pPr>
      <w:r>
        <w:rPr>
          <w:rFonts w:ascii="Times New Roman" w:cs="Times New Roman" w:eastAsia="Times New Roman" w:hAnsi="Times New Roman"/>
          <w:sz w:val="22"/>
          <w:szCs w:val="22"/>
        </w:rPr>
        <w:t xml:space="preserve">Un caso de uso y un requerimiento funcional son el mismo contenido en dos presentaciones: el primero lo cuenta desde el usuario y el segundo desde el sistema. La Tabla 3 traduce los casos de uso de las figuras anteriores a requerimientos numerados, para poder rastrear después cada función hasta su origen. Cada identificador se conserva en las entregas siguientes, de modo que un cambio en un caso de uso pueda seguirse hasta el requerimiento que afecta.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900"/>
        <w:gridCol w:w="2160"/>
      </w:tblGrid>
      <w:tr>
        <w:trPr>
          <w:cantSplit/>
          <w:tblHeader/>
        </w:trPr>
        <w:tc>
          <w:tcPr>
            <w:tcW w:type="dxa" w:w="7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dxa" w:w="36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Requerimiento</w:t>
            </w:r>
          </w:p>
        </w:tc>
        <w:tc>
          <w:tcPr>
            <w:tcW w:type="dxa" w:w="29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Caso de uso</w:t>
            </w:r>
          </w:p>
        </w:tc>
        <w:tc>
          <w:tcPr>
            <w:tcW w:type="dxa" w:w="21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Actor</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RF-01</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Autenticar al usuario con la credencial del dispositivo.</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Iniciar sesión</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Los tres actores humanos</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RF-02</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Capturar tipo de emergencia, fecha, hora, ubicación, unidades y personal en sitio.</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Registrar la emergencia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RF-03</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Guardar el parte como borrador local en el dispositivo desde que se crea, sin depender de tener conexión a internet.</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Crear un nuevo parte</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RF-04</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un croquis esquemático de la escena a partir de la descripción escrita.</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croquis con 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 Servicio de IA</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RF-05</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Permitir mover, editar o eliminar elementos del croquis antes de guardarlo.</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croquis con 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RF-06</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Adjuntar fotografías al parte.</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Adjuntar evidencia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RF-07</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Firmar el parte con la credencial del dispositivo y enviarlo a la Dirección.</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Firmar y enviar parte</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RF-08</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Listar los partes pendientes de revisión.</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Revisar pendientes</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Jefe de turno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RF-09</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Validar un parte o devolverlo con una nota de corrección.</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Validar el parte / Devolver para corregir</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Jefe de turno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RF-10</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Consultar, filtrar, exportar y ver el detalle de los partes por fecha, tipo y unidad.</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Consultar partes / Filtrar y buscar / Ver detalle del parte / Exportar reporte</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Dirección, Jefe de turno</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Requerimientos no funcionales</w:t>
      </w:r>
    </w:p>
    <w:p>
      <w:pPr>
        <w:spacing w:after="200" w:line="276"/>
        <w:jc w:val="both"/>
      </w:pPr>
      <w:r>
        <w:rPr>
          <w:rFonts w:ascii="Times New Roman" w:cs="Times New Roman" w:eastAsia="Times New Roman" w:hAnsi="Times New Roman"/>
          <w:sz w:val="22"/>
          <w:szCs w:val="22"/>
        </w:rPr>
        <w:t xml:space="preserve">Los requerimientos no funcionales de la Tabla 4 se desprenden del contexto de uso, no de las funciones. Todos nacen de la misma observación: el sistema se va a usar en la calle, durante una emergencia, y compite contra una hoja de papel que siempre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cantSplit/>
          <w:tblHeader/>
        </w:trPr>
        <w:tc>
          <w:tcPr>
            <w:tcW w:type="dxa" w:w="9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dxa" w:w="35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Requerimiento</w:t>
            </w:r>
          </w:p>
        </w:tc>
        <w:tc>
          <w:tcPr>
            <w:tcW w:type="dxa" w:w="49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Por qué</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RNF-01</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 parte debe poder capturarse y guardarse sin conexión a internet.</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En el lugar de una emergencia la señal no está garantizada, y perder un parte es peor que no tener croquis.</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RNF-02</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Llenar el parte no debe tomar más tiempo que llenarlo en papel.</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Si el sistema es más lento que el formato actual, el personal simplemente no lo usará.</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RNF-03</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La descripción de la emergencia no debe salir del dispositivo sin que la institución lo autorice.</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Al usar una interfaz de programación externa, el texto del parte viaja a un tercero. Es el argumento principal para evaluar más adelante un modelo ejecutado en un servidor propio.</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RNF-04</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La aplicación debe funcionar en los teléfonos que el personal ya trae, sin hardware adicional.</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 proyecto no contempla presupuesto para equipo nuevo.</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RNF-05</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 sistema no almacena datos biométricos: la verificación de identidad ocurre en el dispositivo del usuario y sólo se conserva la llave pública asociada a su matrícula.</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 navegador nunca entrega la huella: el chip del dispositivo la compara y sólo responde si es o no la persona. Además, una huella filtrada no puede cambiarse y su tratamiento exige medidas reforzadas para un sujeto obligado. La llave pública basta para saber quién firmó y no identifica a nadie fuera del sistema.</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Mockup de la aplicación</w:t>
      </w:r>
    </w:p>
    <w:p>
      <w:pPr>
        <w:spacing w:after="200" w:line="276"/>
        <w:jc w:val="both"/>
      </w:pPr>
      <w:r>
        <w:rPr>
          <w:rFonts w:ascii="Times New Roman" w:cs="Times New Roman" w:eastAsia="Times New Roman" w:hAnsi="Times New Roman"/>
          <w:sz w:val="22"/>
          <w:szCs w:val="22"/>
        </w:rPr>
        <w:t xml:space="preserve">El mockup de baja fidelidad ya está construido, en HTML y CSS, y puede recorrerse en https://ahhmed-j.github.io/Bomberos/. Se resolvió como aplicación web, no como aplicación de teléfono: el bombero la abre en el navegador del equipo, y el jefe de turno y la Dirección en el suyo. Cada pantalla conserva abajo su espacio reservado, para que la captura quede junto a los casos de uso que representa y no en un bloque aparte al final.</w:t>
      </w:r>
    </w:p>
    <w:p>
      <w:pPr>
        <w:spacing w:after="200" w:line="276"/>
        <w:jc w:val="both"/>
      </w:pPr>
      <w:r>
        <w:rPr>
          <w:rFonts w:ascii="Times New Roman" w:cs="Times New Roman" w:eastAsia="Times New Roman" w:hAnsi="Times New Roman"/>
          <w:sz w:val="22"/>
          <w:szCs w:val="22"/>
        </w:rPr>
        <w:t xml:space="preserve">Dibujar las pantallas dejó al descubierto un hueco del modelo. El caso de uso Iniciar sesión daba por hecho que la credencial del dispositivo ya existe, y no puede: antes de la primera sesión alguien tiene que dar fe de quién es cada bombero. De ahí sale un caso de uso que las figuras 1 a 4 todavía no contienen, Registrar credencial, a cargo del personal de la Dirección, que emite un código de alta de un solo uso. El segundo hallazgo es que en la computadora que comparte todo el turno el PIN del equipo no distingue a nadie, de modo que la credencial tiene que vivir en el teléfono o en la llave física de cada bombero. Ambas situaciones quedan dibujadas en las figuras 8.1a y 8.1b.</w:t>
      </w:r>
    </w:p>
    <w:p>
      <w:pPr>
        <w:spacing w:after="200" w:line="276"/>
        <w:jc w:val="both"/>
      </w:pPr>
      <w:r>
        <w:rPr>
          <w:rFonts w:ascii="Times New Roman" w:cs="Times New Roman" w:eastAsia="Times New Roman" w:hAnsi="Times New Roman"/>
          <w:sz w:val="22"/>
          <w:szCs w:val="22"/>
        </w:rPr>
        <w:t xml:space="preserve">Los casos de uso se definieron pensando en que cada uno pudiera representarse con una pantalla sencilla, de manera que el mockup sea la traducción directa del modelo y no un ejercicio de diseño aparte. La Tabla 5 fija esa correspondencia y sirve como lista de pantallas a dibujar.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cantSplit/>
          <w:tblHeader/>
        </w:trPr>
        <w:tc>
          <w:tcPr>
            <w:tcW w:type="dxa" w:w="30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Caso de uso</w:t>
            </w:r>
          </w:p>
        </w:tc>
        <w:tc>
          <w:tcPr>
            <w:tcW w:type="dxa" w:w="19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Pantalla del mockup</w:t>
            </w:r>
          </w:p>
        </w:tc>
        <w:tc>
          <w:tcPr>
            <w:tcW w:type="dxa" w:w="44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Elemento principal en pantalla</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Iniciar sesión</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Acceso</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Botón único que usa la credencial ya registrada en el equipo. En la computadora que comparte todo el turno, en cambio, hay que elegir quién captura y verificar con el teléfono o con una llave física.</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Registrar credencial (caso de uso nuevo) / Iniciar sesión en equipo compartido</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Alta de credencial y Acceso en equipo compartido</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Código de alta de un solo uso emitido por la Dirección, que es lo que liga la credencial a un bombero concreto, y selector de quién captura cuando el equipo lo comparte todo el turno.</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Crear un nuevo parte / Registrar la emergencia / Adjuntar evidencia</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Formulario del parte</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Campos de tipo de emergencia, fecha, hora, ubicación, unidades y personal, más la sección de fotos.</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croquis con IA</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Croquis</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Cuadro de texto para describir la escena, croquis generado y controles para moverlo o borrar elementos.</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Firmar y enviar parte</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Resumen y firma</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Resumen del parte, botón de firma y confirmación de envío.</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Revisar pendientes / Validar el parte / Devolver para corregir</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Bandeja del jefe de turno</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Lista de partes pendientes y, al abrir uno, los botones de validar o devolver con nota.</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Consultar partes / Filtrar y buscar / Ver detalle del parte / Exportar reporte</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Panel de la Dirección</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Barra de filtros por fecha, tipo y unidad, listado de resultados con acceso al detalle, y botón de exportar.</w:t>
            </w:r>
          </w:p>
        </w:tc>
      </w:tr>
    </w:tbl>
    <w:p>
      <w:pPr>
        <w:spacing w:after="200" w:line="276"/>
        <w:jc w:val="both"/>
      </w:pPr>
      <w:r>
        <w:rPr>
          <w:rFonts w:ascii="Times New Roman" w:cs="Times New Roman" w:eastAsia="Times New Roman" w:hAnsi="Times New Roman"/>
          <w:sz w:val="22"/>
          <w:szCs w:val="22"/>
        </w:rPr>
        <w:t xml:space="preserve">Seis pantallas cubren los diez requerimientos funcionales, y a cada una se le dibujaron además sus estados alternos, hasta sumar doce láminas. Esa reducción es intencional: agrupar la evidencia dentro del formulario del parte, y las tres acciones del jefe de turno dentro de una sola bandeja, evita que el bombero tenga que navegar entre pantallas en medio de una emergencia, que es justo lo que el requerimiento RNF-02 busca impedir.</w:t>
      </w:r>
    </w:p>
    <w:p>
      <w:pPr>
        <w:spacing w:after="140" w:before="260"/>
      </w:pPr>
      <w:r>
        <w:rPr>
          <w:rFonts w:ascii="Times New Roman" w:cs="Times New Roman" w:eastAsia="Times New Roman" w:hAnsi="Times New Roman"/>
          <w:b/>
          <w:bCs/>
          <w:color w:val="1F1F1F"/>
          <w:sz w:val="24"/>
          <w:szCs w:val="24"/>
        </w:rPr>
        <w:t xml:space="preserve">1. Acceso</w:t>
      </w:r>
    </w:p>
    <w:p>
      <w:pPr>
        <w:spacing w:after="200" w:line="276"/>
        <w:jc w:val="both"/>
      </w:pPr>
      <w:r>
        <w:rPr>
          <w:rFonts w:ascii="Times New Roman" w:cs="Times New Roman" w:eastAsia="Times New Roman" w:hAnsi="Times New Roman"/>
          <w:sz w:val="22"/>
          <w:szCs w:val="22"/>
        </w:rPr>
        <w:t xml:space="preserve">Una sola pantalla con el botón de autenticación con huella o PIN del dispositivo. No hay campos de usuario ni contraseña. Cubre RF-01.</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8.1, pendiente de integrar.]</w:t>
      </w:r>
    </w:p>
    <w:p>
      <w:pPr>
        <w:spacing w:after="140" w:before="260"/>
      </w:pPr>
      <w:r>
        <w:rPr>
          <w:rFonts w:ascii="Times New Roman" w:cs="Times New Roman" w:eastAsia="Times New Roman" w:hAnsi="Times New Roman"/>
          <w:b/>
          <w:bCs/>
          <w:color w:val="1F1F1F"/>
          <w:sz w:val="24"/>
          <w:szCs w:val="24"/>
        </w:rPr>
        <w:t xml:space="preserve">1a. Alta de credencial</w:t>
      </w:r>
    </w:p>
    <w:p>
      <w:pPr>
        <w:spacing w:after="200" w:line="276"/>
        <w:jc w:val="both"/>
      </w:pPr>
      <w:r>
        <w:rPr>
          <w:rFonts w:ascii="Times New Roman" w:cs="Times New Roman" w:eastAsia="Times New Roman" w:hAnsi="Times New Roman"/>
          <w:sz w:val="22"/>
          <w:szCs w:val="22"/>
        </w:rPr>
        <w:t xml:space="preserve">Pantalla del registro previo a la primera sesión. La Dirección da de alta al bombero y le entrega un código de un solo uso que caduca en 24 horas; al escribirlo, la pantalla muestra a quién pertenece antes de crear la credencial. Es el único momento en que una persona, y no el sistema, garantiza de quién es esa credencial. Cubre RF-01.</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8.1a, pendiente de integrar.]</w:t>
      </w:r>
    </w:p>
    <w:p>
      <w:pPr>
        <w:spacing w:after="140" w:before="260"/>
      </w:pPr>
      <w:r>
        <w:rPr>
          <w:rFonts w:ascii="Times New Roman" w:cs="Times New Roman" w:eastAsia="Times New Roman" w:hAnsi="Times New Roman"/>
          <w:b/>
          <w:bCs/>
          <w:color w:val="1F1F1F"/>
          <w:sz w:val="24"/>
          <w:szCs w:val="24"/>
        </w:rPr>
        <w:t xml:space="preserve">1b. Acceso en equipo compartido</w:t>
      </w:r>
    </w:p>
    <w:p>
      <w:pPr>
        <w:spacing w:after="200" w:line="276"/>
        <w:jc w:val="both"/>
      </w:pPr>
      <w:r>
        <w:rPr>
          <w:rFonts w:ascii="Times New Roman" w:cs="Times New Roman" w:eastAsia="Times New Roman" w:hAnsi="Times New Roman"/>
          <w:sz w:val="22"/>
          <w:szCs w:val="22"/>
        </w:rPr>
        <w:t xml:space="preserve">Pantalla de la computadora que usa todo el turno. Como su PIN lo conoce todo el personal, no sirve para distinguir quién firma: se elige quién va a capturar y la verificación ocurre en el teléfono de esa persona, mediante un código que se escanea, o en su llave física. Cubre RF-01.</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8.1b, pendiente de integrar.]</w:t>
      </w:r>
    </w:p>
    <w:p>
      <w:pPr>
        <w:spacing w:after="140" w:before="260"/>
      </w:pPr>
      <w:r>
        <w:rPr>
          <w:rFonts w:ascii="Times New Roman" w:cs="Times New Roman" w:eastAsia="Times New Roman" w:hAnsi="Times New Roman"/>
          <w:b/>
          <w:bCs/>
          <w:color w:val="1F1F1F"/>
          <w:sz w:val="24"/>
          <w:szCs w:val="24"/>
        </w:rPr>
        <w:t xml:space="preserve">2. Formulario del parte</w:t>
      </w:r>
    </w:p>
    <w:p>
      <w:pPr>
        <w:spacing w:after="200" w:line="276"/>
        <w:jc w:val="both"/>
      </w:pPr>
      <w:r>
        <w:rPr>
          <w:rFonts w:ascii="Times New Roman" w:cs="Times New Roman" w:eastAsia="Times New Roman" w:hAnsi="Times New Roman"/>
          <w:sz w:val="22"/>
          <w:szCs w:val="22"/>
        </w:rPr>
        <w:t xml:space="preserve">Los campos del parte en un solo desplazamiento: tipo de emergencia, fecha, hora, ubicación, unidades y personal en sitio, más la sección inferior de evidencia con el botón de cámara y las miniaturas de las fotos ya adjuntas. Cubre RF-02, RF-03 y RF-06.</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8.2, pendiente de integrar.]</w:t>
      </w:r>
    </w:p>
    <w:p>
      <w:pPr>
        <w:spacing w:after="140" w:before="260"/>
      </w:pPr>
      <w:r>
        <w:rPr>
          <w:rFonts w:ascii="Times New Roman" w:cs="Times New Roman" w:eastAsia="Times New Roman" w:hAnsi="Times New Roman"/>
          <w:b/>
          <w:bCs/>
          <w:color w:val="1F1F1F"/>
          <w:sz w:val="24"/>
          <w:szCs w:val="24"/>
        </w:rPr>
        <w:t xml:space="preserve">3. Croquis</w:t>
      </w:r>
    </w:p>
    <w:p>
      <w:pPr>
        <w:spacing w:after="200" w:line="276"/>
        <w:jc w:val="both"/>
      </w:pPr>
      <w:r>
        <w:rPr>
          <w:rFonts w:ascii="Times New Roman" w:cs="Times New Roman" w:eastAsia="Times New Roman" w:hAnsi="Times New Roman"/>
          <w:sz w:val="22"/>
          <w:szCs w:val="22"/>
        </w:rPr>
        <w:t xml:space="preserve">Cuadro de texto para describir la escena, el croquis generado debajo y los controles para mover o borrar elementos. Debe mostrar también el estado en que el croquis no se pudo generar. Cubre RF-04 y RF-05.</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8.3, pendiente de integrar.]</w:t>
      </w:r>
    </w:p>
    <w:p>
      <w:pPr>
        <w:spacing w:after="140" w:before="260"/>
      </w:pPr>
      <w:r>
        <w:rPr>
          <w:rFonts w:ascii="Times New Roman" w:cs="Times New Roman" w:eastAsia="Times New Roman" w:hAnsi="Times New Roman"/>
          <w:b/>
          <w:bCs/>
          <w:color w:val="1F1F1F"/>
          <w:sz w:val="24"/>
          <w:szCs w:val="24"/>
        </w:rPr>
        <w:t xml:space="preserve">3b. Escenario donde el croquis no se pudo generar</w:t>
      </w:r>
    </w:p>
    <w:p>
      <w:pPr>
        <w:spacing w:after="200" w:line="276"/>
        <w:jc w:val="both"/>
      </w:pPr>
      <w:r>
        <w:rPr>
          <w:rFonts w:ascii="Times New Roman" w:cs="Times New Roman" w:eastAsia="Times New Roman" w:hAnsi="Times New Roman"/>
          <w:sz w:val="22"/>
          <w:szCs w:val="22"/>
        </w:rPr>
        <w:t xml:space="preserve">El mismo paso del croquis cuando la interfaz de programación no responde. El parte se guarda igual y se ofrecen tres salidas: reintentar, dibujarlo a mano o agregarlo después desde la estación. Es la bifurcación de la Figura 6. Cubre RF-04 y el RNF-01.</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8.3b, pendiente de integrar.]</w:t>
      </w:r>
    </w:p>
    <w:p>
      <w:pPr>
        <w:spacing w:after="140" w:before="260"/>
      </w:pPr>
      <w:r>
        <w:rPr>
          <w:rFonts w:ascii="Times New Roman" w:cs="Times New Roman" w:eastAsia="Times New Roman" w:hAnsi="Times New Roman"/>
          <w:b/>
          <w:bCs/>
          <w:color w:val="1F1F1F"/>
          <w:sz w:val="24"/>
          <w:szCs w:val="24"/>
        </w:rPr>
        <w:t xml:space="preserve">4. Resumen y firma</w:t>
      </w:r>
    </w:p>
    <w:p>
      <w:pPr>
        <w:spacing w:after="200" w:line="276"/>
        <w:jc w:val="both"/>
      </w:pPr>
      <w:r>
        <w:rPr>
          <w:rFonts w:ascii="Times New Roman" w:cs="Times New Roman" w:eastAsia="Times New Roman" w:hAnsi="Times New Roman"/>
          <w:sz w:val="22"/>
          <w:szCs w:val="22"/>
        </w:rPr>
        <w:t xml:space="preserve">Resumen de lo capturado, botón de firma con la credencial del dispositivo y confirmación de envío. Cubre RF-07.</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8.4, pendiente de integrar.]</w:t>
      </w:r>
    </w:p>
    <w:p>
      <w:pPr>
        <w:spacing w:after="140" w:before="260"/>
      </w:pPr>
      <w:r>
        <w:rPr>
          <w:rFonts w:ascii="Times New Roman" w:cs="Times New Roman" w:eastAsia="Times New Roman" w:hAnsi="Times New Roman"/>
          <w:b/>
          <w:bCs/>
          <w:color w:val="1F1F1F"/>
          <w:sz w:val="24"/>
          <w:szCs w:val="24"/>
        </w:rPr>
        <w:t xml:space="preserve">4b. Confirmación de envío</w:t>
      </w:r>
    </w:p>
    <w:p>
      <w:pPr>
        <w:spacing w:after="200" w:line="276"/>
        <w:jc w:val="both"/>
      </w:pPr>
      <w:r>
        <w:rPr>
          <w:rFonts w:ascii="Times New Roman" w:cs="Times New Roman" w:eastAsia="Times New Roman" w:hAnsi="Times New Roman"/>
          <w:sz w:val="22"/>
          <w:szCs w:val="22"/>
        </w:rPr>
        <w:t xml:space="preserve">Comprobante de que el parte quedó firmado y entregado: folio, hora de envío, quién lo firmó y a qué jefe de turno le llegó. Cubre RF-07.</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8.4b, pendiente de integrar.]</w:t>
      </w:r>
    </w:p>
    <w:p>
      <w:pPr>
        <w:spacing w:after="140" w:before="260"/>
      </w:pPr>
      <w:r>
        <w:rPr>
          <w:rFonts w:ascii="Times New Roman" w:cs="Times New Roman" w:eastAsia="Times New Roman" w:hAnsi="Times New Roman"/>
          <w:b/>
          <w:bCs/>
          <w:color w:val="1F1F1F"/>
          <w:sz w:val="24"/>
          <w:szCs w:val="24"/>
        </w:rPr>
        <w:t xml:space="preserve">5. Bandeja del jefe de turno</w:t>
      </w:r>
    </w:p>
    <w:p>
      <w:pPr>
        <w:spacing w:after="200" w:line="276"/>
        <w:jc w:val="both"/>
      </w:pPr>
      <w:r>
        <w:rPr>
          <w:rFonts w:ascii="Times New Roman" w:cs="Times New Roman" w:eastAsia="Times New Roman" w:hAnsi="Times New Roman"/>
          <w:sz w:val="22"/>
          <w:szCs w:val="22"/>
        </w:rPr>
        <w:t xml:space="preserve">Lista de partes pendientes y, al abrir uno, los dos botones de decisión: validar o devolver con nota de corrección. Cubre RF-08 y RF-09.</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8.5, pendiente de integrar.]</w:t>
      </w:r>
    </w:p>
    <w:p>
      <w:pPr>
        <w:spacing w:after="140" w:before="260"/>
      </w:pPr>
      <w:r>
        <w:rPr>
          <w:rFonts w:ascii="Times New Roman" w:cs="Times New Roman" w:eastAsia="Times New Roman" w:hAnsi="Times New Roman"/>
          <w:b/>
          <w:bCs/>
          <w:color w:val="1F1F1F"/>
          <w:sz w:val="24"/>
          <w:szCs w:val="24"/>
        </w:rPr>
        <w:t xml:space="preserve">5b. Validar o devolver</w:t>
      </w:r>
    </w:p>
    <w:p>
      <w:pPr>
        <w:spacing w:after="200" w:line="276"/>
        <w:jc w:val="both"/>
      </w:pPr>
      <w:r>
        <w:rPr>
          <w:rFonts w:ascii="Times New Roman" w:cs="Times New Roman" w:eastAsia="Times New Roman" w:hAnsi="Times New Roman"/>
          <w:sz w:val="22"/>
          <w:szCs w:val="22"/>
        </w:rPr>
        <w:t xml:space="preserve">Lo que ve el jefe de turno al abrir uno de los partes de su bandeja: los datos, el croquis, las fotos y los dos botones de decisión, con el recuadro donde escribe la nota cuando devuelve. Cubre RF-09.</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8.5b, pendiente de integrar.]</w:t>
      </w:r>
    </w:p>
    <w:p>
      <w:pPr>
        <w:spacing w:after="140" w:before="260"/>
      </w:pPr>
      <w:r>
        <w:rPr>
          <w:rFonts w:ascii="Times New Roman" w:cs="Times New Roman" w:eastAsia="Times New Roman" w:hAnsi="Times New Roman"/>
          <w:b/>
          <w:bCs/>
          <w:color w:val="1F1F1F"/>
          <w:sz w:val="24"/>
          <w:szCs w:val="24"/>
        </w:rPr>
        <w:t xml:space="preserve">6. Panel de la Dirección</w:t>
      </w:r>
    </w:p>
    <w:p>
      <w:pPr>
        <w:spacing w:after="200" w:line="276"/>
        <w:jc w:val="both"/>
      </w:pPr>
      <w:r>
        <w:rPr>
          <w:rFonts w:ascii="Times New Roman" w:cs="Times New Roman" w:eastAsia="Times New Roman" w:hAnsi="Times New Roman"/>
          <w:sz w:val="22"/>
          <w:szCs w:val="22"/>
        </w:rPr>
        <w:t xml:space="preserve">Barra de filtros por fecha, tipo y unidad, listado de resultados y botón de exportar. Al abrir un resultado se muestra su detalle completo. El jefe de turno también entra aquí para consultar el histórico de partes ya validados por su turno. Cubre RF-10.</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8.6, pendiente de integrar.]</w:t>
      </w:r>
    </w:p>
    <w:p>
      <w:pPr>
        <w:spacing w:after="140" w:before="260"/>
      </w:pPr>
      <w:r>
        <w:rPr>
          <w:rFonts w:ascii="Times New Roman" w:cs="Times New Roman" w:eastAsia="Times New Roman" w:hAnsi="Times New Roman"/>
          <w:b/>
          <w:bCs/>
          <w:color w:val="1F1F1F"/>
          <w:sz w:val="24"/>
          <w:szCs w:val="24"/>
        </w:rPr>
        <w:t xml:space="preserve">6b. Detalle del parte</w:t>
      </w:r>
    </w:p>
    <w:p>
      <w:pPr>
        <w:spacing w:after="200" w:line="276"/>
        <w:jc w:val="both"/>
      </w:pPr>
      <w:r>
        <w:rPr>
          <w:rFonts w:ascii="Times New Roman" w:cs="Times New Roman" w:eastAsia="Times New Roman" w:hAnsi="Times New Roman"/>
          <w:sz w:val="22"/>
          <w:szCs w:val="22"/>
        </w:rPr>
        <w:t xml:space="preserve">Lo que aparece cuando alguien de la Dirección abre uno de los renglones del listado: el parte completo, con su croquis, su evidencia y la trazabilidad de quién lo capturó, quién lo firmó y quién lo validó. Cubre RF-10.</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8.6b, pendiente de integrar.]</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Continuidad con las siguientes entregas</w:t>
      </w:r>
    </w:p>
    <w:p>
      <w:pPr>
        <w:spacing w:after="200" w:line="276"/>
        <w:jc w:val="both"/>
      </w:pPr>
      <w:r>
        <w:rPr>
          <w:rFonts w:ascii="Times New Roman" w:cs="Times New Roman" w:eastAsia="Times New Roman" w:hAnsi="Times New Roman"/>
          <w:sz w:val="22"/>
          <w:szCs w:val="22"/>
        </w:rPr>
        <w:t xml:space="preserve">Este avance no se cierra en sí mismo: cada producto que contiene es la materia prima de una fase de las tareas que siguen en la unidad, de modo que ningún diagrama tenga que rehacerse desde cero más adelante.</w:t>
      </w:r>
    </w:p>
    <w:p>
      <w:pPr>
        <w:spacing w:after="200" w:line="276"/>
        <w:jc w:val="both"/>
      </w:pPr>
      <w:r>
        <w:rPr>
          <w:rFonts w:ascii="Times New Roman" w:cs="Times New Roman" w:eastAsia="Times New Roman" w:hAnsi="Times New Roman"/>
          <w:sz w:val="22"/>
          <w:szCs w:val="22"/>
        </w:rPr>
        <w:t xml:space="preserve">El caso más claro es el de los diagramas de actividad. Un task flow es un diagrama de actividad al que se le añaden las entradas inesperadas y los abandonos; las figuras 5 a 7 son entonces el borrador de tres de los task flows que pide la Fase 2, y no un trabajo paralelo. La Tabla 6 deja explícita esa continuidad para el resto de los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60"/>
        <w:gridCol w:w="4100"/>
      </w:tblGrid>
      <w:tr>
        <w:trPr>
          <w:cantSplit/>
          <w:tblHeader/>
        </w:trPr>
        <w:tc>
          <w:tcPr>
            <w:tcW w:type="dxa" w:w="25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Producto de este avance</w:t>
            </w:r>
          </w:p>
        </w:tc>
        <w:tc>
          <w:tcPr>
            <w:tcW w:type="dxa" w:w="27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Dónde se reutiliza</w:t>
            </w:r>
          </w:p>
        </w:tc>
        <w:tc>
          <w:tcPr>
            <w:tcW w:type="dxa" w:w="41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Qué falta agregarle</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Actores y casos de uso (figuras 1 a 4)</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1: Categorías</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Convertir cada caso de uso en una rama del sitemap y cada entidad que maneja en una tabla del ERD.</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Requerimientos funcionales (Tabla 3)</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1: Navegación</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Asignar a cada requerimiento su ruta y su consulta principal.</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Diagramas de actividad (figuras 5 a 7)</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2: Task Flows</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Marcar las puertas laterales y los comportamientos erráticos de cada flujo.</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Mapeo de pantallas (Tabla 5)</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3: entrega</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Elegir las dos pantallas clave y anotarlas con pirámide invertida y Johnson Box.</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Requerimientos no funcionales (Tabla 4)</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4: matriz diagnóstica</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Traducir cada uno a una medida de éxito en términos del usuario.</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Supuestos sin validar del alcance</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Investigación de usuarios: needfinding</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Levantar las necesidades obvias y ocultas en campo y bajar cada hallazgo a su caso de uso.</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Trabajo pendiente</w:t>
      </w:r>
    </w:p>
    <w:p>
      <w:pPr>
        <w:spacing w:after="140" w:line="276"/>
        <w:jc w:val="both"/>
      </w:pPr>
      <w:r>
        <w:rPr>
          <w:rFonts w:ascii="Times New Roman" w:cs="Times New Roman" w:eastAsia="Times New Roman" w:hAnsi="Times New Roman"/>
          <w:sz w:val="22"/>
          <w:szCs w:val="22"/>
        </w:rPr>
        <w:t xml:space="preserve">1. Sustituir los espacios reservados por las capturas de las pantallas ya publicadas.</w:t>
      </w:r>
    </w:p>
    <w:p>
      <w:pPr>
        <w:spacing w:after="140" w:line="276"/>
        <w:jc w:val="both"/>
      </w:pPr>
      <w:r>
        <w:rPr>
          <w:rFonts w:ascii="Times New Roman" w:cs="Times New Roman" w:eastAsia="Times New Roman" w:hAnsi="Times New Roman"/>
          <w:sz w:val="22"/>
          <w:szCs w:val="22"/>
        </w:rPr>
        <w:t xml:space="preserve">2. Entrevistar a bomberos operativos y a un mando, siguiendo el guion de preguntas de la entrega anterior, para validar o corregir los casos de uso de este avance.</w:t>
      </w:r>
    </w:p>
    <w:p>
      <w:pPr>
        <w:spacing w:after="140" w:line="276"/>
        <w:jc w:val="both"/>
      </w:pPr>
      <w:r>
        <w:rPr>
          <w:rFonts w:ascii="Times New Roman" w:cs="Times New Roman" w:eastAsia="Times New Roman" w:hAnsi="Times New Roman"/>
          <w:sz w:val="22"/>
          <w:szCs w:val="22"/>
        </w:rPr>
        <w:t xml:space="preserve">3. Confirmar si la validación del parte por parte de un superior es un requisito normativo o una costumbre interna, porque de eso depende que el caso de uso Validar el parte siga existiendo.</w:t>
      </w:r>
    </w:p>
    <w:p>
      <w:pPr>
        <w:spacing w:after="140" w:line="276"/>
        <w:jc w:val="both"/>
      </w:pPr>
      <w:r>
        <w:rPr>
          <w:rFonts w:ascii="Times New Roman" w:cs="Times New Roman" w:eastAsia="Times New Roman" w:hAnsi="Times New Roman"/>
          <w:sz w:val="22"/>
          <w:szCs w:val="22"/>
        </w:rPr>
        <w:t xml:space="preserve">4. Aplicar la técnica de needfinding para separar necesidades obvias de necesidades ocultas.</w:t>
      </w:r>
    </w:p>
    <w:p>
      <w:pPr>
        <w:spacing w:after="140" w:line="276"/>
        <w:jc w:val="both"/>
      </w:pPr>
      <w:r>
        <w:rPr>
          <w:rFonts w:ascii="Times New Roman" w:cs="Times New Roman" w:eastAsia="Times New Roman" w:hAnsi="Times New Roman"/>
          <w:sz w:val="22"/>
          <w:szCs w:val="22"/>
        </w:rPr>
        <w:t xml:space="preserve">5. Definir la arquitectura de la información y el esquema de base de datos a partir de los casos de uso ya fijados.</w:t>
      </w:r>
    </w:p>
    <w:p>
      <w:pPr>
        <w:spacing w:after="140" w:line="276"/>
        <w:jc w:val="both"/>
      </w:pPr>
      <w:r>
        <w:rPr>
          <w:rFonts w:ascii="Times New Roman" w:cs="Times New Roman" w:eastAsia="Times New Roman" w:hAnsi="Times New Roman"/>
          <w:sz w:val="22"/>
          <w:szCs w:val="22"/>
        </w:rPr>
        <w:t xml:space="preserve">6. Implementar el prototipo navegable con al menos un flujo completo de inicio a fin.</w:t>
      </w:r>
    </w:p>
    <w:p>
      <w:pPr>
        <w:spacing w:after="140" w:line="276"/>
        <w:jc w:val="both"/>
      </w:pPr>
      <w:r>
        <w:rPr>
          <w:rFonts w:ascii="Times New Roman" w:cs="Times New Roman" w:eastAsia="Times New Roman" w:hAnsi="Times New Roman"/>
          <w:sz w:val="22"/>
          <w:szCs w:val="22"/>
        </w:rPr>
        <w:t xml:space="preserve">7. Incorporar al diagrama de casos de uso el caso Registrar credencial y su relación con el personal de la Dirección, junto con la ruta de recuperación cuando un bombero pierde el equipo donde tenía su credencial.</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Anexos</w:t>
      </w:r>
    </w:p>
    <w:p>
      <w:pPr>
        <w:spacing w:after="200" w:line="276"/>
        <w:jc w:val="both"/>
      </w:pPr>
      <w:r>
        <w:rPr>
          <w:rFonts w:ascii="Times New Roman" w:cs="Times New Roman" w:eastAsia="Times New Roman" w:hAnsi="Times New Roman"/>
          <w:b/>
          <w:bCs/>
          <w:i w:val="false"/>
          <w:iCs w:val="false"/>
          <w:sz w:val="22"/>
          <w:szCs w:val="22"/>
        </w:rPr>
        <w:t xml:space="preserve">Anexo A. </w:t>
      </w:r>
      <w:r>
        <w:rPr>
          <w:rFonts w:ascii="Times New Roman" w:cs="Times New Roman" w:eastAsia="Times New Roman" w:hAnsi="Times New Roman"/>
          <w:b w:val="false"/>
          <w:bCs w:val="false"/>
          <w:i w:val="false"/>
          <w:iCs w:val="false"/>
          <w:sz w:val="22"/>
          <w:szCs w:val="22"/>
        </w:rPr>
        <w:t xml:space="preserve">Diagramas de actividad de los flujos críticos. Los casos de uso dicen qué hace el sistema; los diagramas siguientes detallan cómo se recorren los tres flujos con mayor riesgo de fallar.</w:t>
      </w:r>
    </w:p>
    <w:p>
      <w:pPr>
        <w:spacing w:after="120" w:before="120"/>
        <w:jc w:val="center"/>
      </w:pPr>
      <w:r>
        <w:drawing>
          <wp:inline distT="0" distB="0" distL="0" distR="0">
            <wp:extent cx="4572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6101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5. Flujo de llenado del parte de emergencia.</w:t>
      </w:r>
    </w:p>
    <w:p>
      <w:pPr>
        <w:spacing w:after="200" w:line="276"/>
        <w:jc w:val="both"/>
      </w:pPr>
      <w:r>
        <w:rPr>
          <w:rFonts w:ascii="Times New Roman" w:cs="Times New Roman" w:eastAsia="Times New Roman" w:hAnsi="Times New Roman"/>
          <w:b w:val="false"/>
          <w:bCs w:val="false"/>
          <w:i w:val="false"/>
          <w:iCs w:val="false"/>
          <w:sz w:val="22"/>
          <w:szCs w:val="22"/>
        </w:rPr>
        <w:t xml:space="preserve">El flujo de la Figura 5 termina en </w:t>
      </w:r>
      <w:r>
        <w:rPr>
          <w:rFonts w:ascii="Times New Roman" w:cs="Times New Roman" w:eastAsia="Times New Roman" w:hAnsi="Times New Roman"/>
          <w:b/>
          <w:bCs/>
          <w:i w:val="false"/>
          <w:iCs w:val="false"/>
          <w:sz w:val="22"/>
          <w:szCs w:val="22"/>
        </w:rPr>
        <w:t xml:space="preserve">Guardar borrador</w:t>
      </w:r>
      <w:r>
        <w:rPr>
          <w:rFonts w:ascii="Times New Roman" w:cs="Times New Roman" w:eastAsia="Times New Roman" w:hAnsi="Times New Roman"/>
          <w:b w:val="false"/>
          <w:bCs w:val="false"/>
          <w:i w:val="false"/>
          <w:iCs w:val="false"/>
          <w:sz w:val="22"/>
          <w:szCs w:val="22"/>
        </w:rPr>
        <w:t xml:space="preserve"> y no en el envío, precisamente porque el bombero puede quedarse sin señal en el lugar de la emergencia.</w:t>
      </w:r>
    </w:p>
    <w:p>
      <w:pPr>
        <w:spacing w:after="120" w:before="120"/>
        <w:jc w:val="center"/>
      </w:pPr>
      <w:r>
        <w:drawing>
          <wp:inline distT="0" distB="0" distL="0" distR="0">
            <wp:extent cx="4572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14337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6. Flujo de generación del croquis con IA.</w:t>
      </w:r>
    </w:p>
    <w:p>
      <w:pPr>
        <w:spacing w:after="200" w:line="276"/>
        <w:jc w:val="both"/>
      </w:pPr>
      <w:r>
        <w:rPr>
          <w:rFonts w:ascii="Times New Roman" w:cs="Times New Roman" w:eastAsia="Times New Roman" w:hAnsi="Times New Roman"/>
          <w:sz w:val="22"/>
          <w:szCs w:val="22"/>
        </w:rPr>
        <w:t xml:space="preserve">La bifurcación de la Figura 6 es la respuesta a la principal debilidad del componente de IA: si la interfaz de programación no contesta, el parte se guarda igual y el croquis se agrega después o se dibuja a mano.</w:t>
      </w:r>
    </w:p>
    <w:p>
      <w:pPr>
        <w:spacing w:after="120" w:before="120"/>
        <w:jc w:val="center"/>
      </w:pPr>
      <w:r>
        <w:drawing>
          <wp:inline distT="0" distB="0" distL="0" distR="0">
            <wp:extent cx="4572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21005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7. Flujo de firma, envío y validación del parte.</w:t>
      </w:r>
    </w:p>
    <w:p>
      <w:pPr>
        <w:spacing w:after="200" w:line="276"/>
        <w:jc w:val="both"/>
      </w:pPr>
      <w:r>
        <w:rPr>
          <w:rFonts w:ascii="Times New Roman" w:cs="Times New Roman" w:eastAsia="Times New Roman" w:hAnsi="Times New Roman"/>
          <w:sz w:val="22"/>
          <w:szCs w:val="22"/>
        </w:rPr>
        <w:t xml:space="preserve">El ciclo de devolución de la Figura 7 es el único punto del sistema donde un parte retrocede en el proceso. Hoy ese ajuste se resuelve verbalmente sobre el papel, y es uno de los puntos que las entrevistas deben confirmar.</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Referencias</w:t>
      </w:r>
    </w:p>
    <w:p>
      <w:pPr>
        <w:spacing w:after="160"/>
        <w:ind w:left="360" w:hanging="360"/>
      </w:pPr>
      <w:r>
        <w:rPr>
          <w:rFonts w:ascii="Times New Roman" w:cs="Times New Roman" w:eastAsia="Times New Roman" w:hAnsi="Times New Roman"/>
          <w:sz w:val="20"/>
          <w:szCs w:val="20"/>
        </w:rPr>
        <w:t xml:space="preserve">7. Google. (s.f.). Structured outputs. Google AI for Developers. https://ai.google.dev/gemini-api/docs/structured-output</w:t>
      </w:r>
    </w:p>
    <w:p>
      <w:pPr>
        <w:spacing w:after="160"/>
        <w:ind w:left="360" w:hanging="360"/>
      </w:pPr>
      <w:r>
        <w:rPr>
          <w:rFonts w:ascii="Times New Roman" w:cs="Times New Roman" w:eastAsia="Times New Roman" w:hAnsi="Times New Roman"/>
          <w:sz w:val="20"/>
          <w:szCs w:val="20"/>
        </w:rPr>
        <w:t xml:space="preserve">8. Larman, C. (2004). Applying UML and patterns: An introduction to object-oriented analysis and design and iterative development (3ª ed.). Prentice Hall PTR. ISBN 9780131489066.</w:t>
      </w:r>
    </w:p>
    <w:p>
      <w:pPr>
        <w:spacing w:after="160"/>
        <w:ind w:left="360" w:hanging="360"/>
      </w:pPr>
      <w:r>
        <w:rPr>
          <w:rFonts w:ascii="Times New Roman" w:cs="Times New Roman" w:eastAsia="Times New Roman" w:hAnsi="Times New Roman"/>
          <w:sz w:val="20"/>
          <w:szCs w:val="20"/>
        </w:rPr>
        <w:t xml:space="preserve">9. Object Management Group. (2017). OMG Unified Modeling Language (OMG UML), version 2.5.1 (formal/2017-12-05). https://www.omg.org/spec/UML/2.5.1</w:t>
      </w:r>
    </w:p>
    <w:p>
      <w:pPr>
        <w:spacing w:after="160"/>
        <w:ind w:left="360" w:hanging="360"/>
      </w:pPr>
      <w:r>
        <w:rPr>
          <w:rFonts w:ascii="Times New Roman" w:cs="Times New Roman" w:eastAsia="Times New Roman" w:hAnsi="Times New Roman"/>
          <w:sz w:val="20"/>
          <w:szCs w:val="20"/>
        </w:rPr>
        <w:t xml:space="preserve">10. World Wide Web Consortium. (2026). Web Authentication: An API for accessing public key credentials, level 3 (W3C Recommendation, 25 de agosto de 2026). https://www.w3.org/TR/webauthn-3/</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6"/>
        <w:szCs w:val="16"/>
      </w:rPr>
      <w:t xml:space="preserve">Ingeniería en Software y Tecnologías Emergentes</w:t>
    </w:r>
  </w:p>
  <w:p>
    <w:pPr>
      <w:pBdr>
        <w:bottom w:val="single" w:color="AAAAAA" w:sz="4" w:space="4"/>
      </w:pBdr>
      <w:jc w:val="center"/>
    </w:pPr>
    <w:r>
      <w:rPr>
        <w:rFonts w:ascii="Times New Roman" w:cs="Times New Roman" w:eastAsia="Times New Roman" w:hAnsi="Times New Roman"/>
        <w:color w:val="555555"/>
        <w:sz w:val="16"/>
        <w:szCs w:val="16"/>
      </w:rPr>
      <w:t xml:space="preserve">Manual de talleres de la materia Tecnologías Emergentes para el Desarrollo de Soluciones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2bbc08e7d88ae2dba5feda792a1599ee9f7204e.png"/><Relationship Id="rId12" Type="http://schemas.openxmlformats.org/officeDocument/2006/relationships/image" Target="media/5d36417267df1852f07142a7ba069f101f781eb9.png"/><Relationship Id="rId13" Type="http://schemas.openxmlformats.org/officeDocument/2006/relationships/image" Target="media/c4e92aad714128b2a67d5f17a6294991b1f3cb10.png"/><Relationship Id="rId14" Type="http://schemas.openxmlformats.org/officeDocument/2006/relationships/image" Target="media/894ed4c4d290161b91b1cba71fe7c6aac0460769.png"/><Relationship Id="rId15" Type="http://schemas.openxmlformats.org/officeDocument/2006/relationships/image" Target="media/123ac21c58b9c84a3d9214cb6cdf222c137d870e.png"/><Relationship Id="rId16" Type="http://schemas.openxmlformats.org/officeDocument/2006/relationships/image" Target="media/104a3aa6b2a8fa47b17bb314970cebb11f64b716.png"/><Relationship Id="rId17" Type="http://schemas.openxmlformats.org/officeDocument/2006/relationships/image" Target="media/d235f7d5612470f54d25f43efd71e4c57c2852af.png"/><Relationship Id="rId18" Type="http://schemas.openxmlformats.org/officeDocument/2006/relationships/image" Target="media/161a2376d2614efaf2665f92faad119673bddfe8.png"/><Relationship Id="rId19" Type="http://schemas.openxmlformats.org/officeDocument/2006/relationships/image" Target="media/ad712fe33a11514271c01ad37ddf1063e86b90c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2026-09-09T18:52:59.395Z</dcterms:created>
  <dcterms:modified xsi:type="dcterms:W3CDTF">2026-09-09T18:52:59.395Z</dcterms:modified>
</cp:coreProperties>
</file>

<file path=docProps/custom.xml><?xml version="1.0" encoding="utf-8"?>
<Properties xmlns="http://schemas.openxmlformats.org/officeDocument/2006/custom-properties" xmlns:vt="http://schemas.openxmlformats.org/officeDocument/2006/docPropsVTypes"/>
</file>