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rFonts w:hint="cs"/>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hint="cs"/>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6E2167"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6E2167"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w:t>
      </w:r>
      <w:r>
        <w:rPr>
          <w:rFonts w:asciiTheme="majorBidi" w:hAnsiTheme="majorBidi" w:cstheme="majorBidi"/>
          <w:sz w:val="24"/>
          <w:szCs w:val="24"/>
        </w:rPr>
        <w:t>(READ/WRITE)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lastRenderedPageBreak/>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The behavior of the instruction memory interface is described using an always block triggered by the negedge of the CLK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w:t>
      </w:r>
      <w:r w:rsidRPr="006213A4">
        <w:rPr>
          <w:rFonts w:asciiTheme="majorBidi" w:hAnsiTheme="majorBidi" w:cstheme="majorBidi"/>
          <w:sz w:val="24"/>
          <w:szCs w:val="24"/>
        </w:rPr>
        <w:t xml:space="preserv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lastRenderedPageBreak/>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9423BD">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bookmarkStart w:id="0" w:name="_GoBack"/>
                            <w:bookmarkEnd w:id="0"/>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bookmarkStart w:id="1" w:name="_GoBack"/>
                      <w:bookmarkEnd w:id="1"/>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w:t>
      </w:r>
      <w:r w:rsidRPr="00443E06">
        <w:rPr>
          <w:rFonts w:asciiTheme="majorBidi" w:hAnsiTheme="majorBidi" w:cstheme="majorBidi"/>
          <w:sz w:val="24"/>
          <w:szCs w:val="24"/>
        </w:rPr>
        <w:t>Ubuntu</w:t>
      </w:r>
      <w:r w:rsidRPr="00443E06">
        <w:rPr>
          <w:rFonts w:asciiTheme="majorBidi" w:hAnsiTheme="majorBidi" w:cstheme="majorBidi"/>
          <w:sz w:val="24"/>
          <w:szCs w:val="24"/>
        </w:rPr>
        <w:t xml:space="preserve">.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w:t>
      </w:r>
      <w:r w:rsidR="00443E06" w:rsidRPr="00443E06">
        <w:rPr>
          <w:rFonts w:asciiTheme="majorBidi" w:hAnsiTheme="majorBidi" w:cstheme="majorBidi"/>
          <w:sz w:val="24"/>
          <w:szCs w:val="24"/>
        </w:rPr>
        <w:t>version,</w:t>
      </w:r>
      <w:r w:rsidR="00443E06" w:rsidRPr="00443E06">
        <w:rPr>
          <w:rFonts w:asciiTheme="majorBidi" w:hAnsiTheme="majorBidi" w:cstheme="majorBidi"/>
          <w:sz w:val="24"/>
          <w:szCs w:val="24"/>
        </w:rPr>
        <w:t xml:space="preserve"> please beware and change the </w:t>
      </w:r>
      <w:r w:rsidR="00443E06" w:rsidRPr="00443E06">
        <w:rPr>
          <w:rFonts w:asciiTheme="majorBidi" w:hAnsiTheme="majorBidi" w:cstheme="majorBidi"/>
          <w:sz w:val="24"/>
          <w:szCs w:val="24"/>
        </w:rPr>
        <w:t>required</w:t>
      </w:r>
      <w:r w:rsidR="00443E06" w:rsidRPr="00443E06">
        <w:rPr>
          <w:rFonts w:asciiTheme="majorBidi" w:hAnsiTheme="majorBidi" w:cstheme="majorBidi"/>
          <w:sz w:val="24"/>
          <w:szCs w:val="24"/>
        </w:rPr>
        <w:t xml:space="preserve">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hint="cs"/>
          <w:sz w:val="24"/>
          <w:szCs w:val="24"/>
          <w:rtl/>
          <w:lang w:bidi="fa-IR"/>
        </w:rPr>
      </w:pPr>
    </w:p>
    <w:p w:rsidR="00703961" w:rsidRDefault="00703961" w:rsidP="00374E8B">
      <w:pPr>
        <w:jc w:val="cente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D5755C" w:rsidRDefault="00D5755C"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lastRenderedPageBreak/>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167" w:rsidRDefault="006E2167" w:rsidP="00924540">
      <w:pPr>
        <w:spacing w:after="0" w:line="240" w:lineRule="auto"/>
      </w:pPr>
      <w:r>
        <w:separator/>
      </w:r>
    </w:p>
  </w:endnote>
  <w:endnote w:type="continuationSeparator" w:id="0">
    <w:p w:rsidR="006E2167" w:rsidRDefault="006E2167"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167" w:rsidRDefault="006E2167" w:rsidP="00924540">
      <w:pPr>
        <w:spacing w:after="0" w:line="240" w:lineRule="auto"/>
      </w:pPr>
      <w:r>
        <w:separator/>
      </w:r>
    </w:p>
  </w:footnote>
  <w:footnote w:type="continuationSeparator" w:id="0">
    <w:p w:rsidR="006E2167" w:rsidRDefault="006E2167"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0"/>
  </w:num>
  <w:num w:numId="4">
    <w:abstractNumId w:val="36"/>
  </w:num>
  <w:num w:numId="5">
    <w:abstractNumId w:val="43"/>
  </w:num>
  <w:num w:numId="6">
    <w:abstractNumId w:val="32"/>
  </w:num>
  <w:num w:numId="7">
    <w:abstractNumId w:val="31"/>
  </w:num>
  <w:num w:numId="8">
    <w:abstractNumId w:val="33"/>
  </w:num>
  <w:num w:numId="9">
    <w:abstractNumId w:val="16"/>
  </w:num>
  <w:num w:numId="10">
    <w:abstractNumId w:val="37"/>
  </w:num>
  <w:num w:numId="11">
    <w:abstractNumId w:val="5"/>
  </w:num>
  <w:num w:numId="12">
    <w:abstractNumId w:val="13"/>
  </w:num>
  <w:num w:numId="13">
    <w:abstractNumId w:val="0"/>
  </w:num>
  <w:num w:numId="14">
    <w:abstractNumId w:val="19"/>
  </w:num>
  <w:num w:numId="15">
    <w:abstractNumId w:val="21"/>
  </w:num>
  <w:num w:numId="16">
    <w:abstractNumId w:val="24"/>
  </w:num>
  <w:num w:numId="17">
    <w:abstractNumId w:val="20"/>
  </w:num>
  <w:num w:numId="18">
    <w:abstractNumId w:val="8"/>
  </w:num>
  <w:num w:numId="19">
    <w:abstractNumId w:val="35"/>
  </w:num>
  <w:num w:numId="20">
    <w:abstractNumId w:val="3"/>
  </w:num>
  <w:num w:numId="21">
    <w:abstractNumId w:val="2"/>
  </w:num>
  <w:num w:numId="22">
    <w:abstractNumId w:val="30"/>
  </w:num>
  <w:num w:numId="23">
    <w:abstractNumId w:val="28"/>
  </w:num>
  <w:num w:numId="24">
    <w:abstractNumId w:val="26"/>
  </w:num>
  <w:num w:numId="25">
    <w:abstractNumId w:val="11"/>
  </w:num>
  <w:num w:numId="26">
    <w:abstractNumId w:val="23"/>
  </w:num>
  <w:num w:numId="27">
    <w:abstractNumId w:val="22"/>
  </w:num>
  <w:num w:numId="28">
    <w:abstractNumId w:val="41"/>
  </w:num>
  <w:num w:numId="29">
    <w:abstractNumId w:val="1"/>
  </w:num>
  <w:num w:numId="30">
    <w:abstractNumId w:val="38"/>
  </w:num>
  <w:num w:numId="31">
    <w:abstractNumId w:val="18"/>
  </w:num>
  <w:num w:numId="32">
    <w:abstractNumId w:val="14"/>
  </w:num>
  <w:num w:numId="33">
    <w:abstractNumId w:val="34"/>
  </w:num>
  <w:num w:numId="34">
    <w:abstractNumId w:val="25"/>
  </w:num>
  <w:num w:numId="35">
    <w:abstractNumId w:val="29"/>
  </w:num>
  <w:num w:numId="36">
    <w:abstractNumId w:val="15"/>
  </w:num>
  <w:num w:numId="37">
    <w:abstractNumId w:val="12"/>
  </w:num>
  <w:num w:numId="38">
    <w:abstractNumId w:val="39"/>
  </w:num>
  <w:num w:numId="39">
    <w:abstractNumId w:val="17"/>
  </w:num>
  <w:num w:numId="40">
    <w:abstractNumId w:val="9"/>
  </w:num>
  <w:num w:numId="41">
    <w:abstractNumId w:val="40"/>
  </w:num>
  <w:num w:numId="42">
    <w:abstractNumId w:val="6"/>
  </w:num>
  <w:num w:numId="43">
    <w:abstractNumId w:val="4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0E6"/>
    <w:rsid w:val="000271B8"/>
    <w:rsid w:val="00045102"/>
    <w:rsid w:val="00045FA0"/>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7D1"/>
    <w:rsid w:val="001418F3"/>
    <w:rsid w:val="001528AE"/>
    <w:rsid w:val="001533B7"/>
    <w:rsid w:val="001608EE"/>
    <w:rsid w:val="0016301B"/>
    <w:rsid w:val="00167EDE"/>
    <w:rsid w:val="001731F8"/>
    <w:rsid w:val="00180D28"/>
    <w:rsid w:val="00181F2F"/>
    <w:rsid w:val="00183CBD"/>
    <w:rsid w:val="001843EB"/>
    <w:rsid w:val="00191F55"/>
    <w:rsid w:val="0019699B"/>
    <w:rsid w:val="00196C81"/>
    <w:rsid w:val="001975B0"/>
    <w:rsid w:val="001A0FDB"/>
    <w:rsid w:val="001A1A4C"/>
    <w:rsid w:val="001A5861"/>
    <w:rsid w:val="001B41D7"/>
    <w:rsid w:val="001C002A"/>
    <w:rsid w:val="001F136D"/>
    <w:rsid w:val="00221DC2"/>
    <w:rsid w:val="00231B02"/>
    <w:rsid w:val="0023358B"/>
    <w:rsid w:val="0023522E"/>
    <w:rsid w:val="00250B5C"/>
    <w:rsid w:val="00251374"/>
    <w:rsid w:val="00256B5E"/>
    <w:rsid w:val="0025734B"/>
    <w:rsid w:val="00260A5D"/>
    <w:rsid w:val="00265430"/>
    <w:rsid w:val="00270253"/>
    <w:rsid w:val="0027573F"/>
    <w:rsid w:val="00297A76"/>
    <w:rsid w:val="002A20B6"/>
    <w:rsid w:val="002B09C4"/>
    <w:rsid w:val="002C7945"/>
    <w:rsid w:val="002D3211"/>
    <w:rsid w:val="002D4540"/>
    <w:rsid w:val="002D58B1"/>
    <w:rsid w:val="002D7CBA"/>
    <w:rsid w:val="002E2C8F"/>
    <w:rsid w:val="002F22C1"/>
    <w:rsid w:val="002F5262"/>
    <w:rsid w:val="00311714"/>
    <w:rsid w:val="00327638"/>
    <w:rsid w:val="00333326"/>
    <w:rsid w:val="0035351B"/>
    <w:rsid w:val="00353BB0"/>
    <w:rsid w:val="00374E8B"/>
    <w:rsid w:val="00392A0D"/>
    <w:rsid w:val="003A1F9E"/>
    <w:rsid w:val="003A411A"/>
    <w:rsid w:val="003A5BB3"/>
    <w:rsid w:val="003A7D99"/>
    <w:rsid w:val="003C633F"/>
    <w:rsid w:val="003E0041"/>
    <w:rsid w:val="00400E99"/>
    <w:rsid w:val="00401A8A"/>
    <w:rsid w:val="00415368"/>
    <w:rsid w:val="00421BAC"/>
    <w:rsid w:val="004358EA"/>
    <w:rsid w:val="00437012"/>
    <w:rsid w:val="004419C3"/>
    <w:rsid w:val="00443E06"/>
    <w:rsid w:val="00475F7F"/>
    <w:rsid w:val="0048088B"/>
    <w:rsid w:val="004809EF"/>
    <w:rsid w:val="00485379"/>
    <w:rsid w:val="004904CD"/>
    <w:rsid w:val="004933F9"/>
    <w:rsid w:val="00496CBF"/>
    <w:rsid w:val="004A4095"/>
    <w:rsid w:val="004A7A83"/>
    <w:rsid w:val="004B1D4F"/>
    <w:rsid w:val="004D2DDB"/>
    <w:rsid w:val="004D4088"/>
    <w:rsid w:val="004D646A"/>
    <w:rsid w:val="004D691A"/>
    <w:rsid w:val="004E2E5D"/>
    <w:rsid w:val="00523679"/>
    <w:rsid w:val="00525893"/>
    <w:rsid w:val="00534B13"/>
    <w:rsid w:val="00544A84"/>
    <w:rsid w:val="005625A1"/>
    <w:rsid w:val="00573CF2"/>
    <w:rsid w:val="005740EC"/>
    <w:rsid w:val="00575D06"/>
    <w:rsid w:val="00591241"/>
    <w:rsid w:val="005A4EE3"/>
    <w:rsid w:val="005B0834"/>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6E2167"/>
    <w:rsid w:val="007014FB"/>
    <w:rsid w:val="00703961"/>
    <w:rsid w:val="00711BA6"/>
    <w:rsid w:val="00711CD3"/>
    <w:rsid w:val="00713E86"/>
    <w:rsid w:val="00723CA5"/>
    <w:rsid w:val="0072598A"/>
    <w:rsid w:val="00744EFE"/>
    <w:rsid w:val="007476E8"/>
    <w:rsid w:val="00755983"/>
    <w:rsid w:val="0076607D"/>
    <w:rsid w:val="00770662"/>
    <w:rsid w:val="00771EC7"/>
    <w:rsid w:val="00771FCB"/>
    <w:rsid w:val="00773823"/>
    <w:rsid w:val="00773E76"/>
    <w:rsid w:val="007A4368"/>
    <w:rsid w:val="007C11CD"/>
    <w:rsid w:val="007C60A7"/>
    <w:rsid w:val="007E2A6F"/>
    <w:rsid w:val="007E6448"/>
    <w:rsid w:val="007F3B0E"/>
    <w:rsid w:val="007F4325"/>
    <w:rsid w:val="00800413"/>
    <w:rsid w:val="008216F3"/>
    <w:rsid w:val="00832EB5"/>
    <w:rsid w:val="00834A5B"/>
    <w:rsid w:val="00851193"/>
    <w:rsid w:val="00877C8D"/>
    <w:rsid w:val="00880248"/>
    <w:rsid w:val="008819E0"/>
    <w:rsid w:val="00884C27"/>
    <w:rsid w:val="008858AE"/>
    <w:rsid w:val="0089507C"/>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5551"/>
    <w:rsid w:val="00953CF9"/>
    <w:rsid w:val="00963901"/>
    <w:rsid w:val="009650EC"/>
    <w:rsid w:val="009671D8"/>
    <w:rsid w:val="00976995"/>
    <w:rsid w:val="009801AC"/>
    <w:rsid w:val="0098405A"/>
    <w:rsid w:val="009849EB"/>
    <w:rsid w:val="00994608"/>
    <w:rsid w:val="009B1D84"/>
    <w:rsid w:val="009B1F22"/>
    <w:rsid w:val="009B7667"/>
    <w:rsid w:val="009C16E4"/>
    <w:rsid w:val="009C2A37"/>
    <w:rsid w:val="009C5480"/>
    <w:rsid w:val="009D1B90"/>
    <w:rsid w:val="009D4B2F"/>
    <w:rsid w:val="009E7E1F"/>
    <w:rsid w:val="009F5F08"/>
    <w:rsid w:val="00A07151"/>
    <w:rsid w:val="00A15146"/>
    <w:rsid w:val="00A20082"/>
    <w:rsid w:val="00A40ABD"/>
    <w:rsid w:val="00A45372"/>
    <w:rsid w:val="00A46B2A"/>
    <w:rsid w:val="00A507D3"/>
    <w:rsid w:val="00A55DF3"/>
    <w:rsid w:val="00A61458"/>
    <w:rsid w:val="00A94D23"/>
    <w:rsid w:val="00AA0988"/>
    <w:rsid w:val="00AA2AB0"/>
    <w:rsid w:val="00AA5F24"/>
    <w:rsid w:val="00AB2D56"/>
    <w:rsid w:val="00AD7DB2"/>
    <w:rsid w:val="00AF41B6"/>
    <w:rsid w:val="00AF640E"/>
    <w:rsid w:val="00AF78A2"/>
    <w:rsid w:val="00B030D2"/>
    <w:rsid w:val="00B043A3"/>
    <w:rsid w:val="00B11BB3"/>
    <w:rsid w:val="00B357CE"/>
    <w:rsid w:val="00B435D2"/>
    <w:rsid w:val="00B43F71"/>
    <w:rsid w:val="00B449DE"/>
    <w:rsid w:val="00B55F24"/>
    <w:rsid w:val="00B57441"/>
    <w:rsid w:val="00B6287A"/>
    <w:rsid w:val="00B63764"/>
    <w:rsid w:val="00B658B7"/>
    <w:rsid w:val="00B70505"/>
    <w:rsid w:val="00B821F9"/>
    <w:rsid w:val="00BB10CB"/>
    <w:rsid w:val="00BB1BC3"/>
    <w:rsid w:val="00BB42AB"/>
    <w:rsid w:val="00BC41A2"/>
    <w:rsid w:val="00BD036F"/>
    <w:rsid w:val="00BD13AA"/>
    <w:rsid w:val="00BD442B"/>
    <w:rsid w:val="00BE21AB"/>
    <w:rsid w:val="00BF3988"/>
    <w:rsid w:val="00C0061B"/>
    <w:rsid w:val="00C079A1"/>
    <w:rsid w:val="00C107A4"/>
    <w:rsid w:val="00C11944"/>
    <w:rsid w:val="00C12FCE"/>
    <w:rsid w:val="00C33DEB"/>
    <w:rsid w:val="00C40D6C"/>
    <w:rsid w:val="00C42818"/>
    <w:rsid w:val="00C44D6D"/>
    <w:rsid w:val="00C46243"/>
    <w:rsid w:val="00C545D5"/>
    <w:rsid w:val="00C56742"/>
    <w:rsid w:val="00C660EA"/>
    <w:rsid w:val="00C71320"/>
    <w:rsid w:val="00C7621A"/>
    <w:rsid w:val="00C945BD"/>
    <w:rsid w:val="00CA0A05"/>
    <w:rsid w:val="00CA4B23"/>
    <w:rsid w:val="00CB3A5E"/>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7297"/>
    <w:rsid w:val="00DB0FC9"/>
    <w:rsid w:val="00DB50E6"/>
    <w:rsid w:val="00DC4FE2"/>
    <w:rsid w:val="00DE382E"/>
    <w:rsid w:val="00DE53B2"/>
    <w:rsid w:val="00DE5489"/>
    <w:rsid w:val="00DF73E4"/>
    <w:rsid w:val="00E017BA"/>
    <w:rsid w:val="00E01B24"/>
    <w:rsid w:val="00E034D7"/>
    <w:rsid w:val="00E1322A"/>
    <w:rsid w:val="00E251DE"/>
    <w:rsid w:val="00E37634"/>
    <w:rsid w:val="00E41C8A"/>
    <w:rsid w:val="00E53BCF"/>
    <w:rsid w:val="00E638F0"/>
    <w:rsid w:val="00E7321D"/>
    <w:rsid w:val="00E7551C"/>
    <w:rsid w:val="00E80042"/>
    <w:rsid w:val="00E97388"/>
    <w:rsid w:val="00EA234E"/>
    <w:rsid w:val="00EA3644"/>
    <w:rsid w:val="00EB66CE"/>
    <w:rsid w:val="00EB79D3"/>
    <w:rsid w:val="00EC2025"/>
    <w:rsid w:val="00EC485E"/>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7EAF"/>
    <w:rsid w:val="00FC03C8"/>
    <w:rsid w:val="00FC617A"/>
    <w:rsid w:val="00FD3A50"/>
    <w:rsid w:val="00FE0175"/>
    <w:rsid w:val="00FE3C91"/>
    <w:rsid w:val="00FF2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6C31"/>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077EC2-45F1-4598-A946-60E6D60A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28</Pages>
  <Words>6593</Words>
  <Characters>37582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302</cp:revision>
  <cp:lastPrinted>2023-09-04T19:03:00Z</cp:lastPrinted>
  <dcterms:created xsi:type="dcterms:W3CDTF">2023-09-03T07:10:00Z</dcterms:created>
  <dcterms:modified xsi:type="dcterms:W3CDTF">2023-09-06T17:33:00Z</dcterms:modified>
</cp:coreProperties>
</file>