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740120"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740120"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Pr="005740EC"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Pr>
          <w:rFonts w:asciiTheme="majorBidi" w:hAnsiTheme="majorBidi" w:cstheme="majorBidi"/>
          <w:sz w:val="32"/>
          <w:szCs w:val="32"/>
        </w:rPr>
        <w:t>)</w:t>
      </w:r>
    </w:p>
    <w:p w:rsidR="00703961" w:rsidRDefault="00703961" w:rsidP="00496CBF">
      <w:pPr>
        <w:rPr>
          <w:rFonts w:asciiTheme="majorBidi" w:hAnsiTheme="majorBidi" w:cstheme="majorBidi"/>
          <w:sz w:val="32"/>
          <w:szCs w:val="32"/>
        </w:rPr>
      </w:pPr>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9B54E6">
      <w:pPr>
        <w:jc w:val="both"/>
        <w:rPr>
          <w:rFonts w:asciiTheme="majorBidi" w:hAnsiTheme="majorBidi" w:cstheme="majorBidi"/>
          <w:sz w:val="32"/>
          <w:szCs w:val="32"/>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bookmarkStart w:id="0" w:name="_GoBack"/>
      <w:bookmarkEnd w:id="0"/>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C141EA" w:rsidRDefault="00C141EA"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120" w:rsidRDefault="00740120" w:rsidP="00924540">
      <w:pPr>
        <w:spacing w:after="0" w:line="240" w:lineRule="auto"/>
      </w:pPr>
      <w:r>
        <w:separator/>
      </w:r>
    </w:p>
  </w:endnote>
  <w:endnote w:type="continuationSeparator" w:id="0">
    <w:p w:rsidR="00740120" w:rsidRDefault="00740120"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120" w:rsidRDefault="00740120" w:rsidP="00924540">
      <w:pPr>
        <w:spacing w:after="0" w:line="240" w:lineRule="auto"/>
      </w:pPr>
      <w:r>
        <w:separator/>
      </w:r>
    </w:p>
  </w:footnote>
  <w:footnote w:type="continuationSeparator" w:id="0">
    <w:p w:rsidR="00740120" w:rsidRDefault="00740120"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0"/>
  </w:num>
  <w:num w:numId="4">
    <w:abstractNumId w:val="36"/>
  </w:num>
  <w:num w:numId="5">
    <w:abstractNumId w:val="43"/>
  </w:num>
  <w:num w:numId="6">
    <w:abstractNumId w:val="32"/>
  </w:num>
  <w:num w:numId="7">
    <w:abstractNumId w:val="31"/>
  </w:num>
  <w:num w:numId="8">
    <w:abstractNumId w:val="33"/>
  </w:num>
  <w:num w:numId="9">
    <w:abstractNumId w:val="16"/>
  </w:num>
  <w:num w:numId="10">
    <w:abstractNumId w:val="37"/>
  </w:num>
  <w:num w:numId="11">
    <w:abstractNumId w:val="5"/>
  </w:num>
  <w:num w:numId="12">
    <w:abstractNumId w:val="13"/>
  </w:num>
  <w:num w:numId="13">
    <w:abstractNumId w:val="0"/>
  </w:num>
  <w:num w:numId="14">
    <w:abstractNumId w:val="19"/>
  </w:num>
  <w:num w:numId="15">
    <w:abstractNumId w:val="21"/>
  </w:num>
  <w:num w:numId="16">
    <w:abstractNumId w:val="24"/>
  </w:num>
  <w:num w:numId="17">
    <w:abstractNumId w:val="20"/>
  </w:num>
  <w:num w:numId="18">
    <w:abstractNumId w:val="8"/>
  </w:num>
  <w:num w:numId="19">
    <w:abstractNumId w:val="35"/>
  </w:num>
  <w:num w:numId="20">
    <w:abstractNumId w:val="3"/>
  </w:num>
  <w:num w:numId="21">
    <w:abstractNumId w:val="2"/>
  </w:num>
  <w:num w:numId="22">
    <w:abstractNumId w:val="30"/>
  </w:num>
  <w:num w:numId="23">
    <w:abstractNumId w:val="28"/>
  </w:num>
  <w:num w:numId="24">
    <w:abstractNumId w:val="26"/>
  </w:num>
  <w:num w:numId="25">
    <w:abstractNumId w:val="11"/>
  </w:num>
  <w:num w:numId="26">
    <w:abstractNumId w:val="23"/>
  </w:num>
  <w:num w:numId="27">
    <w:abstractNumId w:val="22"/>
  </w:num>
  <w:num w:numId="28">
    <w:abstractNumId w:val="41"/>
  </w:num>
  <w:num w:numId="29">
    <w:abstractNumId w:val="1"/>
  </w:num>
  <w:num w:numId="30">
    <w:abstractNumId w:val="38"/>
  </w:num>
  <w:num w:numId="31">
    <w:abstractNumId w:val="18"/>
  </w:num>
  <w:num w:numId="32">
    <w:abstractNumId w:val="14"/>
  </w:num>
  <w:num w:numId="33">
    <w:abstractNumId w:val="34"/>
  </w:num>
  <w:num w:numId="34">
    <w:abstractNumId w:val="25"/>
  </w:num>
  <w:num w:numId="35">
    <w:abstractNumId w:val="29"/>
  </w:num>
  <w:num w:numId="36">
    <w:abstractNumId w:val="15"/>
  </w:num>
  <w:num w:numId="37">
    <w:abstractNumId w:val="12"/>
  </w:num>
  <w:num w:numId="38">
    <w:abstractNumId w:val="39"/>
  </w:num>
  <w:num w:numId="39">
    <w:abstractNumId w:val="17"/>
  </w:num>
  <w:num w:numId="40">
    <w:abstractNumId w:val="9"/>
  </w:num>
  <w:num w:numId="41">
    <w:abstractNumId w:val="40"/>
  </w:num>
  <w:num w:numId="42">
    <w:abstractNumId w:val="6"/>
  </w:num>
  <w:num w:numId="43">
    <w:abstractNumId w:val="4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71"/>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A7DE5"/>
    <w:rsid w:val="001B41D7"/>
    <w:rsid w:val="001C002A"/>
    <w:rsid w:val="001F136D"/>
    <w:rsid w:val="00221DC2"/>
    <w:rsid w:val="00231B02"/>
    <w:rsid w:val="0023358B"/>
    <w:rsid w:val="0023522E"/>
    <w:rsid w:val="00250B5C"/>
    <w:rsid w:val="00251374"/>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0120"/>
    <w:rsid w:val="00744EFE"/>
    <w:rsid w:val="007476E8"/>
    <w:rsid w:val="00755983"/>
    <w:rsid w:val="0076607D"/>
    <w:rsid w:val="00770662"/>
    <w:rsid w:val="00771EC7"/>
    <w:rsid w:val="00771FCB"/>
    <w:rsid w:val="00773823"/>
    <w:rsid w:val="00773E76"/>
    <w:rsid w:val="007A4368"/>
    <w:rsid w:val="007C11CD"/>
    <w:rsid w:val="007C60A7"/>
    <w:rsid w:val="007E2A6F"/>
    <w:rsid w:val="007E6448"/>
    <w:rsid w:val="007F3B0E"/>
    <w:rsid w:val="007F4325"/>
    <w:rsid w:val="00800413"/>
    <w:rsid w:val="00801784"/>
    <w:rsid w:val="008216F3"/>
    <w:rsid w:val="008235BD"/>
    <w:rsid w:val="00832EB5"/>
    <w:rsid w:val="00834A5B"/>
    <w:rsid w:val="00847757"/>
    <w:rsid w:val="00851193"/>
    <w:rsid w:val="00877C8D"/>
    <w:rsid w:val="00880248"/>
    <w:rsid w:val="008819E0"/>
    <w:rsid w:val="00884C27"/>
    <w:rsid w:val="008858AE"/>
    <w:rsid w:val="0089507C"/>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04CF"/>
    <w:rsid w:val="00945551"/>
    <w:rsid w:val="00953CF9"/>
    <w:rsid w:val="00963901"/>
    <w:rsid w:val="009650EC"/>
    <w:rsid w:val="009671D8"/>
    <w:rsid w:val="00976995"/>
    <w:rsid w:val="009801AC"/>
    <w:rsid w:val="0098405A"/>
    <w:rsid w:val="009849EB"/>
    <w:rsid w:val="00994608"/>
    <w:rsid w:val="009B1D84"/>
    <w:rsid w:val="009B1F22"/>
    <w:rsid w:val="009B54E6"/>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5DF3"/>
    <w:rsid w:val="00A61458"/>
    <w:rsid w:val="00A94D23"/>
    <w:rsid w:val="00AA0988"/>
    <w:rsid w:val="00AA2AB0"/>
    <w:rsid w:val="00AA5F24"/>
    <w:rsid w:val="00AB2D56"/>
    <w:rsid w:val="00AD7DB2"/>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45D5"/>
    <w:rsid w:val="00C56742"/>
    <w:rsid w:val="00C660EA"/>
    <w:rsid w:val="00C71320"/>
    <w:rsid w:val="00C7621A"/>
    <w:rsid w:val="00C945BD"/>
    <w:rsid w:val="00CA0A05"/>
    <w:rsid w:val="00CA4B23"/>
    <w:rsid w:val="00CB0F13"/>
    <w:rsid w:val="00CB3A5E"/>
    <w:rsid w:val="00CB557F"/>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7297"/>
    <w:rsid w:val="00DB0FC9"/>
    <w:rsid w:val="00DB50E6"/>
    <w:rsid w:val="00DC4FE2"/>
    <w:rsid w:val="00DD0880"/>
    <w:rsid w:val="00DE382E"/>
    <w:rsid w:val="00DE53B2"/>
    <w:rsid w:val="00DE5489"/>
    <w:rsid w:val="00DF73E4"/>
    <w:rsid w:val="00E017BA"/>
    <w:rsid w:val="00E01B24"/>
    <w:rsid w:val="00E034D7"/>
    <w:rsid w:val="00E1322A"/>
    <w:rsid w:val="00E251DE"/>
    <w:rsid w:val="00E37634"/>
    <w:rsid w:val="00E41C8A"/>
    <w:rsid w:val="00E43E7E"/>
    <w:rsid w:val="00E53BCF"/>
    <w:rsid w:val="00E638F0"/>
    <w:rsid w:val="00E7321D"/>
    <w:rsid w:val="00E7551C"/>
    <w:rsid w:val="00E80042"/>
    <w:rsid w:val="00E97388"/>
    <w:rsid w:val="00EA234E"/>
    <w:rsid w:val="00EA3644"/>
    <w:rsid w:val="00EB66CE"/>
    <w:rsid w:val="00EB79D3"/>
    <w:rsid w:val="00EC2025"/>
    <w:rsid w:val="00EC485E"/>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7EAF"/>
    <w:rsid w:val="00FC03C8"/>
    <w:rsid w:val="00FC617A"/>
    <w:rsid w:val="00FD3A50"/>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A8B4"/>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21F2DC-FDE1-4A98-B9B5-07EDED95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27</Pages>
  <Words>6917</Words>
  <Characters>39429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317</cp:revision>
  <cp:lastPrinted>2023-09-04T19:03:00Z</cp:lastPrinted>
  <dcterms:created xsi:type="dcterms:W3CDTF">2023-09-03T07:10:00Z</dcterms:created>
  <dcterms:modified xsi:type="dcterms:W3CDTF">2023-09-06T20:36:00Z</dcterms:modified>
</cp:coreProperties>
</file>