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ageBreakBefore w:val="on"/>
      </w:pPr>
      <w:r>
        <w:t>Content for the First Page</w:t>
        <w:cr/>
      </w:r>
    </w:p>
    <w:p>
      <w:pPr>
        <w:pageBreakBefore w:val="on"/>
      </w:pPr>
      <w:r>
        <w:t>Content for the Second Page</w:t>
        <w:cr/>
      </w:r>
    </w:p>
    <w:p>
      <w:pPr>
        <w:pageBreakBefore w:val="on"/>
      </w:pPr>
      <w:r>
        <w:cr/>
      </w:r>
    </w:p>
    <w:p>
      <w:pPr/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/>
    <w:p>
      <w:r>
        <w:cr/>
      </w: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Relationship Id="rId3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en-GB"/>
              <a:t>Report December 2023</a:t>
            </a:r>
            <a:endParaRPr lang="en-US" sz="1100"/>
          </a:p>
        </c:rich>
      </c:tx>
      <c:layout/>
    </c:title>
    <c:plotArea>
      <c:barChart>
        <c:barDir val="col"/>
        <c:ser>
          <c:idx val="0"/>
          <c:order val="0"/>
          <c:tx>
            <c:v>Report</c:v>
          </c:tx>
          <c:spPr>
            <a:solidFill>
              <a:prstClr val="blue"/>
            </a:solidFill>
          </c:spPr>
          <c:cat>
            <c:strLit>
              <c:ptCount val="5"/>
              <c:pt idx="0">
                <c:v>Critical</c:v>
              </c:pt>
              <c:pt idx="1">
                <c:v>High</c:v>
              </c:pt>
              <c:pt idx="2">
                <c:v>Medium</c:v>
              </c:pt>
              <c:pt idx="3">
                <c:v>Low</c:v>
              </c:pt>
              <c:pt idx="4">
                <c:v>Best Practice</c:v>
              </c:pt>
            </c:strLit>
          </c:cat>
          <c:val>
            <c:numLit>
              <c:ptCount val="5"/>
              <c:pt idx="0">
                <c:v>1.0</c:v>
              </c:pt>
              <c:pt idx="1">
                <c:v>2.0</c:v>
              </c:pt>
              <c:pt idx="2">
                <c:v>3.0</c:v>
              </c:pt>
              <c:pt idx="3">
                <c:v>4.0</c:v>
              </c:pt>
              <c:pt idx="4">
                <c:v>5.0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en-GB"/>
              <a:t>Report December 2023</a:t>
            </a:r>
            <a:endParaRPr lang="en-US" sz="1100"/>
          </a:p>
        </c:rich>
      </c:tx>
      <c:layout/>
    </c:title>
    <c:plotArea>
      <c:barChart>
        <c:barDir val="col"/>
        <c:ser>
          <c:idx val="0"/>
          <c:order val="0"/>
          <c:tx>
            <c:v>Report</c:v>
          </c:tx>
          <c:spPr>
            <a:solidFill>
              <a:prstClr val="blue"/>
            </a:solidFill>
          </c:spPr>
          <c:cat>
            <c:strLit>
              <c:ptCount val="5"/>
              <c:pt idx="0">
                <c:v>Critical</c:v>
              </c:pt>
              <c:pt idx="1">
                <c:v>High</c:v>
              </c:pt>
              <c:pt idx="2">
                <c:v>Medium</c:v>
              </c:pt>
              <c:pt idx="3">
                <c:v>Low</c:v>
              </c:pt>
              <c:pt idx="4">
                <c:v>Best Practice</c:v>
              </c:pt>
            </c:strLit>
          </c:cat>
          <c:val>
            <c:numLit>
              <c:ptCount val="5"/>
              <c:pt idx="0">
                <c:v>1.0</c:v>
              </c:pt>
              <c:pt idx="1">
                <c:v>2.0</c:v>
              </c:pt>
              <c:pt idx="2">
                <c:v>3.0</c:v>
              </c:pt>
              <c:pt idx="3">
                <c:v>4.0</c:v>
              </c:pt>
              <c:pt idx="4">
                <c:v>5.0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2024-02-02T14:09:12Z</dcterms:created>
  <dc:creator>Apache POI</dc:creator>
</cp:coreProperties>
</file>