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Chapitre 1. La fiscalité numérique à l'épreuve de l'harmonisation internationale : revue systématique et état de l'art</w:t>
      </w:r>
    </w:p>
    <w:p>
      <w:pPr>
        <w:spacing w:after="200" w:before="240"/>
        <w:jc w:val="center"/>
      </w:pPr>
      <w:r>
        <w:rPr>
          <w:b/>
          <w:bCs/>
          <w:sz w:val="24"/>
          <w:szCs w:val="24"/>
        </w:rPr>
        <w:t xml:space="preserve">Plan du chapitre</w:t>
      </w:r>
    </w:p>
    <w:p>
      <w:pPr>
        <w:spacing w:after="60" w:line="276"/>
        <w:ind w:left="0"/>
      </w:pPr>
      <w:r>
        <w:rPr>
          <w:b/>
          <w:bCs/>
          <w:sz w:val="22"/>
          <w:szCs w:val="22"/>
        </w:rPr>
        <w:t xml:space="preserve">Introduction du chapitre</w:t>
      </w:r>
    </w:p>
    <w:p>
      <w:pPr>
        <w:spacing w:after="60" w:line="276"/>
        <w:ind w:left="0"/>
      </w:pPr>
      <w:r>
        <w:rPr>
          <w:b/>
          <w:bCs/>
          <w:sz w:val="22"/>
          <w:szCs w:val="22"/>
        </w:rPr>
        <w:t xml:space="preserve">Section 1. La démarche méthodologique de la revue systématique</w:t>
      </w:r>
    </w:p>
    <w:p>
      <w:pPr>
        <w:spacing w:after="60" w:line="276"/>
        <w:ind w:left="567"/>
      </w:pPr>
      <w:r>
        <w:rPr>
          <w:b w:val="false"/>
          <w:bCs w:val="false"/>
          <w:sz w:val="21"/>
          <w:szCs w:val="21"/>
        </w:rPr>
        <w:t xml:space="preserve">1.1. Le choix d'une revue systématique</w:t>
      </w:r>
    </w:p>
    <w:p>
      <w:pPr>
        <w:spacing w:after="60" w:line="276"/>
        <w:ind w:left="567"/>
      </w:pPr>
      <w:r>
        <w:rPr>
          <w:b w:val="false"/>
          <w:bCs w:val="false"/>
          <w:sz w:val="21"/>
          <w:szCs w:val="21"/>
        </w:rPr>
        <w:t xml:space="preserve">1.2. Les questions de recherche</w:t>
      </w:r>
    </w:p>
    <w:p>
      <w:pPr>
        <w:spacing w:after="60" w:line="276"/>
        <w:ind w:left="567"/>
      </w:pPr>
      <w:r>
        <w:rPr>
          <w:b w:val="false"/>
          <w:bCs w:val="false"/>
          <w:sz w:val="21"/>
          <w:szCs w:val="21"/>
        </w:rPr>
        <w:t xml:space="preserve">1.3. Les critères d'éligibilité</w:t>
      </w:r>
    </w:p>
    <w:p>
      <w:pPr>
        <w:spacing w:after="60" w:line="276"/>
        <w:ind w:left="567"/>
      </w:pPr>
      <w:r>
        <w:rPr>
          <w:b w:val="false"/>
          <w:bCs w:val="false"/>
          <w:sz w:val="21"/>
          <w:szCs w:val="21"/>
        </w:rPr>
        <w:t xml:space="preserve">1.4. Les sources d'information et la stratégie de recherche</w:t>
      </w:r>
    </w:p>
    <w:p>
      <w:pPr>
        <w:spacing w:after="60" w:line="276"/>
        <w:ind w:left="567"/>
      </w:pPr>
      <w:r>
        <w:rPr>
          <w:b w:val="false"/>
          <w:bCs w:val="false"/>
          <w:sz w:val="21"/>
          <w:szCs w:val="21"/>
        </w:rPr>
        <w:t xml:space="preserve">1.5. La sélection des travaux</w:t>
      </w:r>
    </w:p>
    <w:p>
      <w:pPr>
        <w:spacing w:after="60" w:line="276"/>
        <w:ind w:left="567"/>
      </w:pPr>
      <w:r>
        <w:rPr>
          <w:b w:val="false"/>
          <w:bCs w:val="false"/>
          <w:sz w:val="21"/>
          <w:szCs w:val="21"/>
        </w:rPr>
        <w:t xml:space="preserve">1.6. L'extraction des données et l'évaluation de la qualité</w:t>
      </w:r>
    </w:p>
    <w:p>
      <w:pPr>
        <w:spacing w:after="60" w:line="276"/>
        <w:ind w:left="567"/>
      </w:pPr>
      <w:r>
        <w:rPr>
          <w:b w:val="false"/>
          <w:bCs w:val="false"/>
          <w:sz w:val="21"/>
          <w:szCs w:val="21"/>
        </w:rPr>
        <w:t xml:space="preserve">1.7. La méthode de synthèse</w:t>
      </w:r>
    </w:p>
    <w:p>
      <w:pPr>
        <w:spacing w:after="60" w:line="276"/>
        <w:ind w:left="0"/>
      </w:pPr>
      <w:r>
        <w:rPr>
          <w:b/>
          <w:bCs/>
          <w:sz w:val="22"/>
          <w:szCs w:val="22"/>
        </w:rPr>
        <w:t xml:space="preserve">Section 2. Cartographie bibliométrique du champ</w:t>
      </w:r>
    </w:p>
    <w:p>
      <w:pPr>
        <w:spacing w:after="60" w:line="276"/>
        <w:ind w:left="567"/>
      </w:pPr>
      <w:r>
        <w:rPr>
          <w:b w:val="false"/>
          <w:bCs w:val="false"/>
          <w:sz w:val="21"/>
          <w:szCs w:val="21"/>
        </w:rPr>
        <w:t xml:space="preserve">2.1. Une production récente et en forte accélération</w:t>
      </w:r>
    </w:p>
    <w:p>
      <w:pPr>
        <w:spacing w:after="60" w:line="276"/>
        <w:ind w:left="567"/>
      </w:pPr>
      <w:r>
        <w:rPr>
          <w:b w:val="false"/>
          <w:bCs w:val="false"/>
          <w:sz w:val="21"/>
          <w:szCs w:val="21"/>
        </w:rPr>
        <w:t xml:space="preserve">2.2. Un champ dominé par les revues spécialisées de droit fiscal international</w:t>
      </w:r>
    </w:p>
    <w:p>
      <w:pPr>
        <w:spacing w:after="60" w:line="276"/>
        <w:ind w:left="567"/>
      </w:pPr>
      <w:r>
        <w:rPr>
          <w:b w:val="false"/>
          <w:bCs w:val="false"/>
          <w:sz w:val="21"/>
          <w:szCs w:val="21"/>
        </w:rPr>
        <w:t xml:space="preserve">2.3. Des auteurs peu nombreux et une forte individualisation de la recherche</w:t>
      </w:r>
    </w:p>
    <w:p>
      <w:pPr>
        <w:spacing w:after="60" w:line="276"/>
        <w:ind w:left="567"/>
      </w:pPr>
      <w:r>
        <w:rPr>
          <w:b w:val="false"/>
          <w:bCs w:val="false"/>
          <w:sz w:val="21"/>
          <w:szCs w:val="21"/>
        </w:rPr>
        <w:t xml:space="preserve">2.4. Les instruments étudiés : le Pilier 2 au premier plan</w:t>
      </w:r>
    </w:p>
    <w:p>
      <w:pPr>
        <w:spacing w:after="60" w:line="276"/>
        <w:ind w:left="567"/>
      </w:pPr>
      <w:r>
        <w:rPr>
          <w:b w:val="false"/>
          <w:bCs w:val="false"/>
          <w:sz w:val="21"/>
          <w:szCs w:val="21"/>
        </w:rPr>
        <w:t xml:space="preserve">2.5. Des régions et des méthodes inégalement couvertes</w:t>
      </w:r>
    </w:p>
    <w:p>
      <w:pPr>
        <w:spacing w:after="60" w:line="276"/>
        <w:ind w:left="567"/>
      </w:pPr>
      <w:r>
        <w:rPr>
          <w:b w:val="false"/>
          <w:bCs w:val="false"/>
          <w:sz w:val="21"/>
          <w:szCs w:val="21"/>
        </w:rPr>
        <w:t xml:space="preserve">2.6. Les niveaux de la chaîne de transmission : l'entreprise, maillon faible</w:t>
      </w:r>
    </w:p>
    <w:p>
      <w:pPr>
        <w:spacing w:after="60" w:line="276"/>
        <w:ind w:left="0"/>
      </w:pPr>
      <w:r>
        <w:rPr>
          <w:b/>
          <w:bCs/>
          <w:sz w:val="22"/>
          <w:szCs w:val="22"/>
        </w:rPr>
        <w:t xml:space="preserve">Section 3. État de l'art : des normes internationales à la compétitivité des entreprises</w:t>
      </w:r>
    </w:p>
    <w:p>
      <w:pPr>
        <w:spacing w:after="60" w:line="276"/>
        <w:ind w:left="567"/>
      </w:pPr>
      <w:r>
        <w:rPr>
          <w:b w:val="false"/>
          <w:bCs w:val="false"/>
          <w:sz w:val="21"/>
          <w:szCs w:val="21"/>
        </w:rPr>
        <w:t xml:space="preserve">3.1. Le défi du numérique pour la souveraineté fiscale</w:t>
      </w:r>
    </w:p>
    <w:p>
      <w:pPr>
        <w:spacing w:after="60" w:line="276"/>
        <w:ind w:left="567"/>
      </w:pPr>
      <w:r>
        <w:rPr>
          <w:b w:val="false"/>
          <w:bCs w:val="false"/>
          <w:sz w:val="21"/>
          <w:szCs w:val="21"/>
        </w:rPr>
        <w:t xml:space="preserve">3.2. Les réponses unilatérales : taxes sur les services numériques et TVA</w:t>
      </w:r>
    </w:p>
    <w:p>
      <w:pPr>
        <w:spacing w:after="60" w:line="276"/>
        <w:ind w:left="567"/>
      </w:pPr>
      <w:r>
        <w:rPr>
          <w:b w:val="false"/>
          <w:bCs w:val="false"/>
          <w:sz w:val="21"/>
          <w:szCs w:val="21"/>
        </w:rPr>
        <w:t xml:space="preserve">3.3. La construction de la réponse multilatérale : de BEPS à la solution à deux piliers</w:t>
      </w:r>
    </w:p>
    <w:p>
      <w:pPr>
        <w:spacing w:after="60" w:line="276"/>
        <w:ind w:left="567"/>
      </w:pPr>
      <w:r>
        <w:rPr>
          <w:b w:val="false"/>
          <w:bCs w:val="false"/>
          <w:sz w:val="21"/>
          <w:szCs w:val="21"/>
        </w:rPr>
        <w:t xml:space="preserve">3.4. Les effets sur la compétitivité fiscale des États</w:t>
      </w:r>
    </w:p>
    <w:p>
      <w:pPr>
        <w:spacing w:after="60" w:line="276"/>
        <w:ind w:left="567"/>
      </w:pPr>
      <w:r>
        <w:rPr>
          <w:b w:val="false"/>
          <w:bCs w:val="false"/>
          <w:sz w:val="21"/>
          <w:szCs w:val="21"/>
        </w:rPr>
        <w:t xml:space="preserve">3.5. Les effets sur les entreprises</w:t>
      </w:r>
    </w:p>
    <w:p>
      <w:pPr>
        <w:spacing w:after="60" w:line="276"/>
        <w:ind w:left="567"/>
      </w:pPr>
      <w:r>
        <w:rPr>
          <w:b w:val="false"/>
          <w:bCs w:val="false"/>
          <w:sz w:val="21"/>
          <w:szCs w:val="21"/>
        </w:rPr>
        <w:t xml:space="preserve">3.6. Les pays en développement, l'Afrique et le Maroc</w:t>
      </w:r>
    </w:p>
    <w:p>
      <w:pPr>
        <w:spacing w:after="60" w:line="276"/>
        <w:ind w:left="0"/>
      </w:pPr>
      <w:r>
        <w:rPr>
          <w:b/>
          <w:bCs/>
          <w:sz w:val="22"/>
          <w:szCs w:val="22"/>
        </w:rPr>
        <w:t xml:space="preserve">Section 4. Bilan : consensus, controverses et lacunes de la littérature</w:t>
      </w:r>
    </w:p>
    <w:p>
      <w:pPr>
        <w:spacing w:after="60" w:line="276"/>
        <w:ind w:left="567"/>
      </w:pPr>
      <w:r>
        <w:rPr>
          <w:b w:val="false"/>
          <w:bCs w:val="false"/>
          <w:sz w:val="21"/>
          <w:szCs w:val="21"/>
        </w:rPr>
        <w:t xml:space="preserve">4.1. Les points de consensus</w:t>
      </w:r>
    </w:p>
    <w:p>
      <w:pPr>
        <w:spacing w:after="60" w:line="276"/>
        <w:ind w:left="567"/>
      </w:pPr>
      <w:r>
        <w:rPr>
          <w:b w:val="false"/>
          <w:bCs w:val="false"/>
          <w:sz w:val="21"/>
          <w:szCs w:val="21"/>
        </w:rPr>
        <w:t xml:space="preserve">4.2. Les controverses</w:t>
      </w:r>
    </w:p>
    <w:p>
      <w:pPr>
        <w:spacing w:after="60" w:line="276"/>
        <w:ind w:left="567"/>
      </w:pPr>
      <w:r>
        <w:rPr>
          <w:b w:val="false"/>
          <w:bCs w:val="false"/>
          <w:sz w:val="21"/>
          <w:szCs w:val="21"/>
        </w:rPr>
        <w:t xml:space="preserve">4.3. Les lacunes</w:t>
      </w:r>
    </w:p>
    <w:p>
      <w:pPr>
        <w:spacing w:after="60" w:line="276"/>
        <w:ind w:left="567"/>
      </w:pPr>
      <w:r>
        <w:rPr>
          <w:b w:val="false"/>
          <w:bCs w:val="false"/>
          <w:sz w:val="21"/>
          <w:szCs w:val="21"/>
        </w:rPr>
        <w:t xml:space="preserve">4.4. De l'état de l'art à la problématique de la thèse</w:t>
      </w:r>
    </w:p>
    <w:p>
      <w:pPr>
        <w:spacing w:after="60" w:line="276"/>
        <w:ind w:left="0"/>
      </w:pPr>
      <w:r>
        <w:rPr>
          <w:b/>
          <w:bCs/>
          <w:sz w:val="22"/>
          <w:szCs w:val="22"/>
        </w:rPr>
        <w:t xml:space="preserve">Conclusion du chapitre</w:t>
      </w:r>
    </w:p>
    <w:p>
      <w:r>
        <w:br w:type="page"/>
      </w:r>
    </w:p>
    <w:p>
      <w:pPr>
        <w:pStyle w:val="Heading2"/>
      </w:pPr>
      <w:r>
        <w:t xml:space="preserve">Introduction du chapitre</w:t>
      </w:r>
    </w:p>
    <w:p>
      <w:pPr>
        <w:spacing w:after="120" w:line="360"/>
        <w:ind w:firstLine="567"/>
        <w:jc w:val="both"/>
      </w:pPr>
      <w:r>
        <w:t xml:space="preserve">Peu de questions de fiscalité ont occupé autant de place dans le débat public de la dernière décennie que celle de l'imposition des entreprises du numérique. Le constat de départ est désormais bien connu : des groupes qui réalisent une part considérable de leur chiffre d'affaires dans un pays peuvent n'y acquitter qu'un impôt sur les bénéfices très faible, parce que les règles qui fondent le droit d'imposer d'un État, héritées des compromis de l'entre-deux-guerres, exigent une présence physique que l'économie numérique rend largement superflue. De ce constat est né un mouvement de réforme sans précédent, qui va du projet BEPS lancé en 2013 par l'OCDE et le G20 à la solution dite à deux piliers approuvée en octobre 2021 par le Cadre inclusif (OCDE, 2015 ; OCDE, 2021a), en passant par une floraison de mesures unilatérales, au premier rang desquelles les taxes sur les services numériques.</w:t>
      </w:r>
    </w:p>
    <w:p>
      <w:pPr>
        <w:spacing w:after="120" w:line="360"/>
        <w:ind w:firstLine="567"/>
        <w:jc w:val="both"/>
      </w:pPr>
      <w:r>
        <w:t xml:space="preserve">Ce mouvement a suscité une littérature scientifique abondante, mais dispersée. Les juristes fiscalistes, les économistes des finances publiques, les spécialistes de la comptabilité, du commerce international et de l'économie politique s'en sont emparés avec leurs propres questions, leurs propres méthodes et leurs propres revues. Pour une thèse qui entend étudier l'impact de cette harmonisation sur la compétitivité des entreprises au Maroc, cette dispersion pose une double difficulté. Il faut d'abord savoir ce que la littérature a réellement établi, au-delà des positions de principe. Il faut ensuite mesurer la place, vraisemblablement modeste, qu'y occupent les pays en développement, et plus encore le Maroc.</w:t>
      </w:r>
    </w:p>
    <w:p>
      <w:pPr>
        <w:spacing w:after="120" w:line="360"/>
        <w:ind w:firstLine="567"/>
        <w:jc w:val="both"/>
      </w:pPr>
      <w:r>
        <w:t xml:space="preserve">Le présent chapitre répond à ces deux exigences en combinant deux exercices complémentaires. Le premier est une revue systématique de la littérature, conduite selon les lignes directrices PRISMA 2020 (Page et al., 2021), qui permet de constituer de manière transparente et reproductible le corpus de travaux sur lequel repose l'analyse. Le second est un état de l'art, c'est-à-dire une lecture critique et organisée de ce corpus, qui confronte les positions, fait ressortir les points d'accord et de désaccord et identifie les questions laissées ouvertes. La première section expose la démarche méthodologique suivie. La deuxième dresse une cartographie bibliométrique du champ. La troisième présente l'état de l'art proprement dit, organisé selon la chaîne de transmission qui structure la thèse : des normes internationales à l'État, puis de l'État aux entreprises. La quatrième dresse le bilan des connaissances et en déduit les lacunes qui fondent la problématique de la recherche.</w:t>
      </w:r>
    </w:p>
    <w:p>
      <w:pPr>
        <w:pStyle w:val="Heading2"/>
      </w:pPr>
      <w:r>
        <w:t xml:space="preserve">Section 1. La démarche méthodologique de la revue systématique</w:t>
      </w:r>
    </w:p>
    <w:p>
      <w:pPr>
        <w:pStyle w:val="Heading3"/>
      </w:pPr>
      <w:r>
        <w:t xml:space="preserve">1.1. Le choix d'une revue systématique</w:t>
      </w:r>
    </w:p>
    <w:p>
      <w:pPr>
        <w:spacing w:after="120" w:line="360"/>
        <w:ind w:firstLine="567"/>
        <w:jc w:val="both"/>
      </w:pPr>
      <w:r>
        <w:t xml:space="preserve">La revue de littérature est un exercice obligé de toute thèse, mais elle peut prendre des formes très différentes. La revue narrative, longtemps dominante dans les disciplines juridiques, repose sur la sélection par le chercheur des travaux qu'il juge pertinents. Elle a le mérite de la souplesse, mais elle se prête mal à la vérification : le lecteur ne sait ni comment les travaux ont été trouvés, ni pourquoi d'autres ont été écartés. La revue systématique, née dans les sciences de la santé puis transposée aux sciences de gestion par Tranfield et al. (2003), inverse la logique. Elle fixe à l'avance les questions, les sources, les équations de recherche et les critères de sélection, puis rend compte de chaque étape de façon à ce que la démarche puisse être reproduite (Snyder, 2019).</w:t>
      </w:r>
    </w:p>
    <w:p>
      <w:pPr>
        <w:spacing w:after="120" w:line="360"/>
        <w:ind w:firstLine="567"/>
        <w:jc w:val="both"/>
      </w:pPr>
      <w:r>
        <w:t xml:space="preserve">Ce choix s'impose ici pour une raison précise. La thèse soutient que la littérature sur la fiscalité numérique s'est construite autour des préoccupations des pays de l'OCDE et que la situation des pays en développement, en particulier celle du Maroc, y demeure marginale. Une telle affirmation ne peut pas reposer sur une impression de lecture : elle doit pouvoir être mesurée. Seule une revue systématique permet de quantifier la place qu'occupe chaque thème, chaque région et chaque méthode dans la production scientifique, et donc de fonder sur des éléments vérifiables la lacune que la thèse entend combler.</w:t>
      </w:r>
    </w:p>
    <w:p>
      <w:pPr>
        <w:spacing w:after="120" w:line="360"/>
        <w:ind w:firstLine="567"/>
        <w:jc w:val="both"/>
      </w:pPr>
      <w:r>
        <w:t xml:space="preserve">La démarche suit le protocole établi préalablement à la collecte, conformément à la déclaration PRISMA-P (Moher et al., 2015). Le compte rendu de la recherche documentaire suit l'extension PRISMA-S (Rethlefsen et al., 2021). Les écarts au protocole, rendus nécessaires par l'indisponibilité temporaire de certaines bases, sont signalés et justifiés dans la suite de cette section.</w:t>
      </w:r>
    </w:p>
    <w:p>
      <w:pPr>
        <w:pStyle w:val="Heading3"/>
      </w:pPr>
      <w:r>
        <w:t xml:space="preserve">1.2. Les questions de recherche</w:t>
      </w:r>
    </w:p>
    <w:p>
      <w:pPr>
        <w:spacing w:after="120" w:line="360"/>
        <w:ind w:firstLine="567"/>
        <w:jc w:val="both"/>
      </w:pPr>
      <w:r>
        <w:t xml:space="preserve">La revue est guidée par une question principale : que nous apprend la littérature scientifique sur les effets de l'harmonisation internationale de la fiscalité de l'économie numérique sur la compétitivité fiscale des États et sur la compétitivité des entreprises, et dans quelle mesure ces enseignements sont-ils transposables au cas du Maroc ?</w:t>
      </w:r>
    </w:p>
    <w:p>
      <w:pPr>
        <w:spacing w:after="120" w:line="360"/>
        <w:ind w:firstLine="567"/>
        <w:jc w:val="both"/>
      </w:pPr>
      <w:r>
        <w:t xml:space="preserve">Cette question se décline en quatre questions secondaires. La première porte sur les mécanismes d'harmonisation eux-mêmes et sur la manière dont la littérature en évalue la cohérence (QR1). La deuxième s'intéresse à la façon dont ces mécanismes modifient la marge de manœuvre des États en matière d'attractivité fiscale, notamment celle des pays en développement (QR2). La troisième recense les effets identifiés sur la compétitivité des entreprises (QR3). La quatrième fait le point sur les connaissances relatives au Maroc et aux pays comparables, et sur les lacunes qui subsistent (QR4).</w:t>
      </w:r>
    </w:p>
    <w:p>
      <w:pPr>
        <w:spacing w:after="120" w:line="360"/>
        <w:ind w:firstLine="567"/>
        <w:jc w:val="both"/>
      </w:pPr>
      <w:r>
        <w:t xml:space="preserve">Ces questions reflètent le cadre d'analyse retenu pour l'ensemble de la thèse. La notion de compétitivité y est entendue dans un double sens. Au niveau de l'État, elle désigne l'attractivité fiscale du territoire, c'est-à-dire sa capacité à attirer et retenir l'investissement par les choix de sa politique fiscale. Au niveau de l'entreprise, elle désigne la capacité à affronter la concurrence, sur laquelle la fiscalité agit par la charge effective, les coûts de mise en conformité, les décisions d'investissement et l'égalité des conditions de concurrence. L'harmonisation internationale agit sur le premier niveau, qui à son tour conditionne le second : c'est cette chaîne de transmission que la revue cherche à documenter.</w:t>
      </w:r>
    </w:p>
    <w:p>
      <w:pPr>
        <w:pStyle w:val="Heading3"/>
      </w:pPr>
      <w:r>
        <w:t xml:space="preserve">1.3. Les critères d'éligibilité</w:t>
      </w:r>
    </w:p>
    <w:p>
      <w:pPr>
        <w:spacing w:after="120" w:line="360"/>
        <w:ind w:firstLine="567"/>
        <w:jc w:val="both"/>
      </w:pPr>
      <w:r>
        <w:t xml:space="preserve">Les critères d'éligibilité ont été fixés dans le protocole et appliqués sans modification. Sont retenus les travaux publiés entre le 1er janvier 2013, date du lancement du projet BEPS, et la date de la recherche, en français ou en anglais, sous la forme d'articles de revues à comité de lecture ou d'ouvrages et de chapitres publiés par des éditeurs scientifiques reconnus. Les travaux doivent porter sur la fiscalité de l'économie numérique ou sur l'imposition minimale mondiale, sous l'angle de l'harmonisation internationale, et analyser au moins un effet sur les États ou sur les entreprises.</w:t>
      </w:r>
    </w:p>
    <w:p>
      <w:pPr>
        <w:spacing w:after="120" w:line="360"/>
        <w:ind w:firstLine="567"/>
        <w:jc w:val="both"/>
      </w:pPr>
      <w:r>
        <w:t xml:space="preserve">Sont exclus les articles de presse, les notes de cabinets, les documents de travail non évalués, les mémoires et les thèses, ainsi que les travaux dans lesquels le numérique n'apparaît que comme un outil de l'administration fiscale (télédéclaration, facturation électronique, intelligence artificielle appliquée au contrôle). Cette dernière exclusion est importante, car une large part de la littérature indexée sous les termes de « fiscalité numérique » traite en réalité de la numérisation des administrations fiscales, qui relève d'une problématique distincte.</w:t>
      </w:r>
    </w:p>
    <w:p>
      <w:pPr>
        <w:spacing w:after="120" w:line="360"/>
        <w:ind w:firstLine="567"/>
        <w:jc w:val="both"/>
      </w:pPr>
      <w:r>
        <w:t xml:space="preserve">Les rapports de l'OCDE, des Nations unies et de l'Union européenne, ainsi que les textes législatifs marocains, ne font pas partie du corpus systématique. Ils constituent un corpus de contexte, mobilisé pour décrire l'état du droit positif, mais qui n'est pas soumis au processus de sélection. Les documents de travail des institutions de recherche suivent le même régime, sauf lorsqu'ils ont été publiés ensuite dans une revue, auquel cas seule la version publiée est retenue.</w:t>
      </w:r>
    </w:p>
    <w:p>
      <w:pPr>
        <w:pStyle w:val="Heading3"/>
      </w:pPr>
      <w:r>
        <w:t xml:space="preserve">1.4. Les sources d'information et la stratégie de recherche</w:t>
      </w:r>
    </w:p>
    <w:p>
      <w:pPr>
        <w:spacing w:after="120" w:line="360"/>
        <w:ind w:firstLine="567"/>
        <w:jc w:val="both"/>
      </w:pPr>
      <w:r>
        <w:t xml:space="preserve">Le protocole prévoyait d'interroger en priorité Scopus et le Web of Science. Au moment de la recherche, la plateforme de ressources électroniques de l'université qui donne accès à ces deux bases était en maintenance. Plutôt que de différer l'ensemble du travail, la recherche a été conduite dans deux bases ouvertes de grande couverture, Crossref et Semantic Scholar, et le critère d'indexation a été vérifié revue par revue au moyen de la liste SCImago, qui recense les revues indexées dans Scopus avec leur quartile. L'interrogation de Scopus et du Web of Science sera réalisée dès le rétablissement de l'accès ; ses résultats seront fusionnés avec le corpus présent et le diagramme de flux sera mis à jour. Cet écart au protocole est déclaré comme tel.</w:t>
      </w:r>
    </w:p>
    <w:p>
      <w:pPr>
        <w:spacing w:after="120" w:line="360"/>
        <w:ind w:firstLine="567"/>
        <w:jc w:val="both"/>
      </w:pPr>
      <w:r>
        <w:t xml:space="preserve">Les deux bases retenues ne fonctionnent pas de la même manière, ce qui a imposé deux stratégies distinctes. Semantic Scholar accepte des équations booléennes : l'équation du protocole y a été appliquée en combinant trois blocs reliés par l'opérateur ET, le premier portant sur les instruments de la fiscalité numérique, le deuxième sur l'harmonisation et le troisième sur la compétitivité et les entreprises. Une seconde requête, ciblée sur le Maroc et les pays en développement, croise le premier bloc avec un bloc géographique, afin de ne pas noyer les rares travaux consacrés à ces pays. Crossref, en revanche, classe ses résultats par pertinence sans opérateurs booléens : dix-huit requêtes en anglais et en français y ont été lancées, et les deux cents premiers résultats de chacune ont été retenus.</w:t>
      </w:r>
    </w:p>
    <w:p>
      <w:pPr>
        <w:spacing w:after="120" w:line="360"/>
        <w:ind w:firstLine="567"/>
        <w:jc w:val="both"/>
      </w:pPr>
      <w:r>
        <w:t xml:space="preserve">L'absence d'opérateurs de proximité dans ces bases a conduit à resserrer le premier bloc sur les termes propres à la fiscalité numérique. Une première version, qui comprenait des termes génériques comme « digitalisation », renvoyait plus de cinquante mille résultats sans rapport avec le sujet. Pour garantir l'homogénéité des deux sources, l'équation complète du protocole a ensuite été appliquée à toutes les notices collectées, sur leur titre et leur résumé, au moyen d'un contrôle automatisé. Le détail des équations, des dates et du nombre de résultats figure dans le journal des recherches annexé à la grille d'extraction.</w:t>
      </w:r>
    </w:p>
    <w:p>
      <w:pPr>
        <w:pStyle w:val="Heading3"/>
      </w:pPr>
      <w:r>
        <w:t xml:space="preserve">1.5. La sélection des travaux</w:t>
      </w:r>
    </w:p>
    <w:p>
      <w:pPr>
        <w:spacing w:after="120" w:line="360"/>
        <w:ind w:firstLine="567"/>
        <w:jc w:val="both"/>
      </w:pPr>
      <w:r>
        <w:t xml:space="preserve">Le processus de sélection est retracé par le diagramme de flux de la figure 1.1. La collecte a produit 17 616 notices, dont 3 600 issues de Crossref et 14 016 de Semantic Scholar. Le contrôle automatisé de l'équation en a écarté 15 923, la plupart issues de la requête géographique, dont la formulation large renvoyait de nombreux travaux sans rapport avec la fiscalité numérique. Le dédoublonnage, fondé sur le DOI puis sur la comparaison des titres normalisés, a supprimé 338 doublons. Un pré-filtre automatisé portant sur les critères formels a ensuite écarté 746 notices : 164 ne relevaient pas des types de documents admis (documents de travail, actes de colloques, rapports, thèses) et 582 avaient paru dans des revues absentes de la liste SCImago et de la liste des revues de référence fixée par le protocole.</w:t>
      </w:r>
    </w:p>
    <w:p>
      <w:pPr>
        <w:spacing w:after="120" w:line="360"/>
        <w:ind w:firstLine="567"/>
        <w:jc w:val="both"/>
      </w:pPr>
      <w:r>
        <w:t xml:space="preserve">Les 609 notices restantes ont été examinées une à une sur la base de leur titre et de leur résumé. Ce tri en a écarté 317, dont 259 parce qu'elles étaient hors du thème de la revue. Une grande partie de ces exclusions concerne des articles consacrés aux actions du projet BEPS sans lien avec le numérique ni avec l'imposition minimale (règles sur les sociétés étrangères contrôlées, limitation de la déduction des intérêts, clause anti-abus des conventions), qui avaient été captés par le sigle BEPS. Les 292 travaux retenus ont ensuite été évalués au regard de l'ensemble des critères, sur la base de leur résumé complet et, pour les cent d'entre eux disponibles en accès libre, de leur texte intégral. Six ont été écartés à ce stade. Une recherche par citations, en amont et en aval des travaux retenus, a permis d'ajouter cinq publications majeures que les bases n'avaient pas fait remonter. Le corpus final compte 291 études.</w:t>
      </w:r>
    </w:p>
    <w:p>
      <w:pPr>
        <w:keepNext/>
        <w:spacing w:after="80" w:before="200"/>
        <w:jc w:val="center"/>
      </w:pPr>
      <w:r>
        <w:rPr>
          <w:b/>
          <w:bCs/>
          <w:sz w:val="22"/>
          <w:szCs w:val="22"/>
        </w:rPr>
        <w:t xml:space="preserve">Figure 1.1. Diagramme de flux PRISMA 2020 de la revue systématique</w:t>
      </w:r>
    </w:p>
    <w:p>
      <w:pPr>
        <w:keepNext/>
        <w:jc w:val="center"/>
      </w:pPr>
      <w:r>
        <w:drawing>
          <wp:inline distT="0" distB="0" distL="0" distR="0">
            <wp:extent cx="5334000" cy="662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629400"/>
                    </a:xfrm>
                    <a:prstGeom prst="rect">
                      <a:avLst/>
                    </a:prstGeom>
                  </pic:spPr>
                </pic:pic>
              </a:graphicData>
            </a:graphic>
          </wp:inline>
        </w:drawing>
      </w:r>
    </w:p>
    <w:p>
      <w:pPr>
        <w:spacing w:after="240" w:before="60"/>
      </w:pPr>
      <w:r>
        <w:rPr>
          <w:i/>
          <w:iCs/>
          <w:sz w:val="20"/>
          <w:szCs w:val="20"/>
        </w:rPr>
        <w:t xml:space="preserve">Source :</w:t>
      </w:r>
      <w:r>
        <w:rPr>
          <w:sz w:val="20"/>
          <w:szCs w:val="20"/>
        </w:rPr>
        <w:t xml:space="preserve"> élaboration propre, d'après le modèle de Page et al. (2021).</w:t>
      </w:r>
    </w:p>
    <w:p>
      <w:pPr>
        <w:spacing w:after="120" w:line="360"/>
        <w:ind w:firstLine="567"/>
        <w:jc w:val="both"/>
      </w:pPr>
      <w:r>
        <w:t xml:space="preserve">Conformément à ce que le protocole avait déclaré, un outil d'intelligence artificielle a été mobilisé pour la préparation des équations, le tri préliminaire des notices et le préremplissage de la grille d'extraction, sous la responsabilité du doctorant, qui valide chacune des décisions. Chaque décision d'inclusion ou d'exclusion, avec son motif, est consignée dans le journal de sélection joint à la grille d'extraction, ce qui permet au lecteur d'en contrôler la cohérence. Le contrôle par un second lecteur sur un échantillon de 20 % des notices, prévu par le protocole, reste à réaliser ; il constitue l'une des étapes de validation qui précéderont la version définitive de ce chapitre.</w:t>
      </w:r>
    </w:p>
    <w:p>
      <w:pPr>
        <w:pStyle w:val="Heading3"/>
      </w:pPr>
      <w:r>
        <w:t xml:space="preserve">1.6. L'extraction des données et l'évaluation de la qualité</w:t>
      </w:r>
    </w:p>
    <w:p>
      <w:pPr>
        <w:spacing w:after="120" w:line="360"/>
        <w:ind w:firstLine="567"/>
        <w:jc w:val="both"/>
      </w:pPr>
      <w:r>
        <w:t xml:space="preserve">Pour chacune des 291 études retenues, une grille standardisée a permis de relever les informations bibliographiques, l'indexation et le quartile de la revue, les instruments étudiés, le niveau de la chaîne de transmission concerné (normes internationales, État, entreprises), la zone géographique, la méthode employée et le résultat principal. Cette grille, tenue dans un tableur, constitue le matériau à partir duquel ont été produites la cartographie bibliométrique et la synthèse thématique.</w:t>
      </w:r>
    </w:p>
    <w:p>
      <w:pPr>
        <w:spacing w:after="120" w:line="360"/>
        <w:ind w:firstLine="567"/>
        <w:jc w:val="both"/>
      </w:pPr>
      <w:r>
        <w:t xml:space="preserve">L'évaluation de la qualité soulève une difficulté propre au sujet. Le corpus est dominé par des analyses juridiques, auxquelles les outils standardisés comme le </w:t>
      </w:r>
      <w:r>
        <w:rPr>
          <w:i/>
          <w:iCs/>
        </w:rPr>
        <w:t xml:space="preserve">Mixed Methods Appraisal Tool</w:t>
      </w:r>
      <w:r>
        <w:t xml:space="preserve"> (Hong et al., 2018), conçus pour les études empiriques, s'appliquent mal. À ce stade, la qualité des travaux est appréciée par deux indicateurs : le rang de la revue, mesuré par son quartile dans la classification SCImago, et la transparence de la méthode déclarée dans le résumé. Plus de 70 % des articles du corpus ont paru dans des revues classées dans les deux premiers quartiles, ce qui garantit un niveau d'exigence élevé. La grille de qualité à cinq critères prévue par le protocole sera appliquée aux travaux les plus mobilisés dans l'état de l'art, une fois leur texte intégral obtenu. Comme le prévoit le protocole, cette évaluation ne sert pas à exclure des travaux, mais à pondérer la confiance accordée à leurs conclusions.</w:t>
      </w:r>
    </w:p>
    <w:p>
      <w:pPr>
        <w:pStyle w:val="Heading3"/>
      </w:pPr>
      <w:r>
        <w:t xml:space="preserve">1.7. La méthode de synthèse</w:t>
      </w:r>
    </w:p>
    <w:p>
      <w:pPr>
        <w:spacing w:after="120" w:line="360"/>
        <w:ind w:firstLine="567"/>
        <w:jc w:val="both"/>
      </w:pPr>
      <w:r>
        <w:t xml:space="preserve">La diversité des méthodes employées dans le corpus interdit toute méta-analyse au sens statistique. La synthèse procède en deux temps. Une analyse bibliométrique descriptive fait d'abord apparaître la structure du champ : évolution des publications, revues et auteurs principaux, répartition par instrument, par région et par méthode (Aria et Cuccurullo, 2017). Une synthèse thématique, inspirée de la démarche d'analyse thématique décrite par Braun et Clarke (2006), organise ensuite les résultats des travaux autour de thèmes rattachés aux questions de recherche. Ces thèmes ne sont pas déduits d'un plan préétabli : ils résultent du regroupement des résultats extraits, puis ont été ordonnés selon la chaîne de transmission qui structure la thèse.</w:t>
      </w:r>
    </w:p>
    <w:p>
      <w:pPr>
        <w:pStyle w:val="Heading2"/>
      </w:pPr>
      <w:r>
        <w:t xml:space="preserve">Section 2. Cartographie bibliométrique du champ</w:t>
      </w:r>
    </w:p>
    <w:p>
      <w:pPr>
        <w:spacing w:after="120" w:line="360"/>
        <w:ind w:firstLine="567"/>
        <w:jc w:val="both"/>
      </w:pPr>
      <w:r>
        <w:t xml:space="preserve">Avant d'entrer dans le contenu des travaux, il est utile d'observer la forme du champ. Où, quand, par qui et avec quelles méthodes la fiscalité numérique a-t-elle été étudiée ? Les réponses à ces questions ne sont pas de simples curiosités descriptives : elles révèlent les angles morts de la littérature et préparent l'argumentation de la section 4.</w:t>
      </w:r>
    </w:p>
    <w:p>
      <w:pPr>
        <w:pStyle w:val="Heading3"/>
      </w:pPr>
      <w:r>
        <w:t xml:space="preserve">2.1. Une production récente et en forte accélération</w:t>
      </w:r>
    </w:p>
    <w:p>
      <w:pPr>
        <w:spacing w:after="120" w:line="360"/>
        <w:ind w:firstLine="567"/>
        <w:jc w:val="both"/>
      </w:pPr>
      <w:r>
        <w:t xml:space="preserve">La figure 1.2 retrace l'évolution annuelle des publications du corpus. Elle fait apparaître trois périodes nettement distinctes. Entre 2013 et 2017, la littérature reste confidentielle : on compte au total quinze publications, pour l'essentiel des commentaires du plan d'action BEPS et des premières mesures nationales, comme la taxe de péréquation indienne. L'année 2018 marque une rupture, avec dix-neuf publications : elle correspond à la publication du rapport intérimaire de l'OCDE sur les défis fiscaux de la numérisation et aux propositions de la Commission européenne sur la présence numérique significative et la taxe sur les services numériques. La troisième période, ouverte en 2020, est celle de la solution à deux piliers. La production atteint son maximum en 2023, avec quarante-huit publications, au moment où les règles types du Pilier 2 entrent en phase de transposition, avant de se stabiliser autour d'une trentaine de publications par an.</w:t>
      </w:r>
    </w:p>
    <w:p>
      <w:pPr>
        <w:keepNext/>
        <w:spacing w:after="80" w:before="200"/>
        <w:jc w:val="center"/>
      </w:pPr>
      <w:r>
        <w:rPr>
          <w:b/>
          <w:bCs/>
          <w:sz w:val="22"/>
          <w:szCs w:val="22"/>
        </w:rPr>
        <w:t xml:space="preserve">Figure 1.2. Évolution annuelle des publications du corpus (2013-2026)</w:t>
      </w:r>
    </w:p>
    <w:p>
      <w:pPr>
        <w:keepNext/>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95550"/>
                    </a:xfrm>
                    <a:prstGeom prst="rect">
                      <a:avLst/>
                    </a:prstGeom>
                  </pic:spPr>
                </pic:pic>
              </a:graphicData>
            </a:graphic>
          </wp:inline>
        </w:drawing>
      </w:r>
    </w:p>
    <w:p>
      <w:pPr>
        <w:spacing w:after="240" w:before="60"/>
      </w:pPr>
      <w:r>
        <w:rPr>
          <w:i/>
          <w:iCs/>
          <w:sz w:val="20"/>
          <w:szCs w:val="20"/>
        </w:rPr>
        <w:t xml:space="preserve">Source :</w:t>
      </w:r>
      <w:r>
        <w:rPr>
          <w:sz w:val="20"/>
          <w:szCs w:val="20"/>
        </w:rPr>
        <w:t xml:space="preserve"> élaboration propre à partir du corpus de la revue (n = 291). L'année 2026 est partielle, la recherche ayant été arrêtée en octobre 2026.</w:t>
      </w:r>
    </w:p>
    <w:p>
      <w:pPr>
        <w:spacing w:after="120" w:line="360"/>
        <w:ind w:firstLine="567"/>
        <w:jc w:val="both"/>
      </w:pPr>
      <w:r>
        <w:t xml:space="preserve">Cette chronologie appelle une première observation. La littérature suit l'agenda institutionnel plus qu'elle ne le précède : les pics de publication correspondent aux grandes étapes de la négociation à l'OCDE et dans l'Union européenne. Il en résulte une part importante de travaux consacrés à la description et à l'évaluation juridique des propositions successives, dont certaines ont été abandonnées entre-temps.</w:t>
      </w:r>
    </w:p>
    <w:p>
      <w:pPr>
        <w:pStyle w:val="Heading3"/>
      </w:pPr>
      <w:r>
        <w:t xml:space="preserve">2.2. Un champ dominé par les revues spécialisées de droit fiscal international</w:t>
      </w:r>
    </w:p>
    <w:p>
      <w:pPr>
        <w:spacing w:after="120" w:line="360"/>
        <w:ind w:firstLine="567"/>
        <w:jc w:val="both"/>
      </w:pPr>
      <w:r>
        <w:t xml:space="preserve">Le tableau 1.1 présente les revues qui ont publié le plus de travaux du corpus. Deux titres dominent nettement : </w:t>
      </w:r>
      <w:r>
        <w:rPr>
          <w:i/>
          <w:iCs/>
        </w:rPr>
        <w:t xml:space="preserve">Intertax</w:t>
      </w:r>
      <w:r>
        <w:t xml:space="preserve"> et le </w:t>
      </w:r>
      <w:r>
        <w:rPr>
          <w:i/>
          <w:iCs/>
        </w:rPr>
        <w:t xml:space="preserve">Bulletin for International Taxation</w:t>
      </w:r>
      <w:r>
        <w:t xml:space="preserve">, qui réunissent à eux seuls plus du tiers des articles. Suivent d'autres revues spécialisées, souvent éditées par l'IBFD, comme le </w:t>
      </w:r>
      <w:r>
        <w:rPr>
          <w:i/>
          <w:iCs/>
        </w:rPr>
        <w:t xml:space="preserve">World Tax Journal</w:t>
      </w:r>
      <w:r>
        <w:t xml:space="preserve">, l'</w:t>
      </w:r>
      <w:r>
        <w:rPr>
          <w:i/>
          <w:iCs/>
        </w:rPr>
        <w:t xml:space="preserve">International Transfer Pricing Journal</w:t>
      </w:r>
      <w:r>
        <w:t xml:space="preserve">, </w:t>
      </w:r>
      <w:r>
        <w:rPr>
          <w:i/>
          <w:iCs/>
        </w:rPr>
        <w:t xml:space="preserve">International Tax Studies</w:t>
      </w:r>
      <w:r>
        <w:t xml:space="preserve"> et </w:t>
      </w:r>
      <w:r>
        <w:rPr>
          <w:i/>
          <w:iCs/>
        </w:rPr>
        <w:t xml:space="preserve">European Taxation</w:t>
      </w:r>
      <w:r>
        <w:t xml:space="preserve">. Les revues d'économie publique, comme </w:t>
      </w:r>
      <w:r>
        <w:rPr>
          <w:i/>
          <w:iCs/>
        </w:rPr>
        <w:t xml:space="preserve">International Tax and Public Finance</w:t>
      </w:r>
      <w:r>
        <w:t xml:space="preserve"> ou le </w:t>
      </w:r>
      <w:r>
        <w:rPr>
          <w:i/>
          <w:iCs/>
        </w:rPr>
        <w:t xml:space="preserve">National Tax Journal</w:t>
      </w:r>
      <w:r>
        <w:t xml:space="preserve">, n'apparaissent qu'au second rang.</w:t>
      </w:r>
    </w:p>
    <w:p>
      <w:pPr>
        <w:keepNext/>
        <w:spacing w:after="100" w:before="200"/>
        <w:jc w:val="center"/>
      </w:pPr>
      <w:r>
        <w:rPr>
          <w:b/>
          <w:bCs/>
          <w:sz w:val="22"/>
          <w:szCs w:val="22"/>
        </w:rPr>
        <w:t xml:space="preserve">Tableau 1.1. Revues ayant publié le plus de travaux du corpus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09"/>
        <w:gridCol w:w="2029"/>
        <w:gridCol w:w="1432"/>
      </w:tblGrid>
      <w:tr>
        <w:trPr>
          <w:cantSplit/>
          <w:tblHeader/>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Revue</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Nombre de travaux</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Quartile SJR</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Intertax</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57</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Q1</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Bulletin for International Taxation</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44</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Q2</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World Tax Journal</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12</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Q1</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International Tax Studies</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11</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Q2</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International Transfer Pricing Journal</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11</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Q3</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European Taxation</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10</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Q2</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Canadian Tax Journal / Revue fiscale canadienne</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8</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Q3</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National Tax Journal</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5</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Q1</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EC Tax Review</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5</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Q1</w:t>
            </w:r>
          </w:p>
        </w:tc>
      </w:tr>
      <w:tr>
        <w:trPr>
          <w:cantSplit/>
          <w:tblHeader w:val="false"/>
        </w:trPr>
        <w:tc>
          <w:tcPr>
            <w:tcW w:type="dxa" w:w="560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International Tax and Public Finance</w:t>
            </w:r>
          </w:p>
        </w:tc>
        <w:tc>
          <w:tcPr>
            <w:tcW w:type="dxa" w:w="202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5</w:t>
            </w:r>
          </w:p>
        </w:tc>
        <w:tc>
          <w:tcPr>
            <w:tcW w:type="dxa" w:w="14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Q2</w:t>
            </w:r>
          </w:p>
        </w:tc>
      </w:tr>
    </w:tbl>
    <w:p>
      <w:pPr>
        <w:spacing w:after="240" w:before="60"/>
      </w:pPr>
      <w:r>
        <w:rPr>
          <w:i/>
          <w:iCs/>
          <w:sz w:val="20"/>
          <w:szCs w:val="20"/>
        </w:rPr>
        <w:t xml:space="preserve">Source :</w:t>
      </w:r>
      <w:r>
        <w:rPr>
          <w:sz w:val="20"/>
          <w:szCs w:val="20"/>
        </w:rPr>
        <w:t xml:space="preserve"> élaboration propre ; quartile SCImago (Scopus) le plus élevé de la revue.</w:t>
      </w:r>
    </w:p>
    <w:p>
      <w:pPr>
        <w:spacing w:after="120" w:line="360"/>
        <w:ind w:firstLine="567"/>
        <w:jc w:val="both"/>
      </w:pPr>
      <w:r>
        <w:t xml:space="preserve">La qualité des supports est élevée : 108 travaux ont paru dans des revues du premier quartile et 98 dans des revues du deuxième quartile, soit plus de 70 % du corpus. La part des revues francophones, en revanche, est presque nulle. Ce constat tient en partie aux limites des bases interrogées, qui couvrent mal les revues juridiques françaises, et il devra être réexaminé après l'interrogation de Scopus, du Web of Science et de Cairn. Il reflète cependant aussi une réalité : la doctrine francophone sur la fiscalité numérique s'exprime largement dans des revues professionnelles et dans des ouvrages, qui échappent aux bases indexées.</w:t>
      </w:r>
    </w:p>
    <w:p>
      <w:pPr>
        <w:pStyle w:val="Heading3"/>
      </w:pPr>
      <w:r>
        <w:t xml:space="preserve">2.3. Des auteurs peu nombreux et une forte individualisation de la recherche</w:t>
      </w:r>
    </w:p>
    <w:p>
      <w:pPr>
        <w:spacing w:after="120" w:line="360"/>
        <w:ind w:firstLine="567"/>
        <w:jc w:val="both"/>
      </w:pPr>
      <w:r>
        <w:t xml:space="preserve">Le champ est structuré par un petit nombre d'auteurs particulièrement actifs (tableau 1.2). Leur profil est révélateur. On y trouve des économistes rattachés au centre de fiscalité des entreprises de l'Université d'Oxford, comme Michael Devereux, des juristes nord-américains et européens, comme Wei Cui, Reuven Avi-Yonah, Georg Kofler ou Joachim Englisch, mais aussi plusieurs chercheurs issus de pays en développement ou travaillant sur eux, comme Annet Wanyana Oguttu, Favourate Mpofu, Irma Mosquera Valderrama et Suranjali Tandon. Cette dernière présence est notable : la question de la place des pays en développement dans la réforme est portée par un groupe identifiable d'auteurs, principalement africains et sud-asiatiques.</w:t>
      </w:r>
    </w:p>
    <w:p>
      <w:pPr>
        <w:keepNext/>
        <w:spacing w:after="100" w:before="200"/>
        <w:jc w:val="center"/>
      </w:pPr>
      <w:r>
        <w:rPr>
          <w:b/>
          <w:bCs/>
          <w:sz w:val="22"/>
          <w:szCs w:val="22"/>
        </w:rPr>
        <w:t xml:space="preserve">Tableau 1.2. Auteurs les plus présents dans le corpus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79"/>
        <w:gridCol w:w="1389"/>
        <w:gridCol w:w="5802"/>
      </w:tblGrid>
      <w:tr>
        <w:trPr>
          <w:cantSplit/>
          <w:tblHeader/>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Auteur</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Nombre de travaux</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Principale thématique dans le corpus</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Oguttu, A. W.</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6</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Pays en développement, Afrique, Pilier 2</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Devereux, M. P.</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6</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Économie de l'impôt minimum, concurrence fiscale</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Cui, W.</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5</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Taxes sur les services numériques, incitations à l'adoption du Pilier 2</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Mpofu, F. Y.</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5</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Fiscalité numérique en Afrique</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Ponomareva, K.</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5</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Russie, BRICS, établissement stable numérique</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Olbert, M.</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4</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Création de valeur, attractivité fiscale des modèles numériques</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Englisch, J.</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3</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Pilier 2, droit de l'Union, concurrence fiscale</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Mosquera Valderrama, I.</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3</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Incitations, légitimité, pays en développement</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Tandon, S.</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3</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Pilier 2 et pays en développement</w:t>
            </w:r>
          </w:p>
        </w:tc>
      </w:tr>
      <w:tr>
        <w:trPr>
          <w:cantSplit/>
          <w:tblHeader w:val="false"/>
        </w:trPr>
        <w:tc>
          <w:tcPr>
            <w:tcW w:type="dxa" w:w="187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Kofler, G.</w:t>
            </w:r>
          </w:p>
        </w:tc>
        <w:tc>
          <w:tcPr>
            <w:tcW w:type="dxa" w:w="13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3</w:t>
            </w:r>
          </w:p>
        </w:tc>
        <w:tc>
          <w:tcPr>
            <w:tcW w:type="dxa" w:w="5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Taxes numériques dans l'Union européenne</w:t>
            </w:r>
          </w:p>
        </w:tc>
      </w:tr>
    </w:tbl>
    <w:p>
      <w:pPr>
        <w:spacing w:after="240" w:before="60"/>
      </w:pPr>
      <w:r>
        <w:rPr>
          <w:i/>
          <w:iCs/>
          <w:sz w:val="20"/>
          <w:szCs w:val="20"/>
        </w:rPr>
        <w:t xml:space="preserve">Source :</w:t>
      </w:r>
      <w:r>
        <w:rPr>
          <w:sz w:val="20"/>
          <w:szCs w:val="20"/>
        </w:rPr>
        <w:t xml:space="preserve"> élaboration propre. Le décompte inclut les travaux en coauteur.</w:t>
      </w:r>
    </w:p>
    <w:p>
      <w:pPr>
        <w:spacing w:after="120" w:line="360"/>
        <w:ind w:firstLine="567"/>
        <w:jc w:val="both"/>
      </w:pPr>
      <w:r>
        <w:t xml:space="preserve">La recherche reste par ailleurs très individuelle : 172 travaux, soit près de 60 % du corpus, sont signés par un seul auteur. Cette proportion, caractéristique des disciplines juridiques, contraste avec la pratique des sciences économiques et de gestion, où les travaux collectifs dominent. Elle explique en partie la rareté des études empiriques, qui exigent des équipes, des données et des moyens que le travail doctrinal individuel ne mobilise pas.</w:t>
      </w:r>
    </w:p>
    <w:p>
      <w:pPr>
        <w:pStyle w:val="Heading3"/>
      </w:pPr>
      <w:r>
        <w:t xml:space="preserve">2.4. Les instruments étudiés : le Pilier 2 au premier plan</w:t>
      </w:r>
    </w:p>
    <w:p>
      <w:pPr>
        <w:spacing w:after="120" w:line="360"/>
        <w:ind w:firstLine="567"/>
        <w:jc w:val="both"/>
      </w:pPr>
      <w:r>
        <w:t xml:space="preserve">La figure 1.3 répartit les travaux selon les instruments qu'ils étudient. Le Pilier 2 et l'impôt minimum mondial arrivent nettement en tête, avec 112 travaux, devant les taxes sur les services numériques (84) et le Pilier 1 (61). La question du lien de rattachement, qui recouvre les débats sur l'établissement stable numérique et la présence économique significative, est traitée par 53 travaux. Les incitations fiscales, qui intéressent directement l'attractivité des États, apparaissent dans 41 travaux, presque toujours en lien avec le Pilier 2. L'article 12B du modèle de convention des Nations unies, alternative pourtant conçue pour les pays en développement, n'est étudié que par dix travaux.</w:t>
      </w:r>
    </w:p>
    <w:p>
      <w:pPr>
        <w:keepNext/>
        <w:spacing w:after="80" w:before="200"/>
        <w:jc w:val="center"/>
      </w:pPr>
      <w:r>
        <w:rPr>
          <w:b/>
          <w:bCs/>
          <w:sz w:val="22"/>
          <w:szCs w:val="22"/>
        </w:rPr>
        <w:t xml:space="preserve">Figure 1.3. Répartition des travaux selon les instruments étudiés</w:t>
      </w:r>
    </w:p>
    <w:p>
      <w:pPr>
        <w:keepNext/>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29025"/>
                    </a:xfrm>
                    <a:prstGeom prst="rect">
                      <a:avLst/>
                    </a:prstGeom>
                  </pic:spPr>
                </pic:pic>
              </a:graphicData>
            </a:graphic>
          </wp:inline>
        </w:drawing>
      </w:r>
    </w:p>
    <w:p>
      <w:pPr>
        <w:spacing w:after="240" w:before="60"/>
      </w:pPr>
      <w:r>
        <w:rPr>
          <w:i/>
          <w:iCs/>
          <w:sz w:val="20"/>
          <w:szCs w:val="20"/>
        </w:rPr>
        <w:t xml:space="preserve">Source :</w:t>
      </w:r>
      <w:r>
        <w:rPr>
          <w:sz w:val="20"/>
          <w:szCs w:val="20"/>
        </w:rPr>
        <w:t xml:space="preserve"> élaboration propre (n = 291). Un même travail peut porter sur plusieurs instruments.</w:t>
      </w:r>
    </w:p>
    <w:p>
      <w:pPr>
        <w:spacing w:after="120" w:line="360"/>
        <w:ind w:firstLine="567"/>
        <w:jc w:val="both"/>
      </w:pPr>
      <w:r>
        <w:t xml:space="preserve">Cette hiérarchie traduit un déplacement du centre de gravité du débat. Jusqu'en 2020, la littérature portait principalement sur la question du droit d'imposer les entreprises numériques, c'est-à-dire sur le lien de rattachement et sur les taxes unilatérales. Depuis 2021, elle s'est déplacée vers le Pilier 2, dont le champ dépasse largement l'économie numérique, puisqu'il s'applique à tous les grands groupes, quel que soit leur secteur. Ce déplacement est lourd de conséquences pour la thèse : la question de l'imposition du numérique s'est progressivement fondue dans une question plus large, celle de l'encadrement de la concurrence fiscale entre États.</w:t>
      </w:r>
    </w:p>
    <w:p>
      <w:pPr>
        <w:pStyle w:val="Heading3"/>
      </w:pPr>
      <w:r>
        <w:t xml:space="preserve">2.5. Des régions et des méthodes inégalement couvertes</w:t>
      </w:r>
    </w:p>
    <w:p>
      <w:pPr>
        <w:spacing w:after="120" w:line="360"/>
        <w:ind w:firstLine="567"/>
        <w:jc w:val="both"/>
      </w:pPr>
      <w:r>
        <w:t xml:space="preserve">La répartition géographique des travaux, présentée dans la figure 1.4, confirme l'hypothèse qui motivait le recours à une revue systématique. Une majorité de travaux (116) adopte une perspective mondiale ou non située. Parmi les travaux qui étudient une région particulière, l'Afrique (38) et les pays en développement pris globalement (41) occupent une place significative, comparable à celle de l'Union européenne (39). Mais le Maroc n'apparaît que dans trois travaux, dont aucun n'étudie les effets des instruments d'harmonisation (Piliers 1 et 2, taxes sur les services numériques, article 12B) sur la compétitivité de l'État ou des entreprises. L'Afrique du Nord et le Moyen-Orient sont pratiquement absents.</w:t>
      </w:r>
    </w:p>
    <w:p>
      <w:pPr>
        <w:keepNext/>
        <w:spacing w:after="80" w:before="200"/>
        <w:jc w:val="center"/>
      </w:pPr>
      <w:r>
        <w:rPr>
          <w:b/>
          <w:bCs/>
          <w:sz w:val="22"/>
          <w:szCs w:val="22"/>
        </w:rPr>
        <w:t xml:space="preserve">Figure 1.4. Répartition des travaux selon la zone géographique étudiée</w:t>
      </w:r>
    </w:p>
    <w:p>
      <w:pPr>
        <w:keepNext/>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52875"/>
                    </a:xfrm>
                    <a:prstGeom prst="rect">
                      <a:avLst/>
                    </a:prstGeom>
                  </pic:spPr>
                </pic:pic>
              </a:graphicData>
            </a:graphic>
          </wp:inline>
        </w:drawing>
      </w:r>
    </w:p>
    <w:p>
      <w:pPr>
        <w:spacing w:after="240" w:before="60"/>
      </w:pPr>
      <w:r>
        <w:rPr>
          <w:i/>
          <w:iCs/>
          <w:sz w:val="20"/>
          <w:szCs w:val="20"/>
        </w:rPr>
        <w:t xml:space="preserve">Source :</w:t>
      </w:r>
      <w:r>
        <w:rPr>
          <w:sz w:val="20"/>
          <w:szCs w:val="20"/>
        </w:rPr>
        <w:t xml:space="preserve"> élaboration propre (n = 291). Un même travail peut porter sur plusieurs zones.</w:t>
      </w:r>
    </w:p>
    <w:p>
      <w:pPr>
        <w:spacing w:after="120" w:line="360"/>
        <w:ind w:firstLine="567"/>
        <w:jc w:val="both"/>
      </w:pPr>
      <w:r>
        <w:t xml:space="preserve">Le constat est plus marqué encore pour les méthodes (figure 1.5). L'analyse juridique et doctrinale domine très largement, avec 228 travaux sur 291, soit près de huit travaux sur dix. Les études économétriques (18), les simulations et modélisations (15) et les analyses théoriques formalisées (19) restent minoritaires. Les méthodes qualitatives, fondées sur des entretiens ou l'analyse de contenu, sont presque absentes (7 travaux). Une seule étude, consacrée au Mozambique, combine sur un même terrain des entretiens et un questionnaire (Langa et al., 2026).</w:t>
      </w:r>
    </w:p>
    <w:p>
      <w:pPr>
        <w:keepNext/>
        <w:spacing w:after="80" w:before="200"/>
        <w:jc w:val="center"/>
      </w:pPr>
      <w:r>
        <w:rPr>
          <w:b/>
          <w:bCs/>
          <w:sz w:val="22"/>
          <w:szCs w:val="22"/>
        </w:rPr>
        <w:t xml:space="preserve">Figure 1.5. Répartition des travaux selon la méthode employée</w:t>
      </w:r>
    </w:p>
    <w:p>
      <w:pPr>
        <w:keepNext/>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47950"/>
                    </a:xfrm>
                    <a:prstGeom prst="rect">
                      <a:avLst/>
                    </a:prstGeom>
                  </pic:spPr>
                </pic:pic>
              </a:graphicData>
            </a:graphic>
          </wp:inline>
        </w:drawing>
      </w:r>
    </w:p>
    <w:p>
      <w:pPr>
        <w:spacing w:after="240" w:before="60"/>
      </w:pPr>
      <w:r>
        <w:rPr>
          <w:i/>
          <w:iCs/>
          <w:sz w:val="20"/>
          <w:szCs w:val="20"/>
        </w:rPr>
        <w:t xml:space="preserve">Source :</w:t>
      </w:r>
      <w:r>
        <w:rPr>
          <w:sz w:val="20"/>
          <w:szCs w:val="20"/>
        </w:rPr>
        <w:t xml:space="preserve"> élaboration propre (n = 291).</w:t>
      </w:r>
    </w:p>
    <w:p>
      <w:pPr>
        <w:pStyle w:val="Heading3"/>
      </w:pPr>
      <w:r>
        <w:t xml:space="preserve">2.6. Les niveaux de la chaîne de transmission : l'entreprise, maillon faible</w:t>
      </w:r>
    </w:p>
    <w:p>
      <w:pPr>
        <w:spacing w:after="120" w:line="360"/>
        <w:ind w:firstLine="567"/>
        <w:jc w:val="both"/>
      </w:pPr>
      <w:r>
        <w:t xml:space="preserve">La dernière dimension de la cartographie est la plus directement liée à la problématique de la thèse. La figure 1.6 classe les travaux selon le niveau de la chaîne de transmission qu'ils étudient. La grande majorité (191 travaux) analyse les effets sur l'État : ses recettes, sa souveraineté fiscale, la compatibilité des mesures avec ses engagements internationaux et la marge dont il dispose pour attirer l'investissement. Un quart environ (77 travaux) porte sur les normes elles-mêmes et sur la gouvernance internationale qui les produit. Seuls 56 travaux s'intéressent aux effets sur les entreprises.</w:t>
      </w:r>
    </w:p>
    <w:p>
      <w:pPr>
        <w:keepNext/>
        <w:spacing w:after="80" w:before="200"/>
        <w:jc w:val="center"/>
      </w:pPr>
      <w:r>
        <w:rPr>
          <w:b/>
          <w:bCs/>
          <w:sz w:val="22"/>
          <w:szCs w:val="22"/>
        </w:rPr>
        <w:t xml:space="preserve">Figure 1.6. Répartition des travaux selon le niveau de la chaîne de transmission étudié</w:t>
      </w:r>
    </w:p>
    <w:p>
      <w:pPr>
        <w:keepNext/>
        <w:jc w:val="center"/>
      </w:pPr>
      <w:r>
        <w:drawing>
          <wp:inline distT="0" distB="0" distL="0" distR="0">
            <wp:extent cx="5334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666875"/>
                    </a:xfrm>
                    <a:prstGeom prst="rect">
                      <a:avLst/>
                    </a:prstGeom>
                  </pic:spPr>
                </pic:pic>
              </a:graphicData>
            </a:graphic>
          </wp:inline>
        </w:drawing>
      </w:r>
    </w:p>
    <w:p>
      <w:pPr>
        <w:spacing w:after="240" w:before="60"/>
      </w:pPr>
      <w:r>
        <w:rPr>
          <w:i/>
          <w:iCs/>
          <w:sz w:val="20"/>
          <w:szCs w:val="20"/>
        </w:rPr>
        <w:t xml:space="preserve">Source :</w:t>
      </w:r>
      <w:r>
        <w:rPr>
          <w:sz w:val="20"/>
          <w:szCs w:val="20"/>
        </w:rPr>
        <w:t xml:space="preserve"> élaboration propre (n = 291). Un même travail peut couvrir plusieurs niveaux.</w:t>
      </w:r>
    </w:p>
    <w:p>
      <w:pPr>
        <w:spacing w:after="120" w:line="360"/>
        <w:ind w:firstLine="567"/>
        <w:jc w:val="both"/>
      </w:pPr>
      <w:r>
        <w:t xml:space="preserve">Le tableau 1.3 croise ces niveaux avec les instruments étudiés. Il montre que les travaux consacrés aux entreprises se concentrent sur le Pilier 2 (33 des 56 travaux), alors que les effets des taxes sur les services numériques et des mesures de TVA sur les entreprises qui les supportent, ou sur leurs concurrents locaux, restent très peu étudiés.</w:t>
      </w:r>
    </w:p>
    <w:p>
      <w:pPr>
        <w:keepNext/>
        <w:spacing w:after="100" w:before="200"/>
        <w:jc w:val="center"/>
      </w:pPr>
      <w:r>
        <w:rPr>
          <w:b/>
          <w:bCs/>
          <w:sz w:val="22"/>
          <w:szCs w:val="22"/>
        </w:rPr>
        <w:t xml:space="preserve">Tableau 1.3. Croisement des instruments étudiés et des niveaux de la chaîne de transmission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762"/>
        <w:gridCol w:w="2381"/>
        <w:gridCol w:w="900"/>
        <w:gridCol w:w="1027"/>
      </w:tblGrid>
      <w:tr>
        <w:trPr>
          <w:cantSplit/>
          <w:tblHeader/>
        </w:trPr>
        <w:tc>
          <w:tcPr>
            <w:tcW w:type="dxa" w:w="47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Instrument</w:t>
            </w:r>
          </w:p>
        </w:tc>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Normes et gouvernance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État</w:t>
            </w:r>
          </w:p>
        </w:tc>
        <w:tc>
          <w:tcPr>
            <w:tcW w:type="dxa" w:w="1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bCs/>
                <w:sz w:val="19"/>
                <w:szCs w:val="19"/>
              </w:rPr>
              <w:t xml:space="preserve">Entreprises</w:t>
            </w:r>
          </w:p>
        </w:tc>
      </w:tr>
      <w:tr>
        <w:trPr>
          <w:cantSplit/>
          <w:tblHeader w:val="false"/>
        </w:trPr>
        <w:tc>
          <w:tcPr>
            <w:tcW w:type="dxa" w:w="47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Pilier 2 (impôt minimum mondial)</w:t>
            </w:r>
          </w:p>
        </w:tc>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21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72</w:t>
            </w:r>
          </w:p>
        </w:tc>
        <w:tc>
          <w:tcPr>
            <w:tcW w:type="dxa" w:w="1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33</w:t>
            </w:r>
          </w:p>
        </w:tc>
      </w:tr>
      <w:tr>
        <w:trPr>
          <w:cantSplit/>
          <w:tblHeader w:val="false"/>
        </w:trPr>
        <w:tc>
          <w:tcPr>
            <w:tcW w:type="dxa" w:w="47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Taxes sur les services numériques</w:t>
            </w:r>
          </w:p>
        </w:tc>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21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63</w:t>
            </w:r>
          </w:p>
        </w:tc>
        <w:tc>
          <w:tcPr>
            <w:tcW w:type="dxa" w:w="1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10</w:t>
            </w:r>
          </w:p>
        </w:tc>
      </w:tr>
      <w:tr>
        <w:trPr>
          <w:cantSplit/>
          <w:tblHeader w:val="false"/>
        </w:trPr>
        <w:tc>
          <w:tcPr>
            <w:tcW w:type="dxa" w:w="47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Pilier 1 (réallocation des bénéfices)</w:t>
            </w:r>
          </w:p>
        </w:tc>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28</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28</w:t>
            </w:r>
          </w:p>
        </w:tc>
        <w:tc>
          <w:tcPr>
            <w:tcW w:type="dxa" w:w="1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7</w:t>
            </w:r>
          </w:p>
        </w:tc>
      </w:tr>
      <w:tr>
        <w:trPr>
          <w:cantSplit/>
          <w:tblHeader w:val="false"/>
        </w:trPr>
        <w:tc>
          <w:tcPr>
            <w:tcW w:type="dxa" w:w="47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Lien de rattachement, établissement stable</w:t>
            </w:r>
          </w:p>
        </w:tc>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21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32</w:t>
            </w:r>
          </w:p>
        </w:tc>
        <w:tc>
          <w:tcPr>
            <w:tcW w:type="dxa" w:w="1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5</w:t>
            </w:r>
          </w:p>
        </w:tc>
      </w:tr>
      <w:tr>
        <w:trPr>
          <w:cantSplit/>
          <w:tblHeader w:val="false"/>
        </w:trPr>
        <w:tc>
          <w:tcPr>
            <w:tcW w:type="dxa" w:w="47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Incitations fiscales</w:t>
            </w:r>
          </w:p>
        </w:tc>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38</w:t>
            </w:r>
          </w:p>
        </w:tc>
        <w:tc>
          <w:tcPr>
            <w:tcW w:type="dxa" w:w="1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13</w:t>
            </w:r>
          </w:p>
        </w:tc>
      </w:tr>
      <w:tr>
        <w:trPr>
          <w:cantSplit/>
          <w:tblHeader w:val="false"/>
        </w:trPr>
        <w:tc>
          <w:tcPr>
            <w:tcW w:type="dxa" w:w="47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TVA sur les services numériques</w:t>
            </w:r>
          </w:p>
        </w:tc>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19</w:t>
            </w:r>
          </w:p>
        </w:tc>
        <w:tc>
          <w:tcPr>
            <w:tcW w:type="dxa" w:w="1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3</w:t>
            </w:r>
          </w:p>
        </w:tc>
      </w:tr>
      <w:tr>
        <w:trPr>
          <w:cantSplit/>
          <w:tblHeader w:val="false"/>
        </w:trPr>
        <w:tc>
          <w:tcPr>
            <w:tcW w:type="dxa" w:w="476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Article 12B (modèle ONU)</w:t>
            </w:r>
          </w:p>
        </w:tc>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7</w:t>
            </w:r>
          </w:p>
        </w:tc>
        <w:tc>
          <w:tcPr>
            <w:tcW w:type="dxa" w:w="1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line="250"/>
            </w:pPr>
            <w:r>
              <w:rPr>
                <w:b w:val="false"/>
                <w:bCs w:val="false"/>
                <w:sz w:val="19"/>
                <w:szCs w:val="19"/>
              </w:rPr>
              <w:t xml:space="preserve">0</w:t>
            </w:r>
          </w:p>
        </w:tc>
      </w:tr>
    </w:tbl>
    <w:p>
      <w:pPr>
        <w:spacing w:after="240" w:before="60"/>
      </w:pPr>
      <w:r>
        <w:rPr>
          <w:i/>
          <w:iCs/>
          <w:sz w:val="20"/>
          <w:szCs w:val="20"/>
        </w:rPr>
        <w:t xml:space="preserve">Source :</w:t>
      </w:r>
      <w:r>
        <w:rPr>
          <w:sz w:val="20"/>
          <w:szCs w:val="20"/>
        </w:rPr>
        <w:t xml:space="preserve"> élaboration propre. Les effectifs ne s'additionnent pas, un même travail pouvant couvrir plusieurs instruments et plusieurs niveaux.</w:t>
      </w:r>
    </w:p>
    <w:p>
      <w:pPr>
        <w:spacing w:after="120" w:line="360"/>
        <w:ind w:firstLine="567"/>
        <w:jc w:val="both"/>
      </w:pPr>
      <w:r>
        <w:t xml:space="preserve">La cartographie fait donc apparaître un déséquilibre net. La littérature s'est intéressée aux règles et à leurs effets pour les États bien plus qu'à leurs conséquences pour les entreprises, et elle l'a fait principalement par l'analyse juridique, depuis la perspective des pays de l'OCDE. C'est à la lumière de ce déséquilibre qu'il faut lire l'état de l'art qui suit.</w:t>
      </w:r>
    </w:p>
    <w:p>
      <w:pPr>
        <w:pStyle w:val="Heading2"/>
      </w:pPr>
      <w:r>
        <w:t xml:space="preserve">Section 3. État de l'art : des normes internationales à la compétitivité des entreprises</w:t>
      </w:r>
    </w:p>
    <w:p>
      <w:pPr>
        <w:spacing w:after="120" w:line="360"/>
        <w:ind w:firstLine="567"/>
        <w:jc w:val="both"/>
      </w:pPr>
      <w:r>
        <w:t xml:space="preserve">La synthèse thématique a fait émerger six ensembles de travaux, qui correspondent aux maillons successifs de la chaîne de transmission étudiée dans la thèse. Les deux premiers concernent le problème de départ et les premières réponses apportées par les États : la remise en cause du lien de rattachement territorial (3.1) et la multiplication des mesures unilatérales (3.2). Le troisième porte sur la construction de la réponse multilatérale (3.3). Les trois derniers en examinent les effets : sur la compétitivité fiscale des États (3.4), sur les entreprises (3.5) et, plus spécifiquement, sur les pays en développement, l'Afrique et le Maroc (3.6).</w:t>
      </w:r>
    </w:p>
    <w:p>
      <w:pPr>
        <w:pStyle w:val="Heading3"/>
      </w:pPr>
      <w:r>
        <w:t xml:space="preserve">3.1. Le défi du numérique pour la souveraineté fiscale</w:t>
      </w:r>
    </w:p>
    <w:p>
      <w:pPr>
        <w:pStyle w:val="Heading4"/>
      </w:pPr>
      <w:r>
        <w:t xml:space="preserve">3.1.1. L'épuisement du critère de la présence physique</w:t>
      </w:r>
    </w:p>
    <w:p>
      <w:pPr>
        <w:spacing w:after="120" w:line="360"/>
        <w:ind w:firstLine="567"/>
        <w:jc w:val="both"/>
      </w:pPr>
      <w:r>
        <w:t xml:space="preserve">Le point de départ de la quasi-totalité des travaux est le même : les règles qui répartissent le droit d'imposer les bénéfices des entreprises entre les États ne sont plus adaptées à l'économie numérique. Ces règles reposent sur la notion d'établissement stable, c'est-à-dire sur l'existence dans l'État de la source d'une installation fixe d'affaires ou d'un agent dépendant. Or une entreprise numérique peut servir un marché, y collecter des données et y réaliser des revenus importants sans y disposer d'aucune installation. Olbert et Spengel (2017) ont montré dès 2017 que le rapport final de l'OCDE sur l'Action 1 avait certes posé l'imposition selon la création de valeur comme nouveau paradigme, mais sans définir ce qu'il fallait entendre par création de valeur, ni analyser de façon précise les modèles d'affaires numériques. Le diagnostic était partagé, mais le remède restait à construire.</w:t>
      </w:r>
    </w:p>
    <w:p>
      <w:pPr>
        <w:spacing w:after="120" w:line="360"/>
        <w:ind w:firstLine="567"/>
        <w:jc w:val="both"/>
      </w:pPr>
      <w:r>
        <w:t xml:space="preserve">Plusieurs auteurs ont souligné que le problème dépasse la seule économie numérique. Devereux et Vella (2018) soutiennent que la numérisation ne fait qu'aggraver des faiblesses préexistantes du système international d'imposition des bénéfices, qui taxe les entreprises là où se trouvent leurs facteurs de production les plus mobiles. Ils en concluent qu'il serait plus cohérent d'imposer là où se trouvent les facteurs immobiles, comme les consommateurs. Cette analyse a été développée par le groupe de recherche d'Oxford dans un ouvrage de référence, qui propose une refonte d'ensemble de l'imposition des bénéfices fondée sur la destination (Devereux et al., 2021). Elle rejoint le constat de Martín Jiménez (2018), pour qui le débat sur le numérique s'est focalisé sur des solutions spectaculaires en laissant de côté les principales sources d'érosion de la base, comme les paiements de services et de redevances.</w:t>
      </w:r>
    </w:p>
    <w:p>
      <w:pPr>
        <w:spacing w:after="120" w:line="360"/>
        <w:ind w:firstLine="567"/>
        <w:jc w:val="both"/>
      </w:pPr>
      <w:r>
        <w:t xml:space="preserve">La réforme du projet BEPS n'a pas résolu ce problème. L'Action 7, qui visait à empêcher le contournement artificiel du statut d'établissement stable, n'a modifié la définition qu'à la marge. Dhuldhoya (2018) et Kostic (2021) montrent que, même après l'entrée en vigueur de l'instrument multilatéral, l'établissement stable reste un seuil fondé sur la présence physique. L'étude de cas sud-africaine de Spies et van Heerden (2018) confirme que ces modifications n'élargissent guère la capacité d'imposer les vendeurs en ligne non résidents. D'autres travaux montrent que la difficulté touche aussi la résidence fiscale : la notion de lieu de direction effective devient incertaine lorsque les décisions sont décentralisées et appuyées sur des algorithmes (Lipniewicz, 2020 ; Čejková, 2020).</w:t>
      </w:r>
    </w:p>
    <w:p>
      <w:pPr>
        <w:spacing w:after="120" w:line="360"/>
        <w:ind w:firstLine="567"/>
        <w:jc w:val="both"/>
      </w:pPr>
      <w:r>
        <w:t xml:space="preserve">Certains auteurs vont plus loin et interrogent les fondements mêmes de la souveraineté fiscale. Pour Greggi (2020), l'économie numérique remet en cause le principe westphalien qui lie le pouvoir d'imposer au territoire de l'État. D'autres préfèrent relativiser l'opposition entre économie numérique et droit fiscal, en soulignant l'interdépendance croissante des mondes physique et virtuel (Cugusi, 2020). Les précédents historiques étudiés par Kácser (2025) rappellent d'ailleurs que les tentatives de découpler l'imposition à la source de la présence physique ne sont pas nouvelles.</w:t>
      </w:r>
    </w:p>
    <w:p>
      <w:pPr>
        <w:pStyle w:val="Heading4"/>
      </w:pPr>
      <w:r>
        <w:t xml:space="preserve">3.1.2. La création de valeur, une notion disputée</w:t>
      </w:r>
    </w:p>
    <w:p>
      <w:pPr>
        <w:spacing w:after="120" w:line="360"/>
        <w:ind w:firstLine="567"/>
        <w:jc w:val="both"/>
      </w:pPr>
      <w:r>
        <w:t xml:space="preserve">Le débat sur le lien de rattachement s'est cristallisé autour de la notion de création de valeur, devenue l'étalon de la répartition des bénéfices depuis le projet BEPS. La littérature montre que cette notion est moins neutre qu'il n'y paraît. Olbert et Spengel (2019) soutiennent qu'il n'existe pas de justification à un ordre fiscal spécifique pour les entreprises numériques. La valeur des données naît selon eux des activités que l'entreprise mène en interne, et non de la seule participation des utilisateurs. Les propositions européennes de présence numérique significative et de taxe sur les services numériques fausseraient donc les décisions des entreprises et attiseraient la concurrence fiscale.</w:t>
      </w:r>
    </w:p>
    <w:p>
      <w:pPr>
        <w:spacing w:after="120" w:line="360"/>
        <w:ind w:firstLine="567"/>
        <w:jc w:val="both"/>
      </w:pPr>
      <w:r>
        <w:t xml:space="preserve">D'autres travaux insistent sur la difficulté pratique d'appliquer la notion aux entreprises de données. Jalan et Winterhalter (2021) montrent que les chaînes de valeur de ces entreprises sont si intégrées qu'il est difficile de localiser la création de valeur. Pour Calijuri (2022), le principe de pleine concurrence ne peut pas répartir efficacement les profits issus des données. L'enquête menée par Greil et al. (2019) auprès de praticiens confirme que le prix de transfert des modèles numériques est perçu comme la difficulté principale, et que les réformes récentes ont accru l'insécurité juridique des entreprises.</w:t>
      </w:r>
    </w:p>
    <w:p>
      <w:pPr>
        <w:spacing w:after="120" w:line="360"/>
        <w:ind w:firstLine="567"/>
        <w:jc w:val="both"/>
      </w:pPr>
      <w:r>
        <w:t xml:space="preserve">La critique la plus radicale vient des auteurs qui adoptent la perspective des pays en développement. Quentin (2021) analyse les documents de consultation de l'OCDE et les réponses des entreprises entre 2010 et 2020 à la lumière de la théorie classique de la valeur. Il montre que la « création de valeur » a été définie de manière à attribuer les bénéfices aux pays où se trouve la consommation, en aval des chaînes de valeur mondiales, plutôt qu'aux pays à bas revenu où se situe la production. Cette observation est essentielle pour un pays comme le Maroc, à la fois marché de consommation pour les services numériques étrangers et plateforme de production intégrée aux chaînes de valeur européennes.</w:t>
      </w:r>
    </w:p>
    <w:p>
      <w:pPr>
        <w:pStyle w:val="Heading4"/>
      </w:pPr>
      <w:r>
        <w:t xml:space="preserve">3.1.3. Les propositions de nouveau lien de rattachement</w:t>
      </w:r>
    </w:p>
    <w:p>
      <w:pPr>
        <w:spacing w:after="120" w:line="360"/>
        <w:ind w:firstLine="567"/>
        <w:jc w:val="both"/>
      </w:pPr>
      <w:r>
        <w:t xml:space="preserve">Face à ces difficultés, la doctrine a exploré plusieurs voies. La première consiste à adapter la notion d'établissement stable. L'Inde a été pionnière avec l'établissement stable virtuel, qui relie l'imposition à la présence économique plutôt qu'à la présence physique (Nagappan et Unnikrishnan, 2018 ; Singh, 2017). La Commission européenne a proposé en 2018 une présence numérique significative, dont Neuvel et al. (2018) montrent que les règles d'attribution des bénéfices ne sont pas cohérentes avec la création de valeur telle que la définissent les principes directeurs de l'OCDE. Plusieurs propositions doctrinales vont plus loin : un critère de présence de main-d'œuvre adapté au télétravail (Kostic, 2021), ou l'assimilation de l'extraction de données à un établissement stable, sur le modèle d'une mine ou d'un puits de pétrole (Forteza, 2025).</w:t>
      </w:r>
    </w:p>
    <w:p>
      <w:pPr>
        <w:spacing w:after="120" w:line="360"/>
        <w:ind w:firstLine="567"/>
        <w:jc w:val="both"/>
      </w:pPr>
      <w:r>
        <w:t xml:space="preserve">La deuxième voie consiste à abandonner l'établissement stable au profit d'un critère économique. Hermosín Álvarez (2021) se demande si le moment n'est pas venu de renoncer purement et simplement à la notion. Schön (2018) propose de raisonner en termes d'« investissement numérique » plutôt que de « présence numérique », une approche qu'il juge plus conforme à la nature de l'impôt sur les sociétés. Spinosa (2018) montrent qu'un établissement stable numérique créerait de l'insécurité pour les entreprises sans garantir des bénéfices imposables significatifs, et défendent plutôt un mécanisme de partage des droits d'imposer. C'est précisément cette logique que le Pilier 1 a ensuite tenté de mettre en œuvre.</w:t>
      </w:r>
    </w:p>
    <w:p>
      <w:pPr>
        <w:spacing w:after="120" w:line="360"/>
        <w:ind w:firstLine="567"/>
        <w:jc w:val="both"/>
      </w:pPr>
      <w:r>
        <w:t xml:space="preserve">Plusieurs pays n'ont pas attendu le consensus international. Le Nigeria a introduit en 2020 une présence économique significative comme fondement de l'imposition des entreprises numériques non résidentes (Obayemi, 2021 ; Echendu, 2020 ; Odiase, 2021). Le Kenya est passé de sa taxe sur les services numériques à un régime de présence économique significative en décembre 2024, ce qui constitue une avancée formelle mais soulève de possibles conflits avec ses conventions fiscales (Rao et Woodland, 2026). Les études consacrées à l'Indonésie (Butarbutar, 2022 ; Cahyadini et al., 2023), à l'Arabie saoudite (A. Altawyan, 2023), à la Turquie (Özgenç, 2024) et à la Tanzanie (Kanama, 2025) montrent que, en l'absence de règles internationales claires, les administrations et les juridictions nationales adoptent des interprétations divergentes, sources d'insécurité juridique. L'étude mozambicaine de Langa et al. (2026), l'une des rares à mobiliser des données de terrain, relève une capacité de recouvrement limitée, l'absence de critères de rattachement adaptés et des asymétries de concurrence entre entreprises locales et étrangères.</w:t>
      </w:r>
    </w:p>
    <w:p>
      <w:pPr>
        <w:pStyle w:val="Heading3"/>
      </w:pPr>
      <w:r>
        <w:t xml:space="preserve">3.2. Les réponses unilatérales : taxes sur les services numériques et TVA</w:t>
      </w:r>
    </w:p>
    <w:p>
      <w:pPr>
        <w:pStyle w:val="Heading4"/>
      </w:pPr>
      <w:r>
        <w:t xml:space="preserve">3.2.1. La justification des taxes sur les services numériques</w:t>
      </w:r>
    </w:p>
    <w:p>
      <w:pPr>
        <w:spacing w:after="120" w:line="360"/>
        <w:ind w:firstLine="567"/>
        <w:jc w:val="both"/>
      </w:pPr>
      <w:r>
        <w:t xml:space="preserve">Faute d'accord international, de nombreux États ont adopté des taxes assises sur le chiffre d'affaires de certains services numériques, comme la publicité en ligne, les services d'intermédiation ou la vente de données. La taxe de péréquation indienne de 2016 a ouvert la voie (Nagappan et Varanasi, 2016 ; Basak, 2016), suivie par les taxes européennes, dont la taxe française de 2019. Le projet européen de taxe commune au taux de 3 % a échoué au Conseil, faute d'unanimité, laissant la place aux mesures nationales (Kofler, 2021).</w:t>
      </w:r>
    </w:p>
    <w:p>
      <w:pPr>
        <w:spacing w:after="120" w:line="360"/>
        <w:ind w:firstLine="567"/>
        <w:jc w:val="both"/>
      </w:pPr>
      <w:r>
        <w:t xml:space="preserve">La justification de ces taxes a fait l'objet d'un débat doctrinal nourri. Leur défense la plus élaborée est due à Wei Cui, pour qui la taxe sur les services numériques n'est pas un impôt sur les bénéfices déguisé, mais un impôt sur la rente de localisation que les plateformes tirent de l'accès à un marché (Cui, 2020 ; Cui, 2019a). Dans cette perspective, la taxe serait même supérieure aux propositions de présence numérique significative, car elle traite directement la question de la répartition des bénéfices, sans passer par la fiction de l'établissement stable (Cui, 2019b). L'analyse économique récente lui donne un appui partiel : Becker (2026) montre qu'une taxe sur la production peut constituer un substitut optimal à l'impôt sur les bénéfices lorsque les entreprises transfèrent leurs bénéfices à l'étranger, d'autant plus que la propriété de ces entreprises est étrangère. D'autres auteurs insistent sur la portée symbolique de ces taxes, qui expriment l'exigence d'une contribution équitable des entreprises exploitant les données des citoyens (Rigó et Tóth, 2020).</w:t>
      </w:r>
    </w:p>
    <w:p>
      <w:pPr>
        <w:pStyle w:val="Heading4"/>
      </w:pPr>
      <w:r>
        <w:t xml:space="preserve">3.2.2. Les critiques juridiques et économiques</w:t>
      </w:r>
    </w:p>
    <w:p>
      <w:pPr>
        <w:spacing w:after="120" w:line="360"/>
        <w:ind w:firstLine="567"/>
        <w:jc w:val="both"/>
      </w:pPr>
      <w:r>
        <w:t xml:space="preserve">La majorité des travaux reste toutefois critique. Sur le plan de l'efficacité, plusieurs auteurs soutiennent que les taxes nationales ne résolvent pas les défis de la numérisation et aggravent la fragmentation du cadre international (Geringer, 2020 ; Pistone et al., 2021). Lamensch (2019) montre que la taxe européenne sur les services numériques, présentée comme un impôt indirect proche de la TVA, en diffère profondément et n'accroîtrait pas l'équité fiscale. Sur le plan de l'incidence, la crainte est que la taxe soit répercutée sur les utilisateurs, entreprises clientes ou consommateurs. L'analyse menée pour la Russie par Berger et Polezharova (2023) conclut ainsi qu'une taxe indirecte sur les services numériques serait entièrement supportée par les consommateurs, au détriment de la croissance. Cui (2019a) conteste toutefois le caractère systématique de cette répercussion.</w:t>
      </w:r>
    </w:p>
    <w:p>
      <w:pPr>
        <w:spacing w:after="120" w:line="360"/>
        <w:ind w:firstLine="567"/>
        <w:jc w:val="both"/>
      </w:pPr>
      <w:r>
        <w:t xml:space="preserve">Les critiques juridiques sont nombreuses et portent sur trois ordres de normes. Au regard des conventions fiscales, la question est de savoir si ces taxes entrent dans le champ des impôts couverts par l'article 2 du modèle de l'OCDE (Jescheck, 2017 ; Jescheck, 2018). Au regard du droit de l'Union européenne, elles peuvent constituer une imposition intérieure discriminatoire (Dimitropoulou, 2019) ou une aide d'État sélective (Carro Pitarch, 2022), comme l'ont illustré les contentieux relatifs à la taxe hongroise sur la publicité (Deak, 2023). Au regard du droit du commerce international, enfin, les seuils de chiffre d'affaires qui ciblent les grands groupes, majoritairement américains, peuvent être analysés comme discriminatoires au sens de l'Accord général sur le commerce des services (Noonan et Plekhanova, 2020 ; Pirlot et Culot, 2021 ; Cipollini, 2026). Cette lecture n'est cependant pas unanime : Noonan et Plekhanova (2025) soutiennent que ces taxes servent des objectifs légitimes et que leur caractère protectionniste n'est pas démontré.</w:t>
      </w:r>
    </w:p>
    <w:p>
      <w:pPr>
        <w:pStyle w:val="Heading4"/>
      </w:pPr>
      <w:r>
        <w:t xml:space="preserve">3.2.3. Les taxes unilatérales comme levier de négociation</w:t>
      </w:r>
    </w:p>
    <w:p>
      <w:pPr>
        <w:spacing w:after="120" w:line="360"/>
        <w:ind w:firstLine="567"/>
        <w:jc w:val="both"/>
      </w:pPr>
      <w:r>
        <w:t xml:space="preserve">Un apport important de la littérature récente est d'avoir montré que les taxes unilatérales ont joué un rôle stratégique dans la négociation internationale. Heering et al. (2024) soutiennent que l'accord de 2021 s'explique précisément par la multiplication de ces taxes. En modifiant le statu quo qui prévaudrait en l'absence d'accord, elles ont permis aux États de marché d'obtenir une réallocation que les États-Unis refusaient depuis longtemps. Lips (2019) montre de même que les propositions de la Commission européenne, bien qu'elles aient échoué au Conseil, ont accru la pression sur les négociations de l'OCDE et ouvert une fenêtre de réforme. Hines (2023) met toutefois en évidence l'incitation des États à fixer des taux inefficacement élevés, tandis que les menaces de représailles américaines ont pesé de façon décisive sur la suite des négociations (Sobodker et Latulippe, 2026 ; Shay, 2023).</w:t>
      </w:r>
    </w:p>
    <w:p>
      <w:pPr>
        <w:spacing w:after="120" w:line="360"/>
        <w:ind w:firstLine="567"/>
        <w:jc w:val="both"/>
      </w:pPr>
      <w:r>
        <w:t xml:space="preserve">Ces travaux éclairent un enjeu central pour la thèse. Les mesures unilatérales ne sont pas seulement des instruments de recettes : elles sont des instruments de pouvoir dans un jeu de négociation où les États les plus exposés aux représailles commerciales disposent d'une marge réduite. Sim et Li (2025) observent ainsi que les pays asiatiques ont préféré étendre leur TVA aux services numériques plutôt que d'adopter des taxes de type européen, précisément parce que la TVA, non discriminatoire, échappe aux représailles commerciales américaines.</w:t>
      </w:r>
    </w:p>
    <w:p>
      <w:pPr>
        <w:pStyle w:val="Heading4"/>
      </w:pPr>
      <w:r>
        <w:t xml:space="preserve">3.2.4. La TVA sur les services numériques, une voie plus consensuelle</w:t>
      </w:r>
    </w:p>
    <w:p>
      <w:pPr>
        <w:spacing w:after="120" w:line="360"/>
        <w:ind w:firstLine="567"/>
        <w:jc w:val="both"/>
      </w:pPr>
      <w:r>
        <w:t xml:space="preserve">La TVA est en effet la voie la moins contestée de l'imposition du numérique. Depuis les principes directeurs de l'OCDE sur la TVA, la taxation au lieu de consommation des services électroniques fournis par des prestataires étrangers s'est largement diffusée, à commencer par l'Union européenne et son guichet unique (Sutich et Centore, 2014), l'Australie (James, 2023) et de nombreux pays émergents (Sugeng et al., 2025 ; Castro, 2017 ; Pulatov, 2024). Pour les pays africains, plusieurs auteurs considèrent la TVA comme l'outil le plus réaliste pour imposer l'économie numérique, sous réserve de capacités administratives suffisantes (Mpofu, 2022b ; Aren, 2024). La fragmentation des régimes nationaux crée cependant des coûts de conformité importants pour les entreprises et pour le commerce numérique, ce qui plaide pour une approche régionale unifiée (Kemboi, 2025). L'expérience sud-africaine montre aussi qu'une rédaction législative complexe peut être source d'insécurité et d'évasion (Hassan, 2025).</w:t>
      </w:r>
    </w:p>
    <w:p>
      <w:pPr>
        <w:spacing w:after="120" w:line="360"/>
        <w:ind w:firstLine="567"/>
        <w:jc w:val="both"/>
      </w:pPr>
      <w:r>
        <w:t xml:space="preserve">Cette voie intéresse directement le Maroc, qui a étendu la TVA aux services numériques fournis par des prestataires non résidents par la loi de finances pour 2024 (Royaume du Maroc, 2023). La littérature sur la TVA numérique reste toutefois presque exclusivement juridique et descriptive : aucune étude du corpus ne mesure l'effet de ces mesures sur la concurrence entre prestataires étrangers et entreprises locales, qui étaient jusque-là seules à collecter la taxe.</w:t>
      </w:r>
    </w:p>
    <w:p>
      <w:pPr>
        <w:pStyle w:val="Heading4"/>
      </w:pPr>
      <w:r>
        <w:t xml:space="preserve">3.2.5. Les premières mesures d'effet</w:t>
      </w:r>
    </w:p>
    <w:p>
      <w:pPr>
        <w:spacing w:after="120" w:line="360"/>
        <w:ind w:firstLine="567"/>
        <w:jc w:val="both"/>
      </w:pPr>
      <w:r>
        <w:t xml:space="preserve">Les études qui mesurent les effets des taxes numériques sont rares, mais leurs résultats sont instructifs. Du côté des recettes, Kayongo et al. (2026) estiment, sur un panel de quarante-sept pays d'Afrique subsaharienne entre 2017 et 2022, que l'adoption de taxes numériques augmente les recettes des impôts sur la consommation d'environ 1,8 point de PIB. Les gains sont toutefois très inégaux, selon la qualité de la gouvernance, la préparation numérique et la conception des mesures. Du côté des entreprises, Klein et al. (2022) mesurent la réaction des marchés financiers aux propositions européennes de 2018. Ils observent un rendement anormal de -0,69 %, soit une perte de valeur boursière de plus de 52 milliards d'euros, dont 40 % pour les entreprises américaines, et une réaction plus forte pour les entreprises pratiquant davantage l'évitement fiscal et les plus exposées au marché européen. Les investisseurs ont donc perçu ces propositions comme une menace réelle pour la rentabilité future des entreprises numériques.</w:t>
      </w:r>
    </w:p>
    <w:p>
      <w:pPr>
        <w:spacing w:after="120" w:line="360"/>
        <w:ind w:firstLine="567"/>
        <w:jc w:val="both"/>
      </w:pPr>
      <w:r>
        <w:t xml:space="preserve">Ces résultats restent isolés. La quasi-totalité des travaux consacrés aux taxes numériques est juridique, et les effets sur la compétitivité des entreprises qui supportent ces taxes, ou qui en subissent la répercussion, restent largement inexplorés. Les rares études qui abordent la question en Afrique montrent que la taxation des services financiers numériques, comme le </w:t>
      </w:r>
      <w:r>
        <w:rPr>
          <w:i/>
          <w:iCs/>
        </w:rPr>
        <w:t xml:space="preserve">mobile money</w:t>
      </w:r>
      <w:r>
        <w:t xml:space="preserve">, peut freiner l'inclusion financière (Mpofu et Mhlanga, 2022), et que les débats sur ces taxes sont fondamentalement politiques, marqués par l'influence des intérêts des entreprises (Mader et al., 2022).</w:t>
      </w:r>
    </w:p>
    <w:p>
      <w:pPr>
        <w:pStyle w:val="Heading3"/>
      </w:pPr>
      <w:r>
        <w:t xml:space="preserve">3.3. La construction de la réponse multilatérale : de BEPS à la solution à deux piliers</w:t>
      </w:r>
    </w:p>
    <w:p>
      <w:pPr>
        <w:pStyle w:val="Heading4"/>
      </w:pPr>
      <w:r>
        <w:t xml:space="preserve">3.3.1. Une gouvernance fiscale mondiale en transformation</w:t>
      </w:r>
    </w:p>
    <w:p>
      <w:pPr>
        <w:spacing w:after="120" w:line="360"/>
        <w:ind w:firstLine="567"/>
        <w:jc w:val="both"/>
      </w:pPr>
      <w:r>
        <w:t xml:space="preserve">Les travaux consacrés à la gouvernance soulignent d'abord l'ampleur du changement intervenu depuis 2013. Historiquement, le droit fiscal international des entreprises était limité, bilatéral et orienté vers la prévention de la double imposition. Le projet BEPS en a déplacé l'objectif vers la lutte contre la sous-imposition et la coordination des droits d'imposer entre de nombreuses juridictions (Sykes, 2020). Les scandales fiscaux impliquant de grandes entreprises numériques au début des années 2010 ont joué un rôle de déclencheur, en donnant au G20 et à l'OCDE le mandat politique nécessaire (Motala, 2019). L'ouvrage d'Avi-Yonah et Kim (2025) propose une lecture d'ensemble de cette « révolution fiscale internationale », qui va de l'effondrement de l'ancien régime sous l'effet de la concurrence fiscale à l'accord d'octobre 2021.</w:t>
      </w:r>
    </w:p>
    <w:p>
      <w:pPr>
        <w:spacing w:after="120" w:line="360"/>
        <w:ind w:firstLine="567"/>
        <w:jc w:val="both"/>
      </w:pPr>
      <w:r>
        <w:t xml:space="preserve">Le Cadre inclusif, qui réunit aujourd'hui plus de cent quarante juridictions, est l'instrument institutionnel de cette transformation. Les pays qui y adhèrent s'engagent à mettre en œuvre les quatre standards minimums du projet BEPS, dont le respect est contrôlé par un examen par les pairs. Pour les pays en développement, ce mécanisme a profondément remodelé les systèmes fiscaux nationaux, au point que certains auteurs y voient une remise en cause de la souveraineté fiscale par le droit souple (Maria, 2026). La légitimité de cette gouvernance est d'ailleurs fortement discutée, ce que la section 3.6 examinera.</w:t>
      </w:r>
    </w:p>
    <w:p>
      <w:pPr>
        <w:spacing w:after="120" w:line="360"/>
        <w:ind w:firstLine="567"/>
        <w:jc w:val="both"/>
      </w:pPr>
      <w:r>
        <w:t xml:space="preserve">Malgré ces avancées, la littérature reste prudente sur la possibilité d'un véritable multilatéralisme fiscal. Selon Avi-Yonah et Lempert (2023), la divergence d'intérêts entre États, liée à l'enjeu financier direct de la fiscalité, rend improbable l'adoption d'une convention fiscale multilatérale complète, à la différence du commerce ou de l'investissement. Les évolutions les plus récentes confirment cette lecture : Khudyakova et al. (2026) observent une fragmentation croissante de la réforme mondiale, dans laquelle les intérêts nationaux prennent le pas sur l'adhésion aux standards internationaux.</w:t>
      </w:r>
    </w:p>
    <w:p>
      <w:pPr>
        <w:pStyle w:val="Heading4"/>
      </w:pPr>
      <w:r>
        <w:t xml:space="preserve">3.3.2. Le Pilier 1 : une réallocation ambitieuse, un échec probable</w:t>
      </w:r>
    </w:p>
    <w:p>
      <w:pPr>
        <w:spacing w:after="120" w:line="360"/>
        <w:ind w:firstLine="567"/>
        <w:jc w:val="both"/>
      </w:pPr>
      <w:r>
        <w:t xml:space="preserve">Le Pilier 1 visait à attribuer aux juridictions de marché une partie des bénéfices résiduels des plus grands groupes multinationaux, indépendamment de toute présence physique. Son Montant A reposait sur un nouveau lien de rattachement fondé sur des seuils de chiffre d'affaires réalisé dans la juridiction (Guedes, 2022 ; Greil et Wargowske, 2019). Les juristes y ont vu une rupture majeure avec les principes traditionnels, par l'abandon partiel du principe de pleine concurrence au profit d'une répartition par formule (Schreiber, 2020 ; Navarro, 2023).</w:t>
      </w:r>
    </w:p>
    <w:p>
      <w:pPr>
        <w:spacing w:after="120" w:line="360"/>
        <w:ind w:firstLine="567"/>
        <w:jc w:val="both"/>
      </w:pPr>
      <w:r>
        <w:t xml:space="preserve">La doctrine s'est montrée très critique sur sa conception. Shay (2021) soutient que fonder l'allocation aux marchés sur les seuls bénéfices résiduels est moins pertinent qu'une allocation d'une part du bénéfice total. Maheshwari (2023) conclut que les règles de localisation des recettes n'atteignent pas l'objectif d'imposer la création de valeur, tandis que Tao (2024) montre que les juridictions participantes ne partagent même pas une conception commune de la juridiction de marché. La complexité juridique de l'instrument, qui suppose une convention multilatérale d'un type inédit, constitue un obstacle supplémentaire (Li, 2021 ; Grinberg, 2020).</w:t>
      </w:r>
    </w:p>
    <w:p>
      <w:pPr>
        <w:spacing w:after="120" w:line="360"/>
        <w:ind w:firstLine="567"/>
        <w:jc w:val="both"/>
      </w:pPr>
      <w:r>
        <w:t xml:space="preserve">Les simulations disponibles relativisent par ailleurs les enjeux financiers. Barake et Le Pouhaër (2024), qui proposent des estimations pays par pays des recettes du Montant A, concluent à des gains modestes et concentrés. Pour l'Allemagne, Heidecke et Liebe (2023) estiment les recettes du Pilier 1 entre 2 et 2,5 milliards d'euros. Pour les pays en développement, les gains attendus sont faibles et imprévisibles (Fedan, 2021 ; Fedan, 2023 ; Das, 2025).</w:t>
      </w:r>
    </w:p>
    <w:p>
      <w:pPr>
        <w:spacing w:after="120" w:line="360"/>
        <w:ind w:firstLine="567"/>
        <w:jc w:val="both"/>
      </w:pPr>
      <w:r>
        <w:t xml:space="preserve">L'issue du Pilier 1 est aujourd'hui largement considérée comme compromise. Il progresse beaucoup plus lentement que le Pilier 2 (Joseph, 2022), et Brauner et Moreno (2023) n'hésitent pas à affirmer que le Montant A a échoué, tout en proposant d'en tirer les leçons au profit d'un système de retenues à la source. Le retrait des États-Unis de l'accord mondial a renforcé ce diagnostic (Das, 2025 ; Sharma, 2025). Dans cette perspective, certains auteurs considèrent que l'harmonisation de l'imposition du numérique reste hors d'atteinte et que l'initiative passe désormais aux Nations unies (Sharma, 2025 ; Kilinkarova, 2025).</w:t>
      </w:r>
    </w:p>
    <w:p>
      <w:pPr>
        <w:pStyle w:val="Heading4"/>
      </w:pPr>
      <w:r>
        <w:t xml:space="preserve">3.3.3. L'alternative des Nations unies : l'article 12B</w:t>
      </w:r>
    </w:p>
    <w:p>
      <w:pPr>
        <w:spacing w:after="120" w:line="360"/>
        <w:ind w:firstLine="567"/>
        <w:jc w:val="both"/>
      </w:pPr>
      <w:r>
        <w:t xml:space="preserve">L'article 12B, introduit dans le modèle de convention des Nations unies en 2021 (Nations unies, 2021), offre une alternative plus simple au Montant A. Il autorise l'État de la source à prélever une retenue à la source sur les paiements rémunérant des services numériques automatisés. Pour Andrade Rodríguez (2021), cette solution présente des avantages réels pour les pays en développement : sa simplicité, un moindre risque de différends et, potentiellement, des recettes plus élevées que celles du Pilier 1. Elle soulève toutefois des difficultés, comme la définition du payeur, le rôle des institutions financières comme agents de retenue et son caractère cantonné à un secteur. Mpoha (2022) conclut même que ses faiblesses l'emportent sur ses forces. Les simulations de Starkov et Jin (2023) montrent qu'aucune des deux solutions ne domine l'autre : le choix dépend, pour chaque pays à revenu intermédiaire, de la structure de son économie et de la présence des entreprises concernées.</w:t>
      </w:r>
    </w:p>
    <w:p>
      <w:pPr>
        <w:spacing w:after="120" w:line="360"/>
        <w:ind w:firstLine="567"/>
        <w:jc w:val="both"/>
      </w:pPr>
      <w:r>
        <w:t xml:space="preserve">La faible place de l'article 12B dans la littérature, avec dix travaux seulement, contraste avec son intérêt potentiel pour les pays en développement. C'est l'un des déséquilibres les plus nets du corpus.</w:t>
      </w:r>
    </w:p>
    <w:p>
      <w:pPr>
        <w:pStyle w:val="Heading4"/>
      </w:pPr>
      <w:r>
        <w:t xml:space="preserve">3.3.4. Le Pilier 2 : l'impôt minimum mondial</w:t>
      </w:r>
    </w:p>
    <w:p>
      <w:pPr>
        <w:spacing w:after="120" w:line="360"/>
        <w:ind w:firstLine="567"/>
        <w:jc w:val="both"/>
      </w:pPr>
      <w:r>
        <w:t xml:space="preserve">Le Pilier 2 est devenu l'objet principal de la littérature. Ses règles globales anti-érosion de la base d'imposition, dites règles GloBE, instaurent un impôt minimum effectif de 15 % pour les groupes dont le chiffre d'affaires consolidé atteint 750 millions d'euros (OCDE, 2021b). L'impôt complémentaire est perçu prioritairement par la juridiction de la filiale faiblement imposée, si elle adopte un impôt complémentaire domestique qualifié, puis par l'État de la société mère au titre de la règle d'inclusion du revenu, et à défaut par les autres juridictions au titre de la règle relative aux bénéfices insuffisamment imposés (Englisch, 2023). Une règle d'assujettissement à l'impôt, fondée sur les conventions, complète le dispositif au bénéfice des pays en développement.</w:t>
      </w:r>
    </w:p>
    <w:p>
      <w:pPr>
        <w:spacing w:after="120" w:line="360"/>
        <w:ind w:firstLine="567"/>
        <w:jc w:val="both"/>
      </w:pPr>
      <w:r>
        <w:t xml:space="preserve">Les travaux juridiques ont d'abord porté sur la compatibilité de ce dispositif avec les autres ordres juridiques. Dans l'Union européenne, la transposition par une directive contraignante a été analysée comme une rupture notable dans la politique fiscale de l'Union (Scherleitner, 2024), et ses rapports avec le droit primaire et les conventions fiscales ont été largement discutés (Nogueira, 2020 ; De Broe, 2022 ; Englisch, 2021). L'articulation avec les régimes américains d'imposition minimale reste incertaine (Herzfeld, 2022). Un ensemble de travaux récents examine enfin le risque de contentieux au titre des traités d'investissement : l'impôt complémentaire pourrait être contesté comme une expropriation ou une atteinte aux attentes légitimes des investisseurs à qui des avantages fiscaux avaient été promis (Li, 2025 ; Kratzlmeie et Navarro, 2025 ; Garcia Córdoba, 2025 ; Beyer, 2024).</w:t>
      </w:r>
    </w:p>
    <w:p>
      <w:pPr>
        <w:spacing w:after="120" w:line="360"/>
        <w:ind w:firstLine="567"/>
        <w:jc w:val="both"/>
      </w:pPr>
      <w:r>
        <w:t xml:space="preserve">La complexité du dispositif est une critique récurrente. Elle tient notamment au recours au résultat comptable comme base de calcul, source d'incohérences et d'effets non voulus pour les entreprises, les auditeurs et les administrations (Hanlon et Nessa, 2023), et aux nombreuses incertitudes techniques et politiques qui entourent la mise en œuvre (Tomassini et De Rosa, 2023 ; Di Tanno, 2022). L'évolution la plus récente a encore accru l'incertitude : l'accord dit « côte à côte », conclu en 2026 sous la pression des États-Unis, exempte les groupes dont la société mère est américaine de la règle d'inclusion du revenu et de la règle relative aux bénéfices insuffisamment imposés (« The United States and the OECD/G20 Inclusive Framework Agree… », 2026 ; Beer, 2026). Plusieurs auteurs estiment que cette exemption ancre durablement la fragmentation du Pilier 2, sans lui permettre d'atteindre l'universalité recherchée (Majorana, 2026 ; Roin, 2026). Wei Cui avait d'ailleurs soutenu que l'impôt minimum était incompatible avec les incitations des États de siège et qu'il risquait de se défaire malgré son adoption initiale (Cui, 2024), tandis que Devereux (2023) défendait au contraire l'existence d'incitations suffisantes à son adoption par les grands pays de siège, puis par les pays d'accueil.</w:t>
      </w:r>
    </w:p>
    <w:p>
      <w:pPr>
        <w:pStyle w:val="Heading3"/>
      </w:pPr>
      <w:r>
        <w:t xml:space="preserve">3.4. Les effets sur la compétitivité fiscale des États</w:t>
      </w:r>
    </w:p>
    <w:p>
      <w:pPr>
        <w:pStyle w:val="Heading4"/>
      </w:pPr>
      <w:r>
        <w:t xml:space="preserve">3.4.1. Un plancher à la concurrence fiscale, mais un plancher poreux</w:t>
      </w:r>
    </w:p>
    <w:p>
      <w:pPr>
        <w:spacing w:after="120" w:line="360"/>
        <w:ind w:firstLine="567"/>
        <w:jc w:val="both"/>
      </w:pPr>
      <w:r>
        <w:t xml:space="preserve">L'objectif affiché du Pilier 2 est de mettre fin à la « course vers le bas » des taux d'imposition des sociétés. La littérature montre que cet objectif n'est que partiellement atteint. L'analyse de Devereux et Vella (2023) est ici centrale. Les règles GloBE fixent bien un plancher, mais ce plancher porte sur le seul bénéfice excédentaire, une fois déduite l'exclusion fondée sur la substance, calculée à partir de la masse salariale et des actifs corporels. Il porte aussi sur l'impôt payé, et non sur le taux légal. Les États peuvent donc continuer à se concurrencer en dessous du plancher, par des subventions ou des crédits d'impôt remboursables qualifiés, que les règles traitent comme des revenus et non comme des réductions d'impôt. L'impact du Pilier 2 sur la concurrence fiscale serait ainsi moins net qu'on ne l'attendait.</w:t>
      </w:r>
    </w:p>
    <w:p>
      <w:pPr>
        <w:spacing w:after="120" w:line="360"/>
        <w:ind w:firstLine="567"/>
        <w:jc w:val="both"/>
      </w:pPr>
      <w:r>
        <w:t xml:space="preserve">Englisch (2022) parvient à une conclusion voisine en retraçant l'histoire de la négociation. L'exclusion fondée sur la substance traduit les réticences de certains membres du Cadre inclusif à l'égard de l'objectif même de limiter la concurrence fiscale. Le plancher de 15 % ne s'applique donc pleinement qu'aux bénéfices dépourvus de substance, alors que la concurrence pour l'investissement réel subsiste. L'analyse économique de Schjelderup et Stähler (2023) va plus loin : l'exclusion fondée sur la substance agirait comme une subvention à la production, de sorte que le Pilier 2 pourrait accroître l'emploi et l'investissement dans les pays à faible fiscalité. D'autres auteurs relèvent que la concurrence pourrait se déplacer vers des formes moins visibles, comme le relâchement du contrôle fiscal (Denk, 2022). D'autres encore considèrent que l'impôt minimum ne supprime pas la concurrence fiscale, mais qu'il fixe un plancher difficile à contourner (Awuah et Treu, 2026 ; Chen et Chow, 2023).</w:t>
      </w:r>
    </w:p>
    <w:p>
      <w:pPr>
        <w:spacing w:after="120" w:line="360"/>
        <w:ind w:firstLine="567"/>
        <w:jc w:val="both"/>
      </w:pPr>
      <w:r>
        <w:t xml:space="preserve">Sur le plan normatif, le principe même d'un plancher mondial reste discuté. Pour Cassee (2019), la justice exige que les États acceptent des taux minimums sur les bases mobiles, parce que la concurrence fiscale réduit leur capacité de redistribution. Hebous et Keen (2023) montrent qu'un impôt minimum peut être Pareto-améliorant, c'est-à-dire profiter à tous les pays, y compris aux pays à faible fiscalité, si son taux est modéré. À l'inverse, Chukwudumogu (2024) souligne que la concurrence fiscale peut aussi jouer un rôle redistributif au profit des pays pauvres dans un monde très inégal, et que l'impôt minimum néglige cette dimension. Les données empiriques sur la concurrence fiscale ne tranchent pas ce débat. Elles confirment cependant que la fiscalité agit sur l'investissement : Beljić et al. (2023) mettent en évidence une relation négative de long terme entre le taux effectif moyen d'imposition et les investissements directs étrangers dans les économies européennes de l'OCDE, avec des effets très hétérogènes d'un pays à l'autre. Dans un autre contexte, l'étude de Buettner et Poehnlein (2024) sur les communes allemandes apporte des éléments empiriques sur les effets qu'un taux minimum exerce sur la concurrence fiscale.</w:t>
      </w:r>
    </w:p>
    <w:p>
      <w:pPr>
        <w:pStyle w:val="Heading4"/>
      </w:pPr>
      <w:r>
        <w:t xml:space="preserve">3.4.2. La fin des incitations fiscales fondées sur le revenu</w:t>
      </w:r>
    </w:p>
    <w:p>
      <w:pPr>
        <w:spacing w:after="120" w:line="360"/>
        <w:ind w:firstLine="567"/>
        <w:jc w:val="both"/>
      </w:pPr>
      <w:r>
        <w:t xml:space="preserve">La conséquence la plus directe du Pilier 2 pour les politiques d'attractivité est la neutralisation d'une large part des incitations fiscales. C'est sans doute le thème sur lequel la littérature est la plus convergente. Les incitations fondées sur le revenu, comme les exonérations temporaires, les taux réduits ou les régimes de zones franches, deviennent inefficaces pour les groupes concernés lorsqu'elles abaissent le taux effectif en dessous de 15 % : l'avantage accordé par le pays d'accueil est alors récupéré par l'impôt complémentaire perçu ailleurs (Bammens et Bettens, 2023 ; Chand et Romanovska, 2024). Les incitations fondées sur les dépenses, comme l'amortissement accéléré ou les crédits d'impôt remboursables qualifiés, restent en revanche largement compatibles (Chand et Romanovska, 2024).</w:t>
      </w:r>
    </w:p>
    <w:p>
      <w:pPr>
        <w:spacing w:after="120" w:line="360"/>
        <w:ind w:firstLine="567"/>
        <w:jc w:val="both"/>
      </w:pPr>
      <w:r>
        <w:t xml:space="preserve">Les études de cas nationales montrent la diversité des adaptations. Singapour a redessiné son dispositif d'incitations, avec un nouveau taux réduit fixé à 15 % et des crédits d'investissement remboursables, pour préserver sa compétitivité (Tham et Sim, 2025). Les économies asiatiques reconsidèrent leurs super-déductions pour la recherche et le développement, qu'elles conçoivent comme des outils de développement plutôt que comme des instruments d'érosion de la base (Anh et Nguyen The, 2026). La Bulgarie, dont le taux d'imposition des sociétés n'est que de 10 %, perd une partie de ses avantages compétitifs (Milev, 2025 ; Borisov, 2023). En Afrique du Sud, les régimes destinés à attirer les sociétés holdings doivent être réévalués (Brincker, 2024), et l'impôt complémentaire domestique neutralise en partie les incitations du secteur pétrolier et gazier (Futter et Johnson, 2026). Les incitations sectorielles plus spécifiques, comme celles de l'économie spatiale (Scuderi, 2024), de l'innovation verte (Apostolidou, 2024) ou de la propriété intellectuelle (Latulippe et al., 2023), sont également affectées.</w:t>
      </w:r>
    </w:p>
    <w:p>
      <w:pPr>
        <w:spacing w:after="120" w:line="360"/>
        <w:ind w:firstLine="567"/>
        <w:jc w:val="both"/>
      </w:pPr>
      <w:r>
        <w:t xml:space="preserve">Les pays en développement sont les plus concernés, parce qu'ils recourent plus largement aux incitations fondées sur le revenu pour attirer l'investissement. Plusieurs auteurs montrent que le Pilier 2 restreint fortement leur capacité à utiliser la fiscalité comme instrument de concurrence (Oguttu, 2025 ; Tandon, 2022). Le crédit d'impôt fictif prévu par certaines conventions, qui préservait l'efficacité des incitations du pays d'accueil, serait neutralisé par la règle d'inclusion du revenu (Popovic et Ilić-Popov, 2022 ; Andrade Rodríguez, 2020). Le calcul du taux effectif par juridiction inciterait même à déplacer les régimes préférentiels des pays les plus pauvres vers les pays à revenu intermédiaire supérieur et à revenu élevé (Pereira, 2023). L'Action 5 du projet BEPS, consacrée aux pratiques fiscales dommageables, avait déjà contraint les régimes préférentiels et les zones économiques spéciales (Heitmüller et Mosquera Valderrama, 2021 ; Mosquera Valderrama, 2020 ; Issakova, 2021). Le Pilier 2 prolonge et approfondit ce mouvement.</w:t>
      </w:r>
    </w:p>
    <w:p>
      <w:pPr>
        <w:pStyle w:val="Heading4"/>
      </w:pPr>
      <w:r>
        <w:t xml:space="preserve">3.4.3. L'impôt complémentaire domestique : opportunité ou piège ?</w:t>
      </w:r>
    </w:p>
    <w:p>
      <w:pPr>
        <w:spacing w:after="120" w:line="360"/>
        <w:ind w:firstLine="567"/>
        <w:jc w:val="both"/>
      </w:pPr>
      <w:r>
        <w:t xml:space="preserve">La réponse la plus souvent recommandée aux pays d'accueil consiste à adopter un impôt complémentaire domestique qualifié, qui leur permet de percevoir eux-mêmes l'impôt complémentaire plutôt que de le laisser à l'État de la société mère. Noked (2022) anticipe que ces impôts deviendront l'instrument principal du dispositif, alors même que les règles types encadrent peu leur conception. Les simulations de Baraké et al. (2022) montrent l'enjeu : en l'absence d'impôt complémentaire domestique, les pays de siège pourraient collecter environ 179 milliards d'euros au titre de la règle d'inclusion du revenu, alors que l'adoption généralisée d'impôts domestiques déplacerait ces recettes vers les pays d'accueil. L'étude de Boukal et al. (2026) sur la Slovaquie, fondée sur 34 000 observations, estime à 4 % la hausse des recettes d'impôt sur les sociétés, pour moitié grâce à l'impôt complémentaire et pour moitié grâce à la réduction du transfert de bénéfices.</w:t>
      </w:r>
    </w:p>
    <w:p>
      <w:pPr>
        <w:spacing w:after="120" w:line="360"/>
        <w:ind w:firstLine="567"/>
        <w:jc w:val="both"/>
      </w:pPr>
      <w:r>
        <w:t xml:space="preserve">Pour les pays en développement, cette recommandation est toutefois contestée. Das (2024) considère que l'impôt complémentaire domestique est inadapté à ces pays, en raison de sa complexité, de ses gains limités et de la charge de l'examen par les pairs, et recommande plutôt de réformer les incitations et d'instaurer un impôt minimum de portée générale. Mollagee (2024) parvient à une conclusion comparable pour l'Afrique : les recettes supplémentaires attendues ne justifient pas l'investissement administratif nécessaire, et la priorité devrait être de réexaminer les régimes préférentiels. Czoboly et Erdős (2025) soulignent en outre que l'impôt complémentaire domestique rend certaines promesses faites aux investisseurs impossibles à tenir, ce qui crée des tensions avec les traités d'investissement. L'arbitrage entre ces options est au cœur de la question marocaine.</w:t>
      </w:r>
    </w:p>
    <w:p>
      <w:pPr>
        <w:pStyle w:val="Heading4"/>
      </w:pPr>
      <w:r>
        <w:t xml:space="preserve">3.4.4. Des recettes incertaines et une souveraineté fiscale contrainte</w:t>
      </w:r>
    </w:p>
    <w:p>
      <w:pPr>
        <w:spacing w:after="120" w:line="360"/>
        <w:ind w:firstLine="567"/>
        <w:jc w:val="both"/>
      </w:pPr>
      <w:r>
        <w:t xml:space="preserve">L'effet net du Pilier 2 sur les recettes et sur la souveraineté des pays en développement est jugé limité, voire défavorable, par une large partie de la littérature. Les gains immédiats de recettes resteraient faibles, alors que le dispositif restreint les incitations et entame la souveraineté des États (Tandon, 2022). Le récit selon lequel l'impôt minimum profiterait à tous les pays reposerait sur des prémisses peu convaincantes, comme l'idée que toutes les incitations des pays en développement seraient également inefficaces ou que ces pays pourraient facilement passer à d'autres formes de concurrence (Parada, 2024). La règle d'assujettissement à l'impôt, présentée comme une contrepartie pour les pays en développement, est jugée excessivement complexe et de portée limitée (Arnold, 2024 ; Liotti, 2024 ; Strachey, 2024). La version élaborée aux Nations unies leur serait plus favorable (Das et Tayal, 2024). Enfin, l'impôt minimum ne règle pas les pertes liées au chalandage fiscal, auxquelles plusieurs pays en développement restent très exposés (van 't Riet et Lejour, 2025).</w:t>
      </w:r>
    </w:p>
    <w:p>
      <w:pPr>
        <w:spacing w:after="120" w:line="360"/>
        <w:ind w:firstLine="567"/>
        <w:jc w:val="both"/>
      </w:pPr>
      <w:r>
        <w:t xml:space="preserve">Ces critiques n'emportent pas une conclusion univoque. Certains auteurs, adoptant une perspective africaine, recommandent une réponse régionale coordonnée, qui permettrait d'instaurer des impôts minimums domestiques ciblés et de convertir les incitations fiscales en subventions non fiscales (Titus, 2022b). D'autres distinguent la concurrence fiscale « virtuelle », fondée sur le transfert de bénéfices, qu'il faut supprimer, et la concurrence « réelle » pour l'investissement productif, que les pays en développement devraient pouvoir continuer à pratiquer (Titus, 2022a). La question n'est donc pas de savoir si le Pilier 2 contraint l'attractivité fiscale des pays en développement, ce qui est établi, mais comment chaque pays peut reconstruire une politique d'attractivité compatible avec ce nouveau cadre.</w:t>
      </w:r>
    </w:p>
    <w:p>
      <w:pPr>
        <w:pStyle w:val="Heading3"/>
      </w:pPr>
      <w:r>
        <w:t xml:space="preserve">3.5. Les effets sur les entreprises</w:t>
      </w:r>
    </w:p>
    <w:p>
      <w:pPr>
        <w:pStyle w:val="Heading4"/>
      </w:pPr>
      <w:r>
        <w:t xml:space="preserve">3.5.1. Le coût de l'investissement et les choix de localisation</w:t>
      </w:r>
    </w:p>
    <w:p>
      <w:pPr>
        <w:spacing w:after="120" w:line="360"/>
        <w:ind w:firstLine="567"/>
        <w:jc w:val="both"/>
      </w:pPr>
      <w:r>
        <w:t xml:space="preserve">Les travaux qui étudient directement les entreprises sont peu nombreux, mais ils comptent parmi les plus rigoureux du corpus sur le plan méthodologique. Ils portent d'abord sur le coût de l'investissement et la localisation des activités. Les travaux de modélisation de l'OCDE évaluent l'effet des deux piliers sur le coût de l'investissement des multinationales (Hanappi et González Cabral, 2022). Bares et al. (2026) étendent les modèles classiques d'incitation à l'investissement pour y intégrer le transfert de bénéfices et l'impôt minimum, et les appliquent à trente-quatre pays de l'OCDE. Ils montrent que relever le taux minimum réduit le transfert de bénéfices, mais qu'il accroît la charge fiscale des multinationales et leur coût du capital, et réduit donc leur investissement total. Le Pilier 2 n'est donc pas neutre pour la compétitivité des groupes : il arbitre entre la réduction de l'évitement fiscal et le renchérissement de l'investissement. Les travaux théoriques récents sur les effets de débordement de la fiscalité sur l'investissement corporel approfondissent ces mécanismes (Keen et al., 2026).</w:t>
      </w:r>
    </w:p>
    <w:p>
      <w:pPr>
        <w:spacing w:after="120" w:line="360"/>
        <w:ind w:firstLine="567"/>
        <w:jc w:val="both"/>
      </w:pPr>
      <w:r>
        <w:t xml:space="preserve">Les données observées confirment que les entreprises réagissent avant même l'entrée en vigueur des règles. Yoo (2026) montre, à partir d'un échantillon mondial de groupes, que les multinationales ont ajusté leurs stratégies par anticipation de GloBE, ce qui s'est traduit par une hausse de leurs coûts d'investissement. Elles ont aussi procédé à des relocalisations préventives de filiales de pays à faible fiscalité vers des pays à fiscalité plus élevée. Ces relocalisations sont surtout le fait des groupes les plus efficaces en matière de planification fiscale, qui parviennent ainsi à contenir la hausse de leurs coûts. Amendolagine et al. (2025) montrent de leur côté que les fusions et acquisitions transfrontalières sont plus nombreuses entre pays dont les fiscalités sont proches, de sorte que l'impôt minimum redistribue les gagnants et les perdants dans la compétition pour les opérations de croissance externe.</w:t>
      </w:r>
    </w:p>
    <w:p>
      <w:pPr>
        <w:pStyle w:val="Heading4"/>
      </w:pPr>
      <w:r>
        <w:t xml:space="preserve">3.5.2. La planification fiscale et le transfert de bénéfices</w:t>
      </w:r>
    </w:p>
    <w:p>
      <w:pPr>
        <w:spacing w:after="120" w:line="360"/>
        <w:ind w:firstLine="567"/>
        <w:jc w:val="both"/>
      </w:pPr>
      <w:r>
        <w:t xml:space="preserve">Le transfert de bénéfices vers les juridictions à faible fiscalité est la justification première de la réforme. Son ampleur est désormais bien documentée : Tørsløv et al. (2023) estiment que près de 36 % des bénéfices réalisés par les multinationales hors de leur pays de siège sont transférés vers des paradis fiscaux. Les incorporels, et notamment les brevets, en sont un vecteur privilégié : Bilicka et al. (2023) montrent que les multinationales localisent de façon disproportionnée leurs brevets dans les paradis fiscaux. La numérisation renforce ce phénomène : malgré les réformes BEPS, les grandes entreprises technologiques américaines continuent de bénéficier d'importantes possibilités de planification fiscale (Abbassi et al., 2026). La revue systématique d'Elavarasi et Thayyib (2026), qui porte sur 213 études, confirme que l'évitement fiscal dans l'économie numérique repose principalement sur la mobilité des incorporels, et que les économies émergentes restent sous-étudiées.</w:t>
      </w:r>
    </w:p>
    <w:p>
      <w:pPr>
        <w:spacing w:after="120" w:line="360"/>
        <w:ind w:firstLine="567"/>
        <w:jc w:val="both"/>
      </w:pPr>
      <w:r>
        <w:t xml:space="preserve">La réaction des États producteurs d'incorporels illustre la dimension compétitive de cette question. Plusieurs juridictions connues pour leur rôle dans la planification fiscale (Pays-Bas, Chypre, Malte, Singapour, Hong Kong) se transforment en « pôles fiscaux technologiques ». Elles combinent incitations, règles de prix de transfert et valorisation de la propriété intellectuelle pour attirer les fonctions clés, les actifs incorporels et l'infrastructure numérique des entreprises (Milogolov, 2020). La concurrence fiscale ne disparaît donc pas : elle se recompose autour de la substance réelle.</w:t>
      </w:r>
    </w:p>
    <w:p>
      <w:pPr>
        <w:spacing w:after="120" w:line="360"/>
        <w:ind w:firstLine="567"/>
        <w:jc w:val="both"/>
      </w:pPr>
      <w:r>
        <w:t xml:space="preserve">L'étude de Rachidi et El Moudden (2025) présente un intérêt particulier pour la thèse, puisqu'elle est l'une des seules études empiriques consacrées au Maroc. À partir de données de filiales étrangères implantées au Maroc entre 2014 et 2023, elle montre qu'un écart élevé entre le taux d'impôt sur les sociétés marocain et celui des juridictions liées réduit significativement les bénéfices déclarés, ce qui atteste l'existence de transferts de bénéfices. Elle observe en revanche que les filiales ne réduisent pas leur investissement face à un coût du capital plus élevé. Ce résultat suggère que, pour ces entreprises, la fiscalité marocaine influe davantage sur la localisation comptable des bénéfices que sur les décisions d'investissement réel, une hypothèse que la partie empirique de la thèse pourra prolonger.</w:t>
      </w:r>
    </w:p>
    <w:p>
      <w:pPr>
        <w:pStyle w:val="Heading4"/>
      </w:pPr>
      <w:r>
        <w:t xml:space="preserve">3.5.3. Les coûts de conformité et l'insécurité juridique</w:t>
      </w:r>
    </w:p>
    <w:p>
      <w:pPr>
        <w:spacing w:after="120" w:line="360"/>
        <w:ind w:firstLine="567"/>
        <w:jc w:val="both"/>
      </w:pPr>
      <w:r>
        <w:t xml:space="preserve">Le deuxième effet documenté porte sur les coûts de conformité et l'insécurité juridique. La complexité du Pilier 2, et notamment le calcul du taux effectif par juridiction à partir de données comptables, accroît la charge administrative des groupes (Tomassini et De Rosa, 2023 ; Hanlon et Nessa, 2023). Les entreprises l'ont exprimé dans les consultations publiques de l'OCDE, en demandant une simplification des règles, le retrait des mesures unilatérales et une meilleure prévention des différends (van Dam et al., 2021). Les propositions relatives au Pilier 1 ont suscité les mêmes inquiétudes : elles concernent potentiellement toutes les multinationales, et pas seulement celles dont le modèle est numérique (Liu et al., 2019). Elles risquent aussi de remettre en cause les principes que les groupes appliquent pour répartir leurs bénéfices (Adda et al., 2020). L'application simultanée de règles issues de sources différentes (Piliers 1 et 2, futur cadre européen BEFIT) peut en outre conduire à des disparités de traitement, voire à un impôt complémentaire résiduel (Scandone et al., 2023 ; Blaakman et Korving, 2024).</w:t>
      </w:r>
    </w:p>
    <w:p>
      <w:pPr>
        <w:spacing w:after="120" w:line="360"/>
        <w:ind w:firstLine="567"/>
        <w:jc w:val="both"/>
      </w:pPr>
      <w:r>
        <w:t xml:space="preserve">L'insécurité juridique touche aussi les petites et moyennes entreprises. L'étude indonésienne de Rizqiyanto et al. (2025) montre que l'incertitude des règles applicables aux transactions numériques, notamment sur l'identification des entreprises et la notion d'établissement stable, réduit le civisme fiscal des petites entreprises. Les entreprises qui opèrent dans plusieurs États africains supportent par ailleurs les coûts de la fragmentation des régimes de TVA numérique (Kemboi, 2025). Plusieurs études nationales soulignent enfin que la manière dont un État adapte ses régimes de faveur au Pilier 2 conditionne directement la situation de ses entreprises. Semenova (2026) oppose ainsi l'Europe, qui recentre ses régimes du secteur informatique sur la recherche et le développement réels, à la Russie, qui les ignore au détriment de ses propres entreprises.</w:t>
      </w:r>
    </w:p>
    <w:p>
      <w:pPr>
        <w:pStyle w:val="Heading4"/>
      </w:pPr>
      <w:r>
        <w:t xml:space="preserve">3.5.4. Les entreprises face à la gestion comptable de l'impôt minimum</w:t>
      </w:r>
    </w:p>
    <w:p>
      <w:pPr>
        <w:spacing w:after="120" w:line="360"/>
        <w:ind w:firstLine="567"/>
        <w:jc w:val="both"/>
      </w:pPr>
      <w:r>
        <w:t xml:space="preserve">Un dernier ensemble de travaux examine la manière dont les entreprises peuvent gérer leur exposition à l'impôt minimum. Le recours au résultat comptable comme base de l'impôt minimum ouvre en théorie des marges de manœuvre comptables. Mawani (2023) soutient toutefois que ces marges seront limitées, car augmenter le taux effectif pour éviter l'impôt complémentaire réduit aussi le résultat publié, ce qui entraîne des coûts d'information financière, comme un renchérissement de l'endettement. Mintz (2022) montre à l'inverse que l'impôt minimum introduit de nouvelles inefficacités : il favorise les projets à forte intensité de main-d'œuvre au détriment des projets à forte intensité de capital, et il fausse les décisions comptables des entreprises. Enfin, les groupes pourraient mobiliser les traités d'investissement pour obtenir d'autres avantages économiques en remplacement des incitations fiscales neutralisées (Beyer, 2024). Cette perspective modifie profondément la relation entre l'État d'accueil et l'investisseur.</w:t>
      </w:r>
    </w:p>
    <w:p>
      <w:pPr>
        <w:pStyle w:val="Heading3"/>
      </w:pPr>
      <w:r>
        <w:t xml:space="preserve">3.6. Les pays en développement, l'Afrique et le Maroc</w:t>
      </w:r>
    </w:p>
    <w:p>
      <w:pPr>
        <w:pStyle w:val="Heading4"/>
      </w:pPr>
      <w:r>
        <w:t xml:space="preserve">3.6.1. Une gouvernance contestée</w:t>
      </w:r>
    </w:p>
    <w:p>
      <w:pPr>
        <w:spacing w:after="120" w:line="360"/>
        <w:ind w:firstLine="567"/>
        <w:jc w:val="both"/>
      </w:pPr>
      <w:r>
        <w:t xml:space="preserve">Les travaux qui adoptent la perspective des pays en développement partagent une critique de fond : la réforme a été conçue par et pour les pays de l'OCDE. Dès le lancement du projet BEPS, ces pays ont exprimé leurs préoccupations devant le comité d'experts des Nations unies (Peters, 2015). Les auteurs ont souligné que leurs priorités ne coïncidaient pas avec celles du plan d'action (Collier et Riedel, 2018 ; Wagenaar, 2015) et que leurs conceptions de l'équité fiscale différaient de celles des pays développés (Burgers et Mosquera Valderrama, 2017). Le Cadre inclusif souffre selon plusieurs auteurs d'un déficit de légitimité : les pays en développement y participent à l'application de standards dont ils n'ont pas réellement fixé l'agenda (Mosquera Valderrama, 2018 ; Magwape, 2024). Dagan (2023) montre que le caractère coopératif de l'accord de 2021 ne prouve pas qu'il soit également bénéfique : l'OCDE maîtrisait l'agenda, et la structure du dispositif favorise l'adhésion tout en décourageant la défection, avec des risques d'enfermement et d'effets de cartel.</w:t>
      </w:r>
    </w:p>
    <w:p>
      <w:pPr>
        <w:spacing w:after="120" w:line="360"/>
        <w:ind w:firstLine="567"/>
        <w:jc w:val="both"/>
      </w:pPr>
      <w:r>
        <w:t xml:space="preserve">Cette critique explique le retour des Nations unies dans la gouvernance fiscale internationale, avec le projet de convention-cadre porté par le groupe africain (Everhart, 2026 ; Aren, 2026). Pour les pays africains, il s'agit désormais de naviguer entre deux régimes concurrents, ce qui peut produire des synergies comme accentuer la fragmentation (Aren, 2026). Plusieurs auteurs plaident pour une coopération régionale renforcée, qui permettrait aux pays en développement de mieux faire entendre leur voix (Mosquera Valderrama, 2024). D'autres soulignent l'absence des entreprises africaines dans les consultations de l'OCDE, alors qu'elles pourraient soutenir les positions de leurs États (Usman et al., 2025).</w:t>
      </w:r>
    </w:p>
    <w:p>
      <w:pPr>
        <w:pStyle w:val="Heading4"/>
      </w:pPr>
      <w:r>
        <w:t xml:space="preserve">3.6.2. La fiscalité numérique en Afrique : une littérature en plein essor</w:t>
      </w:r>
    </w:p>
    <w:p>
      <w:pPr>
        <w:spacing w:after="120" w:line="360"/>
        <w:ind w:firstLine="567"/>
        <w:jc w:val="both"/>
      </w:pPr>
      <w:r>
        <w:t xml:space="preserve">L'Afrique est la région en développement la plus étudiée du corpus, avec trente-huit travaux. Cette littérature, largement portée par des auteurs africains, montre d'abord la grande diversité des situations. Milogolov et Berberov (2021) identifient, sur vingt-six pays, des écarts considérables de position dans l'économie mondiale et de capacités numériques des administrations. Ils en déduisent qu'il faut des politiques ciblées pour les pays les plus avancés et une coopération étendue pour tous. Plusieurs pays africains ont adopté des taxes unilatérales sur les services numériques, s'écartant du consensus international (Magwape, 2022 ; Mponwana et Ndlovu, 2024), et la doctrine en examine les avantages et les inconvénients pour les pays à faible revenu (Mupokosera et Oguttu, 2026 ; Mpofu, 2022a), ainsi que leur conformité aux principes classiques de l'impôt (Mpofu et Moloi, 2022).</w:t>
      </w:r>
    </w:p>
    <w:p>
      <w:pPr>
        <w:spacing w:after="120" w:line="360"/>
        <w:ind w:firstLine="567"/>
        <w:jc w:val="both"/>
      </w:pPr>
      <w:r>
        <w:t xml:space="preserve">Les études empiriques africaines sont plus nombreuses qu'ailleurs, même si elles restent minoritaires. Outre l'estimation des effets des taxes numériques sur les recettes (Kayongo et al., 2026), elles portent sur les déterminants des recettes fiscales numériques au Nigeria (Ajibola, 2026) et sur l'écart de capacité fiscale entre pays développés et en développement face à la numérisation (Kerroum et al., 2026). Les travaux juridiques montrent enfin que les règles du commerce international, relatives aux services et aux transmissions électroniques, limitent la capacité des pays africains à imposer leur économie numérique (Banga et al., 2025). Ce point concerne directement le Maroc, en raison de ses nombreux accords commerciaux.</w:t>
      </w:r>
    </w:p>
    <w:p>
      <w:pPr>
        <w:pStyle w:val="Heading4"/>
      </w:pPr>
      <w:r>
        <w:t xml:space="preserve">3.6.3. Le Maroc, une quasi-absence dans la littérature indexée</w:t>
      </w:r>
    </w:p>
    <w:p>
      <w:pPr>
        <w:spacing w:after="120" w:line="360"/>
        <w:ind w:firstLine="567"/>
        <w:jc w:val="both"/>
      </w:pPr>
      <w:r>
        <w:t xml:space="preserve">Le Maroc n'apparaît que dans trois travaux du corpus. Le premier est l'étude économétrique de Rachidi et El Moudden (2025) sur le transfert de bénéfices des filiales étrangères, présentée plus haut. Le deuxième analyse, à partir d'un questionnaire auprès de micro-entrepreneurs et de professionnels de la fiscalité, l'effet des outils fiscaux numériques sur le civisme fiscal. Il conclut que leurs bénéfices en matière de transparence dépendent de la confiance dans les institutions et du niveau de littératie numérique (Jmahri et al., 2026). Le troisième, publié dans une revue française de finances publiques, étudie empiriquement la relation entre économie numérique et mobilisation des recettes fiscales, en y associant le rôle du contrôle fiscal numérique (« Économie numérique et mobilisation des recettes fiscales au … », 2025).</w:t>
      </w:r>
    </w:p>
    <w:p>
      <w:pPr>
        <w:spacing w:after="120" w:line="360"/>
        <w:ind w:firstLine="567"/>
        <w:jc w:val="both"/>
      </w:pPr>
      <w:r>
        <w:t xml:space="preserve">Aucun de ces travaux n'étudie les effets des instruments d'harmonisation internationale sur le Maroc. Or le Maroc est directement concerné par chacun d'eux. Il a rejoint le Cadre inclusif en 2019 et signé la même année l'instrument multilatéral. Il a engagé, sous la pression de l'Union européenne, une réforme de ses régimes préférentiels, qui lui a valu d'être retiré en 2021 de la liste des juridictions faisant l'objet d'un suivi (Conseil de l'Union européenne, 2021). La loi-cadre n° 69-19 portant réforme fiscale (Royaume du Maroc, 2021) et la loi de finances pour 2023 (Royaume du Maroc, 2022) ont engagé une convergence progressive des taux de l'impôt sur les sociétés, qui doit aboutir en 2026 à un taux de 20 % pour la grande majorité des entreprises et de 35 % pour les bénéfices les plus élevés. Enfin, la loi de finances pour 2024 a étendu la TVA aux services numériques fournis par des prestataires non résidents (Royaume du Maroc, 2023). À la date de rédaction, les recherches menées n'ont pas permis d'identifier de texte instituant un impôt complémentaire domestique qualifié au titre du Pilier 2.</w:t>
      </w:r>
    </w:p>
    <w:p>
      <w:pPr>
        <w:spacing w:after="120" w:line="360"/>
        <w:ind w:firstLine="567"/>
        <w:jc w:val="both"/>
      </w:pPr>
      <w:r>
        <w:t xml:space="preserve">Le Maroc illustre ainsi, mieux que beaucoup d'autres pays, la chaîne de transmission étudiée dans la thèse. Les normes internationales ont conduit l'État à réformer ses régimes de faveur, à faire converger ses taux et à imposer les services numériques étrangers. Ces choix ont à leur tour modifié les conditions de concurrence des entreprises installées sur son territoire, qu'il s'agisse des filiales de groupes étrangers ou des entreprises locales. Cette chaîne n'a pourtant fait l'objet d'aucune étude dans la littérature indexée. Les travaux disponibles sur les pays comparables (Afrique du Sud, Kenya, Nigeria, Indonésie, Singapour) montrent la pertinence de la question, mais leurs conclusions ne sont pas directement transposables à un pays qui combine, comme le Maroc, une politique d'attraction de l'investissement fondée sur les incitations, une intégration étroite aux chaînes de valeur européennes et un marché intérieur des services numériques dominé par des acteurs étrangers.</w:t>
      </w:r>
    </w:p>
    <w:p>
      <w:pPr>
        <w:pStyle w:val="Heading2"/>
      </w:pPr>
      <w:r>
        <w:t xml:space="preserve">Section 4. Bilan : consensus, controverses et lacunes de la littérature</w:t>
      </w:r>
    </w:p>
    <w:p>
      <w:pPr>
        <w:pStyle w:val="Heading3"/>
      </w:pPr>
      <w:r>
        <w:t xml:space="preserve">4.1. Les points de consensus</w:t>
      </w:r>
    </w:p>
    <w:p>
      <w:pPr>
        <w:spacing w:after="120" w:line="360"/>
        <w:ind w:firstLine="567"/>
        <w:jc w:val="both"/>
      </w:pPr>
      <w:r>
        <w:t xml:space="preserve">La revue fait apparaître un socle de conclusions largement partagées, que l'on peut résumer en quatre propositions. La première est que les règles traditionnelles de rattachement territorial, fondées sur la présence physique, ne permettent plus d'imposer de manière satisfaisante les bénéfices de l'économie numérique, et que les réformes du projet BEPS ne l'ont pas changé. La deuxième est que les mesures unilatérales, si elles soulèvent de sérieuses difficultés juridiques, ont joué un rôle décisif dans l'aboutissement de la négociation multilatérale. La troisième est que le Pilier 2 neutralise une large part des incitations fiscales fondées sur le revenu, et réduit donc la marge dont disposent les États pour se concurrencer par les taux. La quatrième est que les pays en développement ont été peu associés à la conception de la réforme et en tirent des bénéfices limités et incertains.</w:t>
      </w:r>
    </w:p>
    <w:p>
      <w:pPr>
        <w:pStyle w:val="Heading3"/>
      </w:pPr>
      <w:r>
        <w:t xml:space="preserve">4.2. Les controverses</w:t>
      </w:r>
    </w:p>
    <w:p>
      <w:pPr>
        <w:spacing w:after="120" w:line="360"/>
        <w:ind w:firstLine="567"/>
        <w:jc w:val="both"/>
      </w:pPr>
      <w:r>
        <w:t xml:space="preserve">Ce socle commun laisse subsister des controverses importantes. La première porte sur la légitimité et l'efficacité des taxes sur les services numériques : certains auteurs y voient un instrument rationnel d'imposition de la rente de localisation, d'autres un impôt distorsif, discriminatoire et facilement répercuté. La deuxième porte sur la portée réelle du plancher mondial : pour les uns, le Pilier 2 met fin à la course vers le bas ; pour les autres, l'exclusion fondée sur la substance et le traitement des crédits remboursables laissent subsister, sous une autre forme, la concurrence pour l'investissement réel. La troisième porte sur la stratégie que doivent adopter les pays en développement : faut-il instaurer un impôt complémentaire domestique pour capter les recettes, ou privilégier la réforme des incitations et des solutions plus simples ? La quatrième, enfin, porte sur l'avenir même du dispositif, que l'exemption des groupes américains a fragilisé.</w:t>
      </w:r>
    </w:p>
    <w:p>
      <w:pPr>
        <w:pStyle w:val="Heading3"/>
      </w:pPr>
      <w:r>
        <w:t xml:space="preserve">4.3. Les lacunes</w:t>
      </w:r>
    </w:p>
    <w:p>
      <w:pPr>
        <w:spacing w:after="120" w:line="360"/>
        <w:ind w:firstLine="567"/>
        <w:jc w:val="both"/>
      </w:pPr>
      <w:r>
        <w:t xml:space="preserve">La revue fait enfin apparaître cinq lacunes, qui constituent la justification scientifique de la thèse.</w:t>
      </w:r>
    </w:p>
    <w:p>
      <w:pPr>
        <w:spacing w:after="120" w:line="360"/>
        <w:ind w:firstLine="567"/>
        <w:jc w:val="both"/>
      </w:pPr>
      <w:r>
        <w:t xml:space="preserve">La première lacune est géographique. La littérature est centrée sur les pays de l'OCDE et, dans une moindre mesure, sur l'Afrique subsaharienne et l'Asie. Le Maghreb est pratiquement absent, et aucun travail indexé n'étudie les effets de l'harmonisation internationale de la fiscalité numérique sur le Maroc.</w:t>
      </w:r>
    </w:p>
    <w:p>
      <w:pPr>
        <w:spacing w:after="120" w:line="360"/>
        <w:ind w:firstLine="567"/>
        <w:jc w:val="both"/>
      </w:pPr>
      <w:r>
        <w:t xml:space="preserve">La deuxième lacune concerne le maillon de l'entreprise. Seul un travail sur cinq environ s'intéresse aux effets sur les entreprises, et ces travaux portent presque tous sur les grands groupes multinationaux concernés par le Pilier 2. Les effets indirects de l'harmonisation sur les entreprises locales sont presque totalement ignorés. Ces effets passent par les choix de politique fiscale de l'État : convergence des taux, suppression ou transformation des incitations, imposition des services numériques étrangers. Ils touchent pourtant une part bien plus large du tissu économique.</w:t>
      </w:r>
    </w:p>
    <w:p>
      <w:pPr>
        <w:spacing w:after="120" w:line="360"/>
        <w:ind w:firstLine="567"/>
        <w:jc w:val="both"/>
      </w:pPr>
      <w:r>
        <w:t xml:space="preserve">La troisième lacune concerne l'articulation des deux niveaux de compétitivité. La littérature étudie soit l'attractivité fiscale des États, soit le comportement des entreprises, mais rarement le lien entre les deux. La manière dont l'État traduit les normes internationales et la manière dont ses choix affectent la compétitivité des entreprises n'ont pas été analysées comme une chaîne de transmission.</w:t>
      </w:r>
    </w:p>
    <w:p>
      <w:pPr>
        <w:spacing w:after="120" w:line="360"/>
        <w:ind w:firstLine="567"/>
        <w:jc w:val="both"/>
      </w:pPr>
      <w:r>
        <w:t xml:space="preserve">La quatrième lacune est méthodologique. L'analyse juridique domine très largement, et les rares études empiriques reposent sur des données de grands groupes ou sur des agrégats macroéconomiques. Aucune étude n'a mobilisé, sur un même terrain, une analyse documentaire des choix de l'État, une enquête qualitative auprès des acteurs et une mesure quantitative de la compétitivité perçue par les entreprises.</w:t>
      </w:r>
    </w:p>
    <w:p>
      <w:pPr>
        <w:spacing w:after="120" w:line="360"/>
        <w:ind w:firstLine="567"/>
        <w:jc w:val="both"/>
      </w:pPr>
      <w:r>
        <w:t xml:space="preserve">La cinquième lacune est temporelle. Une large part de la littérature porte sur des propositions qui ont été abandonnées ou profondément modifiées, comme la présence numérique significative européenne ou le Montant A. Les effets de la mise en œuvre effective du Pilier 2, à partir de 2024, et de l'accord de 2026 sur les groupes américains restent à documenter, en particulier dans les pays qui, comme le Maroc, n'ont pas encore arrêté leur stratégie.</w:t>
      </w:r>
    </w:p>
    <w:p>
      <w:pPr>
        <w:pStyle w:val="Heading3"/>
      </w:pPr>
      <w:r>
        <w:t xml:space="preserve">4.4. De l'état de l'art à la problématique de la thèse</w:t>
      </w:r>
    </w:p>
    <w:p>
      <w:pPr>
        <w:spacing w:after="120" w:line="360"/>
        <w:ind w:firstLine="567"/>
        <w:jc w:val="both"/>
      </w:pPr>
      <w:r>
        <w:t xml:space="preserve">Ces lacunes délimitent l'espace dans lequel s'inscrit la recherche. Elles conduisent à formuler la problématique suivante : comment l'harmonisation internationale de la fiscalité de l'économie numérique, à travers les choix de politique fiscale qu'elle impose à l'État marocain, affecte-t-elle la compétitivité des entreprises installées au Maroc ?</w:t>
      </w:r>
    </w:p>
    <w:p>
      <w:pPr>
        <w:spacing w:after="120" w:line="360"/>
        <w:ind w:firstLine="567"/>
        <w:jc w:val="both"/>
      </w:pPr>
      <w:r>
        <w:t xml:space="preserve">L'état de l'art permet d'en dériver plusieurs propositions de recherche, qui seront précisées et mises à l'épreuve dans les chapitres suivants. Selon la première, les normes internationales réduisent la capacité de l'État marocain à utiliser les incitations fondées sur le revenu comme instrument d'attractivité, et l'orientent vers d'autres leviers, comme les incitations fondées sur les dépenses, les crédits d'impôt et l'amélioration de l'environnement des affaires. Selon la deuxième, les choix opérés par l'État pour s'y conformer modifient la charge fiscale effective et les coûts de conformité des entreprises, de manière différenciée selon leur taille, leur secteur et leur exposition internationale. Selon la troisième, l'imposition des services numériques étrangers à la TVA rééquilibre les conditions de concurrence entre prestataires étrangers et entreprises locales, sous réserve de l'effectivité du recouvrement et de la répercussion de la taxe sur les clients.</w:t>
      </w:r>
    </w:p>
    <w:p>
      <w:pPr>
        <w:pStyle w:val="Heading2"/>
      </w:pPr>
      <w:r>
        <w:t xml:space="preserve">Conclusion du chapitre</w:t>
      </w:r>
    </w:p>
    <w:p>
      <w:pPr>
        <w:spacing w:after="120" w:line="360"/>
        <w:ind w:firstLine="567"/>
        <w:jc w:val="both"/>
      </w:pPr>
      <w:r>
        <w:t xml:space="preserve">Ce chapitre avait pour objet de faire le point, de manière systématique et vérifiable, sur l'état des connaissances relatives à la fiscalité numérique, à son harmonisation internationale et à ses effets. La revue, conduite selon les lignes directrices PRISMA 2020, a permis de constituer un corpus de 291 études, publiées pour plus de 70 % dans des revues des deux premiers quartiles. La cartographie bibliométrique a montré un champ récent, en forte croissance depuis 2018, dominé par les revues de droit fiscal international et par l'analyse juridique, et centré sur le Pilier 2 depuis 2021.</w:t>
      </w:r>
    </w:p>
    <w:p>
      <w:pPr>
        <w:spacing w:after="120" w:line="360"/>
        <w:ind w:firstLine="567"/>
        <w:jc w:val="both"/>
      </w:pPr>
      <w:r>
        <w:t xml:space="preserve">L'état de l'art a suivi la chaîne de transmission qui structure la thèse. Il a montré comment l'épuisement du critère de la présence physique a conduit les États à des réponses unilatérales, puis à une réponse multilatérale dont le Pilier 2 est devenu l'élément central. Il a montré que cette réponse contraint fortement l'attractivité fiscale des États, en particulier celle des pays en développement qui recourent largement aux incitations fondées sur le revenu, et que ses effets sur les entreprises commencent seulement à être mesurés.</w:t>
      </w:r>
    </w:p>
    <w:p>
      <w:pPr>
        <w:spacing w:after="120" w:line="360"/>
        <w:ind w:firstLine="567"/>
        <w:jc w:val="both"/>
      </w:pPr>
      <w:r>
        <w:t xml:space="preserve">Il a surtout mis en évidence un double déficit : un déficit géographique, puisque le Maroc et le Maghreb sont pratiquement absents de la littérature indexée, et un déficit analytique, puisque le lien entre les choix de l'État et la compétitivité des entreprises n'a jamais été étudié comme une chaîne de transmission. Le chapitre suivant précisera le cadre théorique mobilisé pour l'analyser, en examinant les théories de la compétitivité et de la concurrence fiscale, avant que la seconde partie de la thèse ne confronte les propositions issues de cet état de l'art au terrain marocain.</w:t>
      </w:r>
    </w:p>
    <w:p>
      <w:pPr>
        <w:spacing w:after="120" w:line="360"/>
        <w:ind w:firstLine="567"/>
        <w:jc w:val="both"/>
      </w:pPr>
      <w:r>
        <w:t xml:space="preserve">Deux limites de la revue doivent enfin être rappelées. La recherche a été conduite dans des bases ouvertes, en raison de l'indisponibilité temporaire de Scopus et du Web of Science. La recherche par citations a montré que certaines publications majeures n'avaient pas été captées par les équations, ce qui confirme la nécessité de compléter le corpus par l'interrogation de ces bases. L'évaluation de la qualité et l'éligibilité reposent en outre, pour une partie des travaux, sur leur résumé plutôt que sur leur texte intégral. Ces deux limites seront levées dans la version définitive du chapitre, après l'interrogation des bases indexées, l'obtention des textes intégraux des travaux les plus mobilisés et le contrôle de la sélection par un second lecteur.</w:t>
      </w:r>
    </w:p>
    <w:p>
      <w:r>
        <w:br w:type="page"/>
      </w:r>
    </w:p>
    <w:p>
      <w:pPr>
        <w:pStyle w:val="Heading2"/>
      </w:pPr>
      <w:r>
        <w:t xml:space="preserve">Références du chapitre</w:t>
      </w:r>
    </w:p>
    <w:p>
      <w:pPr>
        <w:pStyle w:val="Heading3"/>
      </w:pPr>
      <w:r>
        <w:t xml:space="preserve">Références méthodologiques</w:t>
      </w:r>
    </w:p>
    <w:p>
      <w:pPr>
        <w:spacing w:after="100" w:line="264"/>
        <w:ind w:left="567" w:hanging="567"/>
      </w:pPr>
      <w:r>
        <w:t xml:space="preserve">Aria, M. et Cuccurullo, C. (2017). bibliometrix: An R-tool for comprehensive science mapping analysis. </w:t>
      </w:r>
      <w:r>
        <w:rPr>
          <w:i/>
          <w:iCs/>
        </w:rPr>
        <w:t xml:space="preserve">Journal of Informetrics</w:t>
      </w:r>
      <w:r>
        <w:t xml:space="preserve">, </w:t>
      </w:r>
      <w:r>
        <w:rPr>
          <w:i/>
          <w:iCs/>
        </w:rPr>
        <w:t xml:space="preserve">11</w:t>
      </w:r>
      <w:r>
        <w:t xml:space="preserve">(4), 959-975. https://doi.org/10.1016/j.joi.2017.08.007</w:t>
      </w:r>
    </w:p>
    <w:p>
      <w:pPr>
        <w:spacing w:after="100" w:line="264"/>
        <w:ind w:left="567" w:hanging="567"/>
      </w:pPr>
      <w:r>
        <w:t xml:space="preserve">Braun, V. et Clarke, V. (2006). Using thematic analysis in psychology. </w:t>
      </w:r>
      <w:r>
        <w:rPr>
          <w:i/>
          <w:iCs/>
        </w:rPr>
        <w:t xml:space="preserve">Qualitative Research in Psychology</w:t>
      </w:r>
      <w:r>
        <w:t xml:space="preserve">, </w:t>
      </w:r>
      <w:r>
        <w:rPr>
          <w:i/>
          <w:iCs/>
        </w:rPr>
        <w:t xml:space="preserve">3</w:t>
      </w:r>
      <w:r>
        <w:t xml:space="preserve">(2), 77-101. https://doi.org/10.1191/1478088706qp063oa</w:t>
      </w:r>
    </w:p>
    <w:p>
      <w:pPr>
        <w:spacing w:after="100" w:line="264"/>
        <w:ind w:left="567" w:hanging="567"/>
      </w:pPr>
      <w:r>
        <w:t xml:space="preserve">Hong, Q. N., Gonzalez-Reyes, A. et Pluye, P. (2018). Improving the usefulness of a tool for appraising the quality of qualitative, quantitative and mixed methods studies, the Mixed Methods Appraisal Tool (MMAT). </w:t>
      </w:r>
      <w:r>
        <w:rPr>
          <w:i/>
          <w:iCs/>
        </w:rPr>
        <w:t xml:space="preserve">Journal of Evaluation in Clinical Practice</w:t>
      </w:r>
      <w:r>
        <w:t xml:space="preserve">, </w:t>
      </w:r>
      <w:r>
        <w:rPr>
          <w:i/>
          <w:iCs/>
        </w:rPr>
        <w:t xml:space="preserve">24</w:t>
      </w:r>
      <w:r>
        <w:t xml:space="preserve">(3), 459-467. https://doi.org/10.1111/jep.12884</w:t>
      </w:r>
    </w:p>
    <w:p>
      <w:pPr>
        <w:spacing w:after="100" w:line="264"/>
        <w:ind w:left="567" w:hanging="567"/>
      </w:pPr>
      <w:r>
        <w:t xml:space="preserve">Moher, D., Shamseer, L., Clarke, M., Ghersi, D., Liberati, A., Petticrew, M., Shekelle, P. et Stewart, L. A. (2015). Preferred reporting items for systematic review and meta-analysis protocols (PRISMA-P) 2015 statement. </w:t>
      </w:r>
      <w:r>
        <w:rPr>
          <w:i/>
          <w:iCs/>
        </w:rPr>
        <w:t xml:space="preserve">Systematic Reviews</w:t>
      </w:r>
      <w:r>
        <w:t xml:space="preserve">, </w:t>
      </w:r>
      <w:r>
        <w:rPr>
          <w:i/>
          <w:iCs/>
        </w:rPr>
        <w:t xml:space="preserve">4</w:t>
      </w:r>
      <w:r>
        <w:t xml:space="preserve">, 1. https://doi.org/10.1186/2046-4053-4-1</w:t>
      </w:r>
    </w:p>
    <w:p>
      <w:pPr>
        <w:spacing w:after="100" w:line="264"/>
        <w:ind w:left="567" w:hanging="567"/>
      </w:pPr>
      <w:r>
        <w:t xml:space="preserve">Page, M. J., McKenzie, J. E., Bossuyt, P. M., Boutron, I., Hoffmann, T. C., Mulrow, C. D., …  (2021). The PRISMA 2020 statement: An updated guideline for reporting systematic reviews. </w:t>
      </w:r>
      <w:r>
        <w:rPr>
          <w:i/>
          <w:iCs/>
        </w:rPr>
        <w:t xml:space="preserve">BMJ</w:t>
      </w:r>
      <w:r>
        <w:t xml:space="preserve">, </w:t>
      </w:r>
      <w:r>
        <w:rPr>
          <w:i/>
          <w:iCs/>
        </w:rPr>
        <w:t xml:space="preserve">372</w:t>
      </w:r>
      <w:r>
        <w:t xml:space="preserve">, n71. https://doi.org/10.1136/bmj.n71</w:t>
      </w:r>
    </w:p>
    <w:p>
      <w:pPr>
        <w:spacing w:after="100" w:line="264"/>
        <w:ind w:left="567" w:hanging="567"/>
      </w:pPr>
      <w:r>
        <w:t xml:space="preserve">Rethlefsen, M. L., Kirtley, S., Waffenschmidt, S., Ayala, A. P., Moher, D., Page, M. J. et Koffel, J. B. (2021). PRISMA-S: An extension to the PRISMA statement for reporting literature searches in systematic reviews. </w:t>
      </w:r>
      <w:r>
        <w:rPr>
          <w:i/>
          <w:iCs/>
        </w:rPr>
        <w:t xml:space="preserve">Systematic Reviews</w:t>
      </w:r>
      <w:r>
        <w:t xml:space="preserve">, </w:t>
      </w:r>
      <w:r>
        <w:rPr>
          <w:i/>
          <w:iCs/>
        </w:rPr>
        <w:t xml:space="preserve">10</w:t>
      </w:r>
      <w:r>
        <w:t xml:space="preserve">, 39. https://doi.org/10.1186/s13643-020-01542-z</w:t>
      </w:r>
    </w:p>
    <w:p>
      <w:pPr>
        <w:spacing w:after="100" w:line="264"/>
        <w:ind w:left="567" w:hanging="567"/>
      </w:pPr>
      <w:r>
        <w:t xml:space="preserve">Snyder, H. (2019). Literature review as a research methodology: An overview and guidelines. </w:t>
      </w:r>
      <w:r>
        <w:rPr>
          <w:i/>
          <w:iCs/>
        </w:rPr>
        <w:t xml:space="preserve">Journal of Business Research</w:t>
      </w:r>
      <w:r>
        <w:t xml:space="preserve">, </w:t>
      </w:r>
      <w:r>
        <w:rPr>
          <w:i/>
          <w:iCs/>
        </w:rPr>
        <w:t xml:space="preserve">104</w:t>
      </w:r>
      <w:r>
        <w:t xml:space="preserve">, 333-339. https://doi.org/10.1016/j.jbusres.2019.07.039</w:t>
      </w:r>
    </w:p>
    <w:p>
      <w:pPr>
        <w:spacing w:after="100" w:line="264"/>
        <w:ind w:left="567" w:hanging="567"/>
      </w:pPr>
      <w:r>
        <w:t xml:space="preserve">Tranfield, D., Denyer, D. et Smart, P. (2003). Towards a methodology for developing evidence-informed management knowledge by means of systematic review. </w:t>
      </w:r>
      <w:r>
        <w:rPr>
          <w:i/>
          <w:iCs/>
        </w:rPr>
        <w:t xml:space="preserve">British Journal of Management</w:t>
      </w:r>
      <w:r>
        <w:t xml:space="preserve">, </w:t>
      </w:r>
      <w:r>
        <w:rPr>
          <w:i/>
          <w:iCs/>
        </w:rPr>
        <w:t xml:space="preserve">14</w:t>
      </w:r>
      <w:r>
        <w:t xml:space="preserve">(3), 207-222. https://doi.org/10.1111/1467-8551.00375</w:t>
      </w:r>
    </w:p>
    <w:p>
      <w:pPr>
        <w:pStyle w:val="Heading3"/>
      </w:pPr>
      <w:r>
        <w:t xml:space="preserve">Textes normatifs et documents institutionnels (corpus de contexte)</w:t>
      </w:r>
    </w:p>
    <w:p>
      <w:pPr>
        <w:spacing w:after="100" w:line="264"/>
        <w:ind w:left="567" w:hanging="567"/>
      </w:pPr>
      <w:r>
        <w:t xml:space="preserve">Conseil de l'Union européenne (2021). </w:t>
      </w:r>
      <w:r>
        <w:rPr>
          <w:i/>
          <w:iCs/>
        </w:rPr>
        <w:t xml:space="preserve">Conclusions du Conseil sur la liste révisée de l'UE des pays et territoires non coopératifs à des fins fiscales</w:t>
      </w:r>
      <w:r>
        <w:t xml:space="preserve">. Février 2021.</w:t>
      </w:r>
    </w:p>
    <w:p>
      <w:pPr>
        <w:spacing w:after="100" w:line="264"/>
        <w:ind w:left="567" w:hanging="567"/>
      </w:pPr>
      <w:r>
        <w:t xml:space="preserve">Nations unies (2021). </w:t>
      </w:r>
      <w:r>
        <w:rPr>
          <w:i/>
          <w:iCs/>
        </w:rPr>
        <w:t xml:space="preserve">United Nations Model Double Taxation Convention between Developed and Developing Countries 2021</w:t>
      </w:r>
      <w:r>
        <w:t xml:space="preserve">. Department of Economic and Social Affairs, Nations unies.</w:t>
      </w:r>
    </w:p>
    <w:p>
      <w:pPr>
        <w:spacing w:after="100" w:line="264"/>
        <w:ind w:left="567" w:hanging="567"/>
      </w:pPr>
      <w:r>
        <w:t xml:space="preserve">OCDE (2015). </w:t>
      </w:r>
      <w:r>
        <w:rPr>
          <w:i/>
          <w:iCs/>
        </w:rPr>
        <w:t xml:space="preserve">Relever les défis fiscaux posés par l'économie numérique, Action 1 – Rapport final 2015</w:t>
      </w:r>
      <w:r>
        <w:t xml:space="preserve">. Projet OCDE/G20 sur l'érosion de la base d'imposition et le transfert de bénéfices. Éditions OCDE. https://doi.org/10.1787/9789264241046-fr</w:t>
      </w:r>
    </w:p>
    <w:p>
      <w:pPr>
        <w:spacing w:after="100" w:line="264"/>
        <w:ind w:left="567" w:hanging="567"/>
      </w:pPr>
      <w:r>
        <w:t xml:space="preserve">OCDE (2021a). </w:t>
      </w:r>
      <w:r>
        <w:rPr>
          <w:i/>
          <w:iCs/>
        </w:rPr>
        <w:t xml:space="preserve">Déclaration sur une solution reposant sur deux piliers pour résoudre les défis fiscaux soulevés par la numérisation de l'économie</w:t>
      </w:r>
      <w:r>
        <w:t xml:space="preserve">. Cadre inclusif OCDE/G20 sur le BEPS, 8 octobre 2021.</w:t>
      </w:r>
    </w:p>
    <w:p>
      <w:pPr>
        <w:spacing w:after="100" w:line="264"/>
        <w:ind w:left="567" w:hanging="567"/>
      </w:pPr>
      <w:r>
        <w:t xml:space="preserve">OCDE (2021b). </w:t>
      </w:r>
      <w:r>
        <w:rPr>
          <w:i/>
          <w:iCs/>
        </w:rPr>
        <w:t xml:space="preserve">Défis fiscaux soulevés par la numérisation de l'économie – Règles globales anti-érosion de la base d'imposition (Pilier Deux)</w:t>
      </w:r>
      <w:r>
        <w:t xml:space="preserve">. Cadre inclusif OCDE/G20 sur le BEPS. Éditions OCDE.</w:t>
      </w:r>
    </w:p>
    <w:p>
      <w:pPr>
        <w:spacing w:after="100" w:line="264"/>
        <w:ind w:left="567" w:hanging="567"/>
      </w:pPr>
      <w:r>
        <w:t xml:space="preserve">Royaume du Maroc (2021). </w:t>
      </w:r>
      <w:r>
        <w:rPr>
          <w:i/>
          <w:iCs/>
        </w:rPr>
        <w:t xml:space="preserve">Dahir n° 1-21-86 du 15 hija 1442 (26 juillet 2021) portant promulgation de la loi-cadre n° 69-19 portant réforme fiscale</w:t>
      </w:r>
      <w:r>
        <w:t xml:space="preserve">. Bulletin officiel, n° 7010 (édition de traduction officielle), 5 août 2021, p. 1152.</w:t>
      </w:r>
    </w:p>
    <w:p>
      <w:pPr>
        <w:spacing w:after="100" w:line="264"/>
        <w:ind w:left="567" w:hanging="567"/>
      </w:pPr>
      <w:r>
        <w:t xml:space="preserve">Royaume du Maroc (2022). </w:t>
      </w:r>
      <w:r>
        <w:rPr>
          <w:i/>
          <w:iCs/>
        </w:rPr>
        <w:t xml:space="preserve">Loi de finances pour l'année budgétaire 2023</w:t>
      </w:r>
      <w:r>
        <w:t xml:space="preserve">. Bulletin officiel.</w:t>
      </w:r>
    </w:p>
    <w:p>
      <w:pPr>
        <w:spacing w:after="100" w:line="264"/>
        <w:ind w:left="567" w:hanging="567"/>
      </w:pPr>
      <w:r>
        <w:t xml:space="preserve">Royaume du Maroc (2023). </w:t>
      </w:r>
      <w:r>
        <w:rPr>
          <w:i/>
          <w:iCs/>
        </w:rPr>
        <w:t xml:space="preserve">Loi de finances pour l'année budgétaire 2024</w:t>
      </w:r>
      <w:r>
        <w:t xml:space="preserve">. Bulletin officiel.</w:t>
      </w:r>
    </w:p>
    <w:p>
      <w:pPr>
        <w:pStyle w:val="Heading3"/>
      </w:pPr>
      <w:r>
        <w:t xml:space="preserve">Travaux du corpus de la revue systématique</w:t>
      </w:r>
    </w:p>
    <w:p>
      <w:pPr>
        <w:spacing w:after="100" w:line="264"/>
        <w:ind w:left="567" w:hanging="567"/>
      </w:pPr>
      <w:r>
        <w:t xml:space="preserve">A. Altawyan, A. (2023). Challenges in Applying Saudi Arabian Tax Treaties: Digitalization, Withholding Tax, and Permanent Establishment of Non-residents. </w:t>
      </w:r>
      <w:r>
        <w:rPr>
          <w:i/>
          <w:iCs/>
        </w:rPr>
        <w:t xml:space="preserve">Intertax</w:t>
      </w:r>
      <w:r>
        <w:t xml:space="preserve">, </w:t>
      </w:r>
      <w:r>
        <w:rPr>
          <w:i/>
          <w:iCs/>
        </w:rPr>
        <w:t xml:space="preserve">51</w:t>
      </w:r>
      <w:r>
        <w:t xml:space="preserve">(8/9), 595-611. https://doi.org/10.54648/taxi2023052</w:t>
      </w:r>
    </w:p>
    <w:p>
      <w:pPr>
        <w:spacing w:after="100" w:line="264"/>
        <w:ind w:left="567" w:hanging="567"/>
      </w:pPr>
      <w:r>
        <w:t xml:space="preserve">Abbassi, S., Chaoubi, M. F., Zanouda, I. et Djehiche, Y. (2026). Digitalization and Tax Planning under BEPS Reforms: Empirical evidence from U.S. Multinational Technology Firms. </w:t>
      </w:r>
      <w:r>
        <w:rPr>
          <w:i/>
          <w:iCs/>
        </w:rPr>
        <w:t xml:space="preserve">Journal of Tax Reform</w:t>
      </w:r>
      <w:r>
        <w:t xml:space="preserve">, </w:t>
      </w:r>
      <w:r>
        <w:rPr>
          <w:i/>
          <w:iCs/>
        </w:rPr>
        <w:t xml:space="preserve">12</w:t>
      </w:r>
      <w:r>
        <w:t xml:space="preserve">(1), 219-239. https://doi.org/10.15826/jtr.2026.12.1.248</w:t>
      </w:r>
    </w:p>
    <w:p>
      <w:pPr>
        <w:spacing w:after="100" w:line="264"/>
        <w:ind w:left="567" w:hanging="567"/>
      </w:pPr>
      <w:r>
        <w:t xml:space="preserve">Adda, M., Scandone, F. et Lorenzi, U. (2020). The New Taxing Right under Pillar One: Preliminary Thoughts on Potential Implications for MNEs. </w:t>
      </w:r>
      <w:r>
        <w:rPr>
          <w:i/>
          <w:iCs/>
        </w:rPr>
        <w:t xml:space="preserve">International Transfer Pricing Journal</w:t>
      </w:r>
      <w:r>
        <w:t xml:space="preserve">, </w:t>
      </w:r>
      <w:r>
        <w:rPr>
          <w:i/>
          <w:iCs/>
        </w:rPr>
        <w:t xml:space="preserve">28</w:t>
      </w:r>
      <w:r>
        <w:t xml:space="preserve">(1). https://doi.org/10.59403/2nh54j7</w:t>
      </w:r>
    </w:p>
    <w:p>
      <w:pPr>
        <w:spacing w:after="100" w:line="264"/>
        <w:ind w:left="567" w:hanging="567"/>
      </w:pPr>
      <w:r>
        <w:t xml:space="preserve">Ajibola, A. A. (2026). Beyond technology: rethinking digital tax revenue mobilization in Nigeria’s globalized economy. </w:t>
      </w:r>
      <w:r>
        <w:rPr>
          <w:i/>
          <w:iCs/>
        </w:rPr>
        <w:t xml:space="preserve">African Journal of Economic and Management Studies</w:t>
      </w:r>
      <w:r>
        <w:t xml:space="preserve">, 1-15. https://doi.org/10.1108/ajems-09-2025-0752</w:t>
      </w:r>
    </w:p>
    <w:p>
      <w:pPr>
        <w:spacing w:after="100" w:line="264"/>
        <w:ind w:left="567" w:hanging="567"/>
      </w:pPr>
      <w:r>
        <w:t xml:space="preserve">Amendolagine, V., Bruno, R. L., Cipollina, M. et De Pascale, G. (2025). Minimum global tax: winners and losers in the race for mergers and acquisitions. </w:t>
      </w:r>
      <w:r>
        <w:rPr>
          <w:i/>
          <w:iCs/>
        </w:rPr>
        <w:t xml:space="preserve">Eurasian Business Review</w:t>
      </w:r>
      <w:r>
        <w:t xml:space="preserve">, </w:t>
      </w:r>
      <w:r>
        <w:rPr>
          <w:i/>
          <w:iCs/>
        </w:rPr>
        <w:t xml:space="preserve">15</w:t>
      </w:r>
      <w:r>
        <w:t xml:space="preserve">(4), 1249-1278. https://doi.org/10.1007/s40821-025-00319-5</w:t>
      </w:r>
    </w:p>
    <w:p>
      <w:pPr>
        <w:spacing w:after="100" w:line="264"/>
        <w:ind w:left="567" w:hanging="567"/>
      </w:pPr>
      <w:r>
        <w:t xml:space="preserve">Andrade Rodríguez, B. (2020). A Look at Tax Sparing Clauses in the 21st Century as Tools for the Implementation of Tax Incentives from the Perspective of Developing Countries. </w:t>
      </w:r>
      <w:r>
        <w:rPr>
          <w:i/>
          <w:iCs/>
        </w:rPr>
        <w:t xml:space="preserve">International Tax Studies</w:t>
      </w:r>
      <w:r>
        <w:t xml:space="preserve">, </w:t>
      </w:r>
      <w:r>
        <w:rPr>
          <w:i/>
          <w:iCs/>
        </w:rPr>
        <w:t xml:space="preserve">3</w:t>
      </w:r>
      <w:r>
        <w:t xml:space="preserve">(7). https://doi.org/10.59403/3wrc9rv</w:t>
      </w:r>
    </w:p>
    <w:p>
      <w:pPr>
        <w:spacing w:after="100" w:line="264"/>
        <w:ind w:left="567" w:hanging="567"/>
      </w:pPr>
      <w:r>
        <w:t xml:space="preserve">Andrade Rodríguez, B. (2021). Developing Countries and the Proposed Article 12B of the UN Model: Some Known Unknowns. </w:t>
      </w:r>
      <w:r>
        <w:rPr>
          <w:i/>
          <w:iCs/>
        </w:rPr>
        <w:t xml:space="preserve">International Tax Studies</w:t>
      </w:r>
      <w:r>
        <w:t xml:space="preserve">, </w:t>
      </w:r>
      <w:r>
        <w:rPr>
          <w:i/>
          <w:iCs/>
        </w:rPr>
        <w:t xml:space="preserve">4</w:t>
      </w:r>
      <w:r>
        <w:t xml:space="preserve">(6). https://doi.org/10.59403/3ta5y25</w:t>
      </w:r>
    </w:p>
    <w:p>
      <w:pPr>
        <w:spacing w:after="100" w:line="264"/>
        <w:ind w:left="567" w:hanging="567"/>
      </w:pPr>
      <w:r>
        <w:t xml:space="preserve">Anh, T. C. et Nguyen The, D. T. (2026). Riding the Wave of the Global Minimum Tax Regime: The Rise and (Potential) Transformation of Super Deductions for Research and Development (R&amp;D) Expenses in Asia. </w:t>
      </w:r>
      <w:r>
        <w:rPr>
          <w:i/>
          <w:iCs/>
        </w:rPr>
        <w:t xml:space="preserve">Intertax</w:t>
      </w:r>
      <w:r>
        <w:t xml:space="preserve">, </w:t>
      </w:r>
      <w:r>
        <w:rPr>
          <w:i/>
          <w:iCs/>
        </w:rPr>
        <w:t xml:space="preserve">54</w:t>
      </w:r>
      <w:r>
        <w:t xml:space="preserve">(10), 584-612. https://doi.org/10.54648/taxi2026062</w:t>
      </w:r>
    </w:p>
    <w:p>
      <w:pPr>
        <w:spacing w:after="100" w:line="264"/>
        <w:ind w:left="567" w:hanging="567"/>
      </w:pPr>
      <w:r>
        <w:t xml:space="preserve">Apostolidou, E. (2024). Environmental Policies and Tax Incentives in the Pillar Two Era: A Comparison of the EU and US Approaches. </w:t>
      </w:r>
      <w:r>
        <w:rPr>
          <w:i/>
          <w:iCs/>
        </w:rPr>
        <w:t xml:space="preserve">European Taxation</w:t>
      </w:r>
      <w:r>
        <w:t xml:space="preserve">, </w:t>
      </w:r>
      <w:r>
        <w:rPr>
          <w:i/>
          <w:iCs/>
        </w:rPr>
        <w:t xml:space="preserve">64</w:t>
      </w:r>
      <w:r>
        <w:t xml:space="preserve">(11). https://doi.org/10.59403/1vdehjj</w:t>
      </w:r>
    </w:p>
    <w:p>
      <w:pPr>
        <w:spacing w:after="100" w:line="264"/>
        <w:ind w:left="567" w:hanging="567"/>
      </w:pPr>
      <w:r>
        <w:t xml:space="preserve">Aren, M.-L. F. (2024). Exploring minimal indirect digital economy taxation as a post-COVID-19 economic recovery strategy for African revenue mobilisation. </w:t>
      </w:r>
      <w:r>
        <w:rPr>
          <w:i/>
          <w:iCs/>
        </w:rPr>
        <w:t xml:space="preserve">Journal of Sustainable Development Law and Policy (The)</w:t>
      </w:r>
      <w:r>
        <w:t xml:space="preserve">, </w:t>
      </w:r>
      <w:r>
        <w:rPr>
          <w:i/>
          <w:iCs/>
        </w:rPr>
        <w:t xml:space="preserve">15</w:t>
      </w:r>
      <w:r>
        <w:t xml:space="preserve">(1), 238-262. https://doi.org/10.4314/jsdlp.v15i1.8</w:t>
      </w:r>
    </w:p>
    <w:p>
      <w:pPr>
        <w:spacing w:after="100" w:line="264"/>
        <w:ind w:left="567" w:hanging="567"/>
      </w:pPr>
      <w:r>
        <w:t xml:space="preserve">Aren, M.-L. (2026). Conflicts or Synergies? Examining the OECD Global Minimum Tax and UN Tax Policies from an African Tax Governance Perspective. </w:t>
      </w:r>
      <w:r>
        <w:rPr>
          <w:i/>
          <w:iCs/>
        </w:rPr>
        <w:t xml:space="preserve">Intertax</w:t>
      </w:r>
      <w:r>
        <w:t xml:space="preserve">, </w:t>
      </w:r>
      <w:r>
        <w:rPr>
          <w:i/>
          <w:iCs/>
        </w:rPr>
        <w:t xml:space="preserve">54</w:t>
      </w:r>
      <w:r>
        <w:t xml:space="preserve">(6/7), 424-444. https://doi.org/10.54648/taxi2026058</w:t>
      </w:r>
    </w:p>
    <w:p>
      <w:pPr>
        <w:spacing w:after="100" w:line="264"/>
        <w:ind w:left="567" w:hanging="567"/>
      </w:pPr>
      <w:r>
        <w:t xml:space="preserve">Arnold, B. (2024). Earth to OECD: You Must Be Joking – The Subject to Tax Rule of Pillar Two. </w:t>
      </w:r>
      <w:r>
        <w:rPr>
          <w:i/>
          <w:iCs/>
        </w:rPr>
        <w:t xml:space="preserve">Bulletin for International Taxation</w:t>
      </w:r>
      <w:r>
        <w:t xml:space="preserve">, </w:t>
      </w:r>
      <w:r>
        <w:rPr>
          <w:i/>
          <w:iCs/>
        </w:rPr>
        <w:t xml:space="preserve">78</w:t>
      </w:r>
      <w:r>
        <w:t xml:space="preserve">(2). https://doi.org/10.59403/3j8ntgs</w:t>
      </w:r>
    </w:p>
    <w:p>
      <w:pPr>
        <w:spacing w:after="100" w:line="264"/>
        <w:ind w:left="567" w:hanging="567"/>
      </w:pPr>
      <w:r>
        <w:t xml:space="preserve">Avi-Yonah, R. et Lempert, E. (2023). The Historical Origins and Current Prospects of the Multilateral Tax Convention. </w:t>
      </w:r>
      <w:r>
        <w:rPr>
          <w:i/>
          <w:iCs/>
        </w:rPr>
        <w:t xml:space="preserve">World Tax Journal</w:t>
      </w:r>
      <w:r>
        <w:t xml:space="preserve">, </w:t>
      </w:r>
      <w:r>
        <w:rPr>
          <w:i/>
          <w:iCs/>
        </w:rPr>
        <w:t xml:space="preserve">15</w:t>
      </w:r>
      <w:r>
        <w:t xml:space="preserve">(3). https://doi.org/10.59403/1v56w0k</w:t>
      </w:r>
    </w:p>
    <w:p>
      <w:pPr>
        <w:spacing w:after="100" w:line="264"/>
        <w:ind w:left="567" w:hanging="567"/>
      </w:pPr>
      <w:r>
        <w:t xml:space="preserve">Avi-Yonah, R. S. et Kim, C. (2025). </w:t>
      </w:r>
      <w:r>
        <w:rPr>
          <w:i/>
          <w:iCs/>
        </w:rPr>
        <w:t xml:space="preserve">The International Tax Revolution</w:t>
      </w:r>
      <w:r>
        <w:t xml:space="preserve">. Cambridge University Press. https://doi.org/10.1017/9781009331852</w:t>
      </w:r>
    </w:p>
    <w:p>
      <w:pPr>
        <w:spacing w:after="100" w:line="264"/>
        <w:ind w:left="567" w:hanging="567"/>
      </w:pPr>
      <w:r>
        <w:t xml:space="preserve">Awuah, Y. et Treu, J. S. (2026). So Close and Yet So Far: The Ability of the Global Minimum Tax to Mitigate Harmful Corporate Tax Competition. </w:t>
      </w:r>
      <w:r>
        <w:rPr>
          <w:i/>
          <w:iCs/>
        </w:rPr>
        <w:t xml:space="preserve">The ATA Journal of Legal Tax Research</w:t>
      </w:r>
      <w:r>
        <w:t xml:space="preserve">, 1-22. https://doi.org/10.2308/jltr-2024-003</w:t>
      </w:r>
    </w:p>
    <w:p>
      <w:pPr>
        <w:spacing w:after="100" w:line="264"/>
        <w:ind w:left="567" w:hanging="567"/>
      </w:pPr>
      <w:r>
        <w:t xml:space="preserve">Bammens, N. et Bettens, D. (2023). The Potential Impact of Pillar Two on Tax Incentives. </w:t>
      </w:r>
      <w:r>
        <w:rPr>
          <w:i/>
          <w:iCs/>
        </w:rPr>
        <w:t xml:space="preserve">Intertax</w:t>
      </w:r>
      <w:r>
        <w:t xml:space="preserve">, </w:t>
      </w:r>
      <w:r>
        <w:rPr>
          <w:i/>
          <w:iCs/>
        </w:rPr>
        <w:t xml:space="preserve">51</w:t>
      </w:r>
      <w:r>
        <w:t xml:space="preserve">(2), 155-169. https://doi.org/10.54648/taxi2023018</w:t>
      </w:r>
    </w:p>
    <w:p>
      <w:pPr>
        <w:spacing w:after="100" w:line="264"/>
        <w:ind w:left="567" w:hanging="567"/>
      </w:pPr>
      <w:r>
        <w:t xml:space="preserve">Banga, K., Beyleveld, A. et Munu, M. L. (2025). Trading away tax sovereignty? How trade rules shape taxation of the digital economy in Africa. </w:t>
      </w:r>
      <w:r>
        <w:rPr>
          <w:i/>
          <w:iCs/>
        </w:rPr>
        <w:t xml:space="preserve">Journal of International Economic Law</w:t>
      </w:r>
      <w:r>
        <w:t xml:space="preserve">, </w:t>
      </w:r>
      <w:r>
        <w:rPr>
          <w:i/>
          <w:iCs/>
        </w:rPr>
        <w:t xml:space="preserve">28</w:t>
      </w:r>
      <w:r>
        <w:t xml:space="preserve">(1), 43-62. https://doi.org/10.1093/jiel/jgaf004</w:t>
      </w:r>
    </w:p>
    <w:p>
      <w:pPr>
        <w:spacing w:after="100" w:line="264"/>
        <w:ind w:left="567" w:hanging="567"/>
      </w:pPr>
      <w:r>
        <w:t xml:space="preserve">Baraké, M., Chouc, P.-E., Neef, T. et Zucman, G. (2022). Revenue Effects of the Global Minimum Tax Under Pillar Two. </w:t>
      </w:r>
      <w:r>
        <w:rPr>
          <w:i/>
          <w:iCs/>
        </w:rPr>
        <w:t xml:space="preserve">Intertax</w:t>
      </w:r>
      <w:r>
        <w:t xml:space="preserve">, </w:t>
      </w:r>
      <w:r>
        <w:rPr>
          <w:i/>
          <w:iCs/>
        </w:rPr>
        <w:t xml:space="preserve">50</w:t>
      </w:r>
      <w:r>
        <w:t xml:space="preserve">(10), 689-710. https://doi.org/10.54648/taxi2022074</w:t>
      </w:r>
    </w:p>
    <w:p>
      <w:pPr>
        <w:spacing w:after="100" w:line="264"/>
        <w:ind w:left="567" w:hanging="567"/>
      </w:pPr>
      <w:r>
        <w:t xml:space="preserve">Barake, M. et Le Pouhaër, E. (2024). Tax revenue from Pillar One Amount A: country-by-country estimates. </w:t>
      </w:r>
      <w:r>
        <w:rPr>
          <w:i/>
          <w:iCs/>
        </w:rPr>
        <w:t xml:space="preserve">International Tax and Public Finance</w:t>
      </w:r>
      <w:r>
        <w:t xml:space="preserve">, </w:t>
      </w:r>
      <w:r>
        <w:rPr>
          <w:i/>
          <w:iCs/>
        </w:rPr>
        <w:t xml:space="preserve">32</w:t>
      </w:r>
      <w:r>
        <w:t xml:space="preserve">(3), 680-740. https://doi.org/10.1007/s10797-024-09859-4</w:t>
      </w:r>
    </w:p>
    <w:p>
      <w:pPr>
        <w:spacing w:after="100" w:line="264"/>
        <w:ind w:left="567" w:hanging="567"/>
      </w:pPr>
      <w:r>
        <w:t xml:space="preserve">Bares, F., Devereux, M. P., Güçeri, İ. et Patil, V. (2026). The impact of the global minimum tax on incentives for business location, investment, and profit shifting. </w:t>
      </w:r>
      <w:r>
        <w:rPr>
          <w:i/>
          <w:iCs/>
        </w:rPr>
        <w:t xml:space="preserve">Journal of International Business Studies</w:t>
      </w:r>
      <w:r>
        <w:t xml:space="preserve">, </w:t>
      </w:r>
      <w:r>
        <w:rPr>
          <w:i/>
          <w:iCs/>
        </w:rPr>
        <w:t xml:space="preserve">57</w:t>
      </w:r>
      <w:r>
        <w:t xml:space="preserve">(7), 972-989. https://doi.org/10.1057/s41267-026-00860-z</w:t>
      </w:r>
    </w:p>
    <w:p>
      <w:pPr>
        <w:spacing w:after="100" w:line="264"/>
        <w:ind w:left="567" w:hanging="567"/>
      </w:pPr>
      <w:r>
        <w:t xml:space="preserve">Basak, S. (2016). Equalization Levy: A New Perspective of E-Commerce Taxation. </w:t>
      </w:r>
      <w:r>
        <w:rPr>
          <w:i/>
          <w:iCs/>
        </w:rPr>
        <w:t xml:space="preserve">Intertax</w:t>
      </w:r>
      <w:r>
        <w:t xml:space="preserve">, </w:t>
      </w:r>
      <w:r>
        <w:rPr>
          <w:i/>
          <w:iCs/>
        </w:rPr>
        <w:t xml:space="preserve">44</w:t>
      </w:r>
      <w:r>
        <w:t xml:space="preserve">(11), 845-852. https://doi.org/10.54648/taxi2016078</w:t>
      </w:r>
    </w:p>
    <w:p>
      <w:pPr>
        <w:spacing w:after="100" w:line="264"/>
        <w:ind w:left="567" w:hanging="567"/>
      </w:pPr>
      <w:r>
        <w:t xml:space="preserve">Becker, J. (2026). When are digital services taxes optimal? Output taxes and profit shifting. </w:t>
      </w:r>
      <w:r>
        <w:rPr>
          <w:i/>
          <w:iCs/>
        </w:rPr>
        <w:t xml:space="preserve">International Tax and Public Finance</w:t>
      </w:r>
      <w:r>
        <w:t xml:space="preserve">. https://doi.org/10.1007/s10797-026-09987-z</w:t>
      </w:r>
    </w:p>
    <w:p>
      <w:pPr>
        <w:spacing w:after="100" w:line="264"/>
        <w:ind w:left="567" w:hanging="567"/>
      </w:pPr>
      <w:r>
        <w:t xml:space="preserve">Beer, B. (2026). The GloBE Side-by-Side System and Its Legal Implementation in the EU. </w:t>
      </w:r>
      <w:r>
        <w:rPr>
          <w:i/>
          <w:iCs/>
        </w:rPr>
        <w:t xml:space="preserve">EC Tax Review</w:t>
      </w:r>
      <w:r>
        <w:t xml:space="preserve">, </w:t>
      </w:r>
      <w:r>
        <w:rPr>
          <w:i/>
          <w:iCs/>
        </w:rPr>
        <w:t xml:space="preserve">35</w:t>
      </w:r>
      <w:r>
        <w:t xml:space="preserve">(4), 192-200. https://doi.org/10.54648/ecta2026011</w:t>
      </w:r>
    </w:p>
    <w:p>
      <w:pPr>
        <w:spacing w:after="100" w:line="264"/>
        <w:ind w:left="567" w:hanging="567"/>
      </w:pPr>
      <w:r>
        <w:t xml:space="preserve">Beljić, M., Glavaški, O., Beker Pucar, E., Stojkov, S. et Pejčić, J. (2023). Asymmetric Effects of Tax Competition on FDI vs. Budget Balance in European OECD Economies: Heterogeneous Panel Approach. </w:t>
      </w:r>
      <w:r>
        <w:rPr>
          <w:i/>
          <w:iCs/>
        </w:rPr>
        <w:t xml:space="preserve">Risks</w:t>
      </w:r>
      <w:r>
        <w:t xml:space="preserve">, </w:t>
      </w:r>
      <w:r>
        <w:rPr>
          <w:i/>
          <w:iCs/>
        </w:rPr>
        <w:t xml:space="preserve">11</w:t>
      </w:r>
      <w:r>
        <w:t xml:space="preserve">(12), 219. https://doi.org/10.3390/risks11120219</w:t>
      </w:r>
    </w:p>
    <w:p>
      <w:pPr>
        <w:spacing w:after="100" w:line="264"/>
        <w:ind w:left="567" w:hanging="567"/>
      </w:pPr>
      <w:r>
        <w:t xml:space="preserve">Berger, А. et Polezharova, L. V. (2023). Tax on Digital Services: Assessment of the Advantage of the Introduction in Russia. </w:t>
      </w:r>
      <w:r>
        <w:rPr>
          <w:i/>
          <w:iCs/>
        </w:rPr>
        <w:t xml:space="preserve">Finance: Theory and Practice</w:t>
      </w:r>
      <w:r>
        <w:t xml:space="preserve">, </w:t>
      </w:r>
      <w:r>
        <w:rPr>
          <w:i/>
          <w:iCs/>
        </w:rPr>
        <w:t xml:space="preserve">27</w:t>
      </w:r>
      <w:r>
        <w:t xml:space="preserve">(1), 54-62. https://doi.org/10.26794/2587-5671-2023-27-1-54-62</w:t>
      </w:r>
    </w:p>
    <w:p>
      <w:pPr>
        <w:spacing w:after="100" w:line="264"/>
        <w:ind w:left="567" w:hanging="567"/>
      </w:pPr>
      <w:r>
        <w:t xml:space="preserve">Beyer, V. (2024). International investment agreements and the global minimum tax: of treaty troubles and investment incentives. </w:t>
      </w:r>
      <w:r>
        <w:rPr>
          <w:i/>
          <w:iCs/>
        </w:rPr>
        <w:t xml:space="preserve">Journal of International Economic Law</w:t>
      </w:r>
      <w:r>
        <w:t xml:space="preserve">, </w:t>
      </w:r>
      <w:r>
        <w:rPr>
          <w:i/>
          <w:iCs/>
        </w:rPr>
        <w:t xml:space="preserve">27</w:t>
      </w:r>
      <w:r>
        <w:t xml:space="preserve">(2), 241-258. https://doi.org/10.1093/jiel/jgae010</w:t>
      </w:r>
    </w:p>
    <w:p>
      <w:pPr>
        <w:spacing w:after="100" w:line="264"/>
        <w:ind w:left="567" w:hanging="567"/>
      </w:pPr>
      <w:r>
        <w:t xml:space="preserve">Bilicka, K., Devereux, M. et Güçeri, I. (2023). Tax-Avoidance Networks and the Push for a “Historic” Global Tax Reform. </w:t>
      </w:r>
      <w:r>
        <w:rPr>
          <w:i/>
          <w:iCs/>
        </w:rPr>
        <w:t xml:space="preserve">Tax Policy and the Economy</w:t>
      </w:r>
      <w:r>
        <w:t xml:space="preserve">, </w:t>
      </w:r>
      <w:r>
        <w:rPr>
          <w:i/>
          <w:iCs/>
        </w:rPr>
        <w:t xml:space="preserve">37</w:t>
      </w:r>
      <w:r>
        <w:t xml:space="preserve">, 57-108. https://doi.org/10.1086/724353</w:t>
      </w:r>
    </w:p>
    <w:p>
      <w:pPr>
        <w:spacing w:after="100" w:line="264"/>
        <w:ind w:left="567" w:hanging="567"/>
      </w:pPr>
      <w:r>
        <w:t xml:space="preserve">Blaakman, S. et Korving, J. (2024). The Tax Base in Befit and Pillar Two: Harmony, Dissonance, or Off-Key?. </w:t>
      </w:r>
      <w:r>
        <w:rPr>
          <w:i/>
          <w:iCs/>
        </w:rPr>
        <w:t xml:space="preserve">Intertax</w:t>
      </w:r>
      <w:r>
        <w:t xml:space="preserve">, </w:t>
      </w:r>
      <w:r>
        <w:rPr>
          <w:i/>
          <w:iCs/>
        </w:rPr>
        <w:t xml:space="preserve">52</w:t>
      </w:r>
      <w:r>
        <w:t xml:space="preserve">(5), 361-386. https://doi.org/10.54648/taxi2024038</w:t>
      </w:r>
    </w:p>
    <w:p>
      <w:pPr>
        <w:spacing w:after="100" w:line="264"/>
        <w:ind w:left="567" w:hanging="567"/>
      </w:pPr>
      <w:r>
        <w:t xml:space="preserve">Borisov, V. (2023). Bulgaria Implements BEPS Pillar Two Rules, Leading to Effective Tax Cost Uplift for MNEs. </w:t>
      </w:r>
      <w:r>
        <w:rPr>
          <w:i/>
          <w:iCs/>
        </w:rPr>
        <w:t xml:space="preserve">European Taxation</w:t>
      </w:r>
      <w:r>
        <w:t xml:space="preserve">, </w:t>
      </w:r>
      <w:r>
        <w:rPr>
          <w:i/>
          <w:iCs/>
        </w:rPr>
        <w:t xml:space="preserve">64</w:t>
      </w:r>
      <w:r>
        <w:t xml:space="preserve">(1). https://doi.org/10.59403/3t8wsac</w:t>
      </w:r>
    </w:p>
    <w:p>
      <w:pPr>
        <w:spacing w:after="100" w:line="264"/>
        <w:ind w:left="567" w:hanging="567"/>
      </w:pPr>
      <w:r>
        <w:t xml:space="preserve">Boukal, T., Janský, P. et Palanský, M. (2026). Decomposing the revenue implications of the global minimum tax. </w:t>
      </w:r>
      <w:r>
        <w:rPr>
          <w:i/>
          <w:iCs/>
        </w:rPr>
        <w:t xml:space="preserve">International Tax and Public Finance</w:t>
      </w:r>
      <w:r>
        <w:t xml:space="preserve">. https://doi.org/10.1007/s10797-026-09946-8</w:t>
      </w:r>
    </w:p>
    <w:p>
      <w:pPr>
        <w:spacing w:after="100" w:line="264"/>
        <w:ind w:left="567" w:hanging="567"/>
      </w:pPr>
      <w:r>
        <w:t xml:space="preserve">Brauner, Y. et Moreno, A. B. (2023). Pillar One and Alchemy: What Can We Learn from past Mistakes. </w:t>
      </w:r>
      <w:r>
        <w:rPr>
          <w:i/>
          <w:iCs/>
        </w:rPr>
        <w:t xml:space="preserve">Intertax</w:t>
      </w:r>
      <w:r>
        <w:t xml:space="preserve">, </w:t>
      </w:r>
      <w:r>
        <w:rPr>
          <w:i/>
          <w:iCs/>
        </w:rPr>
        <w:t xml:space="preserve">51</w:t>
      </w:r>
      <w:r>
        <w:t xml:space="preserve">(12), 811-821. https://doi.org/10.54648/taxi2023079</w:t>
      </w:r>
    </w:p>
    <w:p>
      <w:pPr>
        <w:spacing w:after="100" w:line="264"/>
        <w:ind w:left="567" w:hanging="567"/>
      </w:pPr>
      <w:r>
        <w:t xml:space="preserve">Brincker, E. (2024). An Analysis of the Participation Exemption and International Headquarter Regimes in South Africa That Aim to Attract Intermediate Holding Companies and the Interaction Thereof with the OECD’s Pillar Two Proposals. </w:t>
      </w:r>
      <w:r>
        <w:rPr>
          <w:i/>
          <w:iCs/>
        </w:rPr>
        <w:t xml:space="preserve">Bulletin for International Taxation</w:t>
      </w:r>
      <w:r>
        <w:t xml:space="preserve">, </w:t>
      </w:r>
      <w:r>
        <w:rPr>
          <w:i/>
          <w:iCs/>
        </w:rPr>
        <w:t xml:space="preserve">78</w:t>
      </w:r>
      <w:r>
        <w:t xml:space="preserve">(9/10). https://doi.org/10.59403/2jg6s6z</w:t>
      </w:r>
    </w:p>
    <w:p>
      <w:pPr>
        <w:spacing w:after="100" w:line="264"/>
        <w:ind w:left="567" w:hanging="567"/>
      </w:pPr>
      <w:r>
        <w:t xml:space="preserve">Buettner, T. et Poehnlein, M. (2024). Tax competition effects of a minimum tax rate: Empirical evidence from German municipalities. </w:t>
      </w:r>
      <w:r>
        <w:rPr>
          <w:i/>
          <w:iCs/>
        </w:rPr>
        <w:t xml:space="preserve">Journal of Public Economics</w:t>
      </w:r>
      <w:r>
        <w:t xml:space="preserve">, </w:t>
      </w:r>
      <w:r>
        <w:rPr>
          <w:i/>
          <w:iCs/>
        </w:rPr>
        <w:t xml:space="preserve">236</w:t>
      </w:r>
      <w:r>
        <w:t xml:space="preserve">, 105148. https://doi.org/10.1016/j.jpubeco.2024.105148</w:t>
      </w:r>
    </w:p>
    <w:p>
      <w:pPr>
        <w:spacing w:after="100" w:line="264"/>
        <w:ind w:left="567" w:hanging="567"/>
      </w:pPr>
      <w:r>
        <w:t xml:space="preserve">Burgers, I. et Mosquera Valderrama, I. (2017). Corporate Taxation and BEPS: A Fair Slice for Developing Countries?. </w:t>
      </w:r>
      <w:r>
        <w:rPr>
          <w:i/>
          <w:iCs/>
        </w:rPr>
        <w:t xml:space="preserve">Erasmus Law Review</w:t>
      </w:r>
      <w:r>
        <w:t xml:space="preserve">, </w:t>
      </w:r>
      <w:r>
        <w:rPr>
          <w:i/>
          <w:iCs/>
        </w:rPr>
        <w:t xml:space="preserve">10</w:t>
      </w:r>
      <w:r>
        <w:t xml:space="preserve">(1), 29-47. https://doi.org/10.5553/elr.000077</w:t>
      </w:r>
    </w:p>
    <w:p>
      <w:pPr>
        <w:spacing w:after="100" w:line="264"/>
        <w:ind w:left="567" w:hanging="567"/>
      </w:pPr>
      <w:r>
        <w:t xml:space="preserve">Butarbutar, R. (2022). Legal Formulation to Overcome Base-Erosion and Profit-Shifting Practices of Digital-Economy Multinational Enterprise in Indonesia. </w:t>
      </w:r>
      <w:r>
        <w:rPr>
          <w:i/>
          <w:iCs/>
        </w:rPr>
        <w:t xml:space="preserve">PADJADJARAN Jurnal Ilmu Hukum (Journal of Law)</w:t>
      </w:r>
      <w:r>
        <w:t xml:space="preserve">, </w:t>
      </w:r>
      <w:r>
        <w:rPr>
          <w:i/>
          <w:iCs/>
        </w:rPr>
        <w:t xml:space="preserve">9</w:t>
      </w:r>
      <w:r>
        <w:t xml:space="preserve">(3), 323-342. https://doi.org/10.22304/pjih.v9n3.a2</w:t>
      </w:r>
    </w:p>
    <w:p>
      <w:pPr>
        <w:spacing w:after="100" w:line="264"/>
        <w:ind w:left="567" w:hanging="567"/>
      </w:pPr>
      <w:r>
        <w:t xml:space="preserve">Cahyadini, A., Hutagalung, J. I. G. et Muttaqin, Z. (2023). The urgency of reforming Indonesia’s tax Law in the face of economic digitalization. </w:t>
      </w:r>
      <w:r>
        <w:rPr>
          <w:i/>
          <w:iCs/>
        </w:rPr>
        <w:t xml:space="preserve">Cogent Social Sciences</w:t>
      </w:r>
      <w:r>
        <w:t xml:space="preserve">, </w:t>
      </w:r>
      <w:r>
        <w:rPr>
          <w:i/>
          <w:iCs/>
        </w:rPr>
        <w:t xml:space="preserve">9</w:t>
      </w:r>
      <w:r>
        <w:t xml:space="preserve">(2). https://doi.org/10.1080/23311886.2023.2285242</w:t>
      </w:r>
    </w:p>
    <w:p>
      <w:pPr>
        <w:spacing w:after="100" w:line="264"/>
        <w:ind w:left="567" w:hanging="567"/>
      </w:pPr>
      <w:r>
        <w:t xml:space="preserve">Calijuri, V. (2022). Is Big Data That Simple? An Analysis of the Transfer Pricing Aspects of Value Creation of Data in the Digitalized Economy. </w:t>
      </w:r>
      <w:r>
        <w:rPr>
          <w:i/>
          <w:iCs/>
        </w:rPr>
        <w:t xml:space="preserve">International Tax Studies</w:t>
      </w:r>
      <w:r>
        <w:t xml:space="preserve">, </w:t>
      </w:r>
      <w:r>
        <w:rPr>
          <w:i/>
          <w:iCs/>
        </w:rPr>
        <w:t xml:space="preserve">5</w:t>
      </w:r>
      <w:r>
        <w:t xml:space="preserve">(8). https://doi.org/10.59403/1wcn33p</w:t>
      </w:r>
    </w:p>
    <w:p>
      <w:pPr>
        <w:spacing w:after="100" w:line="264"/>
        <w:ind w:left="567" w:hanging="567"/>
      </w:pPr>
      <w:r>
        <w:t xml:space="preserve">Carro Pitarch, M. (2022). Analysis of the (In)compatibility of Digital Services Taxes With State Aid Rules. </w:t>
      </w:r>
      <w:r>
        <w:rPr>
          <w:i/>
          <w:iCs/>
        </w:rPr>
        <w:t xml:space="preserve">EC Tax Review</w:t>
      </w:r>
      <w:r>
        <w:t xml:space="preserve">, </w:t>
      </w:r>
      <w:r>
        <w:rPr>
          <w:i/>
          <w:iCs/>
        </w:rPr>
        <w:t xml:space="preserve">31</w:t>
      </w:r>
      <w:r>
        <w:t xml:space="preserve">(6), 326-336. https://doi.org/10.54648/ecta2022031</w:t>
      </w:r>
    </w:p>
    <w:p>
      <w:pPr>
        <w:spacing w:after="100" w:line="264"/>
        <w:ind w:left="567" w:hanging="567"/>
      </w:pPr>
      <w:r>
        <w:t xml:space="preserve">Cassee, A. (2019). International tax competition and justice: The case for global minimum tax rates. </w:t>
      </w:r>
      <w:r>
        <w:rPr>
          <w:i/>
          <w:iCs/>
        </w:rPr>
        <w:t xml:space="preserve">Politics, Philosophy &amp; Economics</w:t>
      </w:r>
      <w:r>
        <w:t xml:space="preserve">, </w:t>
      </w:r>
      <w:r>
        <w:rPr>
          <w:i/>
          <w:iCs/>
        </w:rPr>
        <w:t xml:space="preserve">18</w:t>
      </w:r>
      <w:r>
        <w:t xml:space="preserve">(3), 242-263. https://doi.org/10.1177/1470594x19848074</w:t>
      </w:r>
    </w:p>
    <w:p>
      <w:pPr>
        <w:spacing w:after="100" w:line="264"/>
        <w:ind w:left="567" w:hanging="567"/>
      </w:pPr>
      <w:r>
        <w:t xml:space="preserve">Castro, D. (2017). The Digital Economy and Indirect Taxation: The Brazilian Perspective. </w:t>
      </w:r>
      <w:r>
        <w:rPr>
          <w:i/>
          <w:iCs/>
        </w:rPr>
        <w:t xml:space="preserve">Bulletin for International Taxation</w:t>
      </w:r>
      <w:r>
        <w:t xml:space="preserve">, </w:t>
      </w:r>
      <w:r>
        <w:rPr>
          <w:i/>
          <w:iCs/>
        </w:rPr>
        <w:t xml:space="preserve">71</w:t>
      </w:r>
      <w:r>
        <w:t xml:space="preserve">(6). https://doi.org/10.59403/gpe1sp</w:t>
      </w:r>
    </w:p>
    <w:p>
      <w:pPr>
        <w:spacing w:after="100" w:line="264"/>
        <w:ind w:left="567" w:hanging="567"/>
      </w:pPr>
      <w:r>
        <w:t xml:space="preserve">Čejková, T. (2020). Tax Absence in Relation to Taxation of Digital Services. </w:t>
      </w:r>
      <w:r>
        <w:rPr>
          <w:i/>
          <w:iCs/>
        </w:rPr>
        <w:t xml:space="preserve">Public Governance, Administration and Finances Law Review</w:t>
      </w:r>
      <w:r>
        <w:t xml:space="preserve">, </w:t>
      </w:r>
      <w:r>
        <w:rPr>
          <w:i/>
          <w:iCs/>
        </w:rPr>
        <w:t xml:space="preserve">5</w:t>
      </w:r>
      <w:r>
        <w:t xml:space="preserve">(2), 5-16. https://doi.org/10.53116/pgaflr.2020.2.1</w:t>
      </w:r>
    </w:p>
    <w:p>
      <w:pPr>
        <w:spacing w:after="100" w:line="264"/>
        <w:ind w:left="567" w:hanging="567"/>
      </w:pPr>
      <w:r>
        <w:t xml:space="preserve">Chand, V. et Romanovska, K. (2024). The Impact of Pillar Two on Corporate Tax Incentives and Incentives Post Pillar Two – The Potential Rise of Tax Credits and Subsidies. </w:t>
      </w:r>
      <w:r>
        <w:rPr>
          <w:i/>
          <w:iCs/>
        </w:rPr>
        <w:t xml:space="preserve">International Tax Studies</w:t>
      </w:r>
      <w:r>
        <w:t xml:space="preserve">, </w:t>
      </w:r>
      <w:r>
        <w:rPr>
          <w:i/>
          <w:iCs/>
        </w:rPr>
        <w:t xml:space="preserve">6</w:t>
      </w:r>
      <w:r>
        <w:t xml:space="preserve">(9). https://doi.org/10.59403/1tywms8</w:t>
      </w:r>
    </w:p>
    <w:p>
      <w:pPr>
        <w:spacing w:after="100" w:line="264"/>
        <w:ind w:left="567" w:hanging="567"/>
      </w:pPr>
      <w:r>
        <w:t xml:space="preserve">Chen, J. et Chow, W. (2023). Global Minimum Tax Reform and the Future of Tax Competition. </w:t>
      </w:r>
      <w:r>
        <w:rPr>
          <w:i/>
          <w:iCs/>
        </w:rPr>
        <w:t xml:space="preserve">Bulletin for International Taxation</w:t>
      </w:r>
      <w:r>
        <w:t xml:space="preserve">, </w:t>
      </w:r>
      <w:r>
        <w:rPr>
          <w:i/>
          <w:iCs/>
        </w:rPr>
        <w:t xml:space="preserve">77</w:t>
      </w:r>
      <w:r>
        <w:t xml:space="preserve">(8). https://doi.org/10.59403/24gqzfd</w:t>
      </w:r>
    </w:p>
    <w:p>
      <w:pPr>
        <w:spacing w:after="100" w:line="264"/>
        <w:ind w:left="567" w:hanging="567"/>
      </w:pPr>
      <w:r>
        <w:t xml:space="preserve">Chukwudumogu, C. (2024). Inter-Nation Equity And The Regulation of Tax Competition via the Global Minimum Tax Rule: A Case for Improvement. </w:t>
      </w:r>
      <w:r>
        <w:rPr>
          <w:i/>
          <w:iCs/>
        </w:rPr>
        <w:t xml:space="preserve">Intertax</w:t>
      </w:r>
      <w:r>
        <w:t xml:space="preserve">, </w:t>
      </w:r>
      <w:r>
        <w:rPr>
          <w:i/>
          <w:iCs/>
        </w:rPr>
        <w:t xml:space="preserve">52</w:t>
      </w:r>
      <w:r>
        <w:t xml:space="preserve">(10), 621-634. https://doi.org/10.54648/taxi2024068</w:t>
      </w:r>
    </w:p>
    <w:p>
      <w:pPr>
        <w:spacing w:after="100" w:line="264"/>
        <w:ind w:left="567" w:hanging="567"/>
      </w:pPr>
      <w:r>
        <w:t xml:space="preserve">Cipollini, C. (2026). Digital Services Taxes and WTO Law: The Likeness Challenge in the Data Economy. </w:t>
      </w:r>
      <w:r>
        <w:rPr>
          <w:i/>
          <w:iCs/>
        </w:rPr>
        <w:t xml:space="preserve">Intertax</w:t>
      </w:r>
      <w:r>
        <w:t xml:space="preserve">, </w:t>
      </w:r>
      <w:r>
        <w:rPr>
          <w:i/>
          <w:iCs/>
        </w:rPr>
        <w:t xml:space="preserve">54</w:t>
      </w:r>
      <w:r>
        <w:t xml:space="preserve">(4), 268-290. https://doi.org/10.54648/taxi2026035</w:t>
      </w:r>
    </w:p>
    <w:p>
      <w:pPr>
        <w:spacing w:after="100" w:line="264"/>
        <w:ind w:left="567" w:hanging="567"/>
      </w:pPr>
      <w:r>
        <w:t xml:space="preserve">Collier, R. et Riedel, N. (2018). The OECD/G20 Base Erosion and Profit Shifting Initiative and Developing Countries. </w:t>
      </w:r>
      <w:r>
        <w:rPr>
          <w:i/>
          <w:iCs/>
        </w:rPr>
        <w:t xml:space="preserve">Bulletin for International Taxation</w:t>
      </w:r>
      <w:r>
        <w:t xml:space="preserve">, </w:t>
      </w:r>
      <w:r>
        <w:rPr>
          <w:i/>
          <w:iCs/>
        </w:rPr>
        <w:t xml:space="preserve">72</w:t>
      </w:r>
      <w:r>
        <w:t xml:space="preserve">(12). https://doi.org/10.59403/3r2xzpz</w:t>
      </w:r>
    </w:p>
    <w:p>
      <w:pPr>
        <w:spacing w:after="100" w:line="264"/>
        <w:ind w:left="567" w:hanging="567"/>
      </w:pPr>
      <w:r>
        <w:t xml:space="preserve">Cugusi, I. (2020). Prospects for Taxation of the Digital Economy between “Tax Law and New Economy” and “Tax Law of the New Economy”. </w:t>
      </w:r>
      <w:r>
        <w:rPr>
          <w:i/>
          <w:iCs/>
        </w:rPr>
        <w:t xml:space="preserve">World Tax Journal</w:t>
      </w:r>
      <w:r>
        <w:t xml:space="preserve">, </w:t>
      </w:r>
      <w:r>
        <w:rPr>
          <w:i/>
          <w:iCs/>
        </w:rPr>
        <w:t xml:space="preserve">12</w:t>
      </w:r>
      <w:r>
        <w:t xml:space="preserve">(4). https://doi.org/10.59403/3jq87rb</w:t>
      </w:r>
    </w:p>
    <w:p>
      <w:pPr>
        <w:spacing w:after="100" w:line="264"/>
        <w:ind w:left="567" w:hanging="567"/>
      </w:pPr>
      <w:r>
        <w:t xml:space="preserve">Cui, W. (2019a). The Digital Services Tax on the Verge of Implementation. </w:t>
      </w:r>
      <w:r>
        <w:rPr>
          <w:i/>
          <w:iCs/>
        </w:rPr>
        <w:t xml:space="preserve">Canadian Tax Journal/Revue fiscale canadienne</w:t>
      </w:r>
      <w:r>
        <w:t xml:space="preserve">, </w:t>
      </w:r>
      <w:r>
        <w:rPr>
          <w:i/>
          <w:iCs/>
        </w:rPr>
        <w:t xml:space="preserve">67</w:t>
      </w:r>
      <w:r>
        <w:t xml:space="preserve">(4), 1135-1152. https://doi.org/10.32721/ctj.2019.67.4.sym.cui</w:t>
      </w:r>
    </w:p>
    <w:p>
      <w:pPr>
        <w:spacing w:after="100" w:line="264"/>
        <w:ind w:left="567" w:hanging="567"/>
      </w:pPr>
      <w:r>
        <w:t xml:space="preserve">Cui, W. (2019b). The superiority of the digital services tax over significant digital presence proposals. </w:t>
      </w:r>
      <w:r>
        <w:rPr>
          <w:i/>
          <w:iCs/>
        </w:rPr>
        <w:t xml:space="preserve">National Tax Journal</w:t>
      </w:r>
      <w:r>
        <w:t xml:space="preserve">, </w:t>
      </w:r>
      <w:r>
        <w:rPr>
          <w:i/>
          <w:iCs/>
        </w:rPr>
        <w:t xml:space="preserve">72</w:t>
      </w:r>
      <w:r>
        <w:t xml:space="preserve">(4), 839-856. https://doi.org/10.17310/ntj.2019.4.09</w:t>
      </w:r>
    </w:p>
    <w:p>
      <w:pPr>
        <w:spacing w:after="100" w:line="264"/>
        <w:ind w:left="567" w:hanging="567"/>
      </w:pPr>
      <w:r>
        <w:t xml:space="preserve">Cui, W. (2020). The digital services tax: A conceptual defense. </w:t>
      </w:r>
      <w:r>
        <w:rPr>
          <w:i/>
          <w:iCs/>
        </w:rPr>
        <w:t xml:space="preserve">Tax Law Review</w:t>
      </w:r>
      <w:r>
        <w:t xml:space="preserve">, </w:t>
      </w:r>
      <w:r>
        <w:rPr>
          <w:i/>
          <w:iCs/>
        </w:rPr>
        <w:t xml:space="preserve">73</w:t>
      </w:r>
      <w:r>
        <w:t xml:space="preserve">(1), 69-111.</w:t>
      </w:r>
    </w:p>
    <w:p>
      <w:pPr>
        <w:spacing w:after="100" w:line="264"/>
        <w:ind w:left="567" w:hanging="567"/>
      </w:pPr>
      <w:r>
        <w:t xml:space="preserve">Cui, W. (2024). Strategic Incentives for Adopting the Global Minimum Tax. </w:t>
      </w:r>
      <w:r>
        <w:rPr>
          <w:i/>
          <w:iCs/>
        </w:rPr>
        <w:t xml:space="preserve">Journal of Legal Analysis</w:t>
      </w:r>
      <w:r>
        <w:t xml:space="preserve">, </w:t>
      </w:r>
      <w:r>
        <w:rPr>
          <w:i/>
          <w:iCs/>
        </w:rPr>
        <w:t xml:space="preserve">16</w:t>
      </w:r>
      <w:r>
        <w:t xml:space="preserve">(1), 211-234. https://doi.org/10.1093/jla/laae008</w:t>
      </w:r>
    </w:p>
    <w:p>
      <w:pPr>
        <w:spacing w:after="100" w:line="264"/>
        <w:ind w:left="567" w:hanging="567"/>
      </w:pPr>
      <w:r>
        <w:t xml:space="preserve">Czoboly, G. et Erdős, G. (2025). QDMTT’s Alignment With International Obligations With Potential Deviations. </w:t>
      </w:r>
      <w:r>
        <w:rPr>
          <w:i/>
          <w:iCs/>
        </w:rPr>
        <w:t xml:space="preserve">Intertax</w:t>
      </w:r>
      <w:r>
        <w:t xml:space="preserve">, </w:t>
      </w:r>
      <w:r>
        <w:rPr>
          <w:i/>
          <w:iCs/>
        </w:rPr>
        <w:t xml:space="preserve">53</w:t>
      </w:r>
      <w:r>
        <w:t xml:space="preserve">(4), 362-381. https://doi.org/10.54648/taxi2025025</w:t>
      </w:r>
    </w:p>
    <w:p>
      <w:pPr>
        <w:spacing w:after="100" w:line="264"/>
        <w:ind w:left="567" w:hanging="567"/>
      </w:pPr>
      <w:r>
        <w:t xml:space="preserve">Dagan, T. (2023). Globe: The Potential Costs Of Cooperation. </w:t>
      </w:r>
      <w:r>
        <w:rPr>
          <w:i/>
          <w:iCs/>
        </w:rPr>
        <w:t xml:space="preserve">Intertax</w:t>
      </w:r>
      <w:r>
        <w:t xml:space="preserve">, </w:t>
      </w:r>
      <w:r>
        <w:rPr>
          <w:i/>
          <w:iCs/>
        </w:rPr>
        <w:t xml:space="preserve">51</w:t>
      </w:r>
      <w:r>
        <w:t xml:space="preserve">(10), 638-649. https://doi.org/10.54648/taxi2023059</w:t>
      </w:r>
    </w:p>
    <w:p>
      <w:pPr>
        <w:spacing w:after="100" w:line="264"/>
        <w:ind w:left="567" w:hanging="567"/>
      </w:pPr>
      <w:r>
        <w:t xml:space="preserve">Das, R. (2024). Qualified Domestic Minimum Top-Up Tax: Should Developing Countries Adopt It?. </w:t>
      </w:r>
      <w:r>
        <w:rPr>
          <w:i/>
          <w:iCs/>
        </w:rPr>
        <w:t xml:space="preserve">Bulletin for International Taxation</w:t>
      </w:r>
      <w:r>
        <w:t xml:space="preserve">, </w:t>
      </w:r>
      <w:r>
        <w:rPr>
          <w:i/>
          <w:iCs/>
        </w:rPr>
        <w:t xml:space="preserve">78</w:t>
      </w:r>
      <w:r>
        <w:t xml:space="preserve">(3). https://doi.org/10.59403/1mx1cke</w:t>
      </w:r>
    </w:p>
    <w:p>
      <w:pPr>
        <w:spacing w:after="100" w:line="264"/>
        <w:ind w:left="567" w:hanging="567"/>
      </w:pPr>
      <w:r>
        <w:t xml:space="preserve">Das, R. et Tayal, S. (2024). Comparing Two Subject to Tax Rules: The United Nations vs. the OECD/Inclusive Framework – Which Version Is Better for Developing Countries?. </w:t>
      </w:r>
      <w:r>
        <w:rPr>
          <w:i/>
          <w:iCs/>
        </w:rPr>
        <w:t xml:space="preserve">Bulletin for International Taxation</w:t>
      </w:r>
      <w:r>
        <w:t xml:space="preserve">, </w:t>
      </w:r>
      <w:r>
        <w:rPr>
          <w:i/>
          <w:iCs/>
        </w:rPr>
        <w:t xml:space="preserve">78</w:t>
      </w:r>
      <w:r>
        <w:t xml:space="preserve">(12). https://doi.org/10.59403/1gvea4</w:t>
      </w:r>
    </w:p>
    <w:p>
      <w:pPr>
        <w:spacing w:after="100" w:line="264"/>
        <w:ind w:left="567" w:hanging="567"/>
      </w:pPr>
      <w:r>
        <w:t xml:space="preserve">Das, P. (2025). Reallocation of Residual Profits under OECD Pillar One: Myths and Realities. </w:t>
      </w:r>
      <w:r>
        <w:rPr>
          <w:i/>
          <w:iCs/>
        </w:rPr>
        <w:t xml:space="preserve">International Tax Studies</w:t>
      </w:r>
      <w:r>
        <w:t xml:space="preserve">, </w:t>
      </w:r>
      <w:r>
        <w:rPr>
          <w:i/>
          <w:iCs/>
        </w:rPr>
        <w:t xml:space="preserve">8</w:t>
      </w:r>
      <w:r>
        <w:t xml:space="preserve">(5). https://doi.org/10.59403/35f9314</w:t>
      </w:r>
    </w:p>
    <w:p>
      <w:pPr>
        <w:spacing w:after="100" w:line="264"/>
        <w:ind w:left="567" w:hanging="567"/>
      </w:pPr>
      <w:r>
        <w:t xml:space="preserve">De Broe, L. (2022). Some EU and Tax Treaty Law Considerations on the Draft EU Directive on Global Minimum Taxation for Multinationals in the Union. </w:t>
      </w:r>
      <w:r>
        <w:rPr>
          <w:i/>
          <w:iCs/>
        </w:rPr>
        <w:t xml:space="preserve">Intertax</w:t>
      </w:r>
      <w:r>
        <w:t xml:space="preserve">, </w:t>
      </w:r>
      <w:r>
        <w:rPr>
          <w:i/>
          <w:iCs/>
        </w:rPr>
        <w:t xml:space="preserve">50</w:t>
      </w:r>
      <w:r>
        <w:t xml:space="preserve">(12), 874-887. https://doi.org/10.54648/taxi2022096</w:t>
      </w:r>
    </w:p>
    <w:p>
      <w:pPr>
        <w:spacing w:after="100" w:line="264"/>
        <w:ind w:left="567" w:hanging="567"/>
      </w:pPr>
      <w:r>
        <w:t xml:space="preserve">Deak, D. (2023). Hungarian Tax on Digital Advertising Services in the Spotlight of Challenges. </w:t>
      </w:r>
      <w:r>
        <w:rPr>
          <w:i/>
          <w:iCs/>
        </w:rPr>
        <w:t xml:space="preserve">Intertax</w:t>
      </w:r>
      <w:r>
        <w:t xml:space="preserve">, </w:t>
      </w:r>
      <w:r>
        <w:rPr>
          <w:i/>
          <w:iCs/>
        </w:rPr>
        <w:t xml:space="preserve">51</w:t>
      </w:r>
      <w:r>
        <w:t xml:space="preserve">(4), 309-323. https://doi.org/10.54648/taxi2023026</w:t>
      </w:r>
    </w:p>
    <w:p>
      <w:pPr>
        <w:spacing w:after="100" w:line="264"/>
        <w:ind w:left="567" w:hanging="567"/>
      </w:pPr>
      <w:r>
        <w:t xml:space="preserve">Denk, P. (2022). Tax Competition and the EU Anti-money Laundering Regime. </w:t>
      </w:r>
      <w:r>
        <w:rPr>
          <w:i/>
          <w:iCs/>
        </w:rPr>
        <w:t xml:space="preserve">Intertax</w:t>
      </w:r>
      <w:r>
        <w:t xml:space="preserve">, </w:t>
      </w:r>
      <w:r>
        <w:rPr>
          <w:i/>
          <w:iCs/>
        </w:rPr>
        <w:t xml:space="preserve">50</w:t>
      </w:r>
      <w:r>
        <w:t xml:space="preserve">(11), 803-812. https://doi.org/10.54648/taxi2022085</w:t>
      </w:r>
    </w:p>
    <w:p>
      <w:pPr>
        <w:spacing w:after="100" w:line="264"/>
        <w:ind w:left="567" w:hanging="567"/>
      </w:pPr>
      <w:r>
        <w:t xml:space="preserve">Devereux, M. P. et Vella, J. (2018). Implications of digitalization for international corporate tax reform. </w:t>
      </w:r>
      <w:r>
        <w:rPr>
          <w:i/>
          <w:iCs/>
        </w:rPr>
        <w:t xml:space="preserve">Intertax</w:t>
      </w:r>
      <w:r>
        <w:t xml:space="preserve">, </w:t>
      </w:r>
      <w:r>
        <w:rPr>
          <w:i/>
          <w:iCs/>
        </w:rPr>
        <w:t xml:space="preserve">46</w:t>
      </w:r>
      <w:r>
        <w:t xml:space="preserve">(6/7), 550-559. https://doi.org/10.54648/taxi2018056</w:t>
      </w:r>
    </w:p>
    <w:p>
      <w:pPr>
        <w:spacing w:after="100" w:line="264"/>
        <w:ind w:left="567" w:hanging="567"/>
      </w:pPr>
      <w:r>
        <w:t xml:space="preserve">Devereux, M. P., Auerbach, A. J., Keen, M., Oosterhuis, P., Schön, W. et Vella, J. (2021). </w:t>
      </w:r>
      <w:r>
        <w:rPr>
          <w:i/>
          <w:iCs/>
        </w:rPr>
        <w:t xml:space="preserve">Taxing profit in a global economy</w:t>
      </w:r>
      <w:r>
        <w:t xml:space="preserve">. Oxford University Press. https://doi.org/10.1093/oso/9780198808060.001.0001</w:t>
      </w:r>
    </w:p>
    <w:p>
      <w:pPr>
        <w:spacing w:after="100" w:line="264"/>
        <w:ind w:left="567" w:hanging="567"/>
      </w:pPr>
      <w:r>
        <w:t xml:space="preserve">Devereux, M. P. (2023). International Tax Competition and Coordination with A Global Minimum Tax. </w:t>
      </w:r>
      <w:r>
        <w:rPr>
          <w:i/>
          <w:iCs/>
        </w:rPr>
        <w:t xml:space="preserve">National Tax Journal</w:t>
      </w:r>
      <w:r>
        <w:t xml:space="preserve">, </w:t>
      </w:r>
      <w:r>
        <w:rPr>
          <w:i/>
          <w:iCs/>
        </w:rPr>
        <w:t xml:space="preserve">76</w:t>
      </w:r>
      <w:r>
        <w:t xml:space="preserve">(1), 145-166. https://doi.org/10.1086/723198</w:t>
      </w:r>
    </w:p>
    <w:p>
      <w:pPr>
        <w:spacing w:after="100" w:line="264"/>
        <w:ind w:left="567" w:hanging="567"/>
      </w:pPr>
      <w:r>
        <w:t xml:space="preserve">Devereux, M. et Vella, J. (2023). The Impact of the Global Minimum Tax on Tax Competition. </w:t>
      </w:r>
      <w:r>
        <w:rPr>
          <w:i/>
          <w:iCs/>
        </w:rPr>
        <w:t xml:space="preserve">World Tax Journal</w:t>
      </w:r>
      <w:r>
        <w:t xml:space="preserve">, </w:t>
      </w:r>
      <w:r>
        <w:rPr>
          <w:i/>
          <w:iCs/>
        </w:rPr>
        <w:t xml:space="preserve">15</w:t>
      </w:r>
      <w:r>
        <w:t xml:space="preserve">(3). https://doi.org/10.59403/126a4mh</w:t>
      </w:r>
    </w:p>
    <w:p>
      <w:pPr>
        <w:spacing w:after="100" w:line="264"/>
        <w:ind w:left="567" w:hanging="567"/>
      </w:pPr>
      <w:r>
        <w:t xml:space="preserve">Dhuldhoya, V. (2018). The Future of the Permanent Establishment Concept. </w:t>
      </w:r>
      <w:r>
        <w:rPr>
          <w:i/>
          <w:iCs/>
        </w:rPr>
        <w:t xml:space="preserve">Bulletin for International Taxation</w:t>
      </w:r>
      <w:r>
        <w:t xml:space="preserve">, </w:t>
      </w:r>
      <w:r>
        <w:rPr>
          <w:i/>
          <w:iCs/>
        </w:rPr>
        <w:t xml:space="preserve">72</w:t>
      </w:r>
      <w:r>
        <w:t xml:space="preserve">(4a/Special Issue). https://doi.org/10.59403/q53pbj</w:t>
      </w:r>
    </w:p>
    <w:p>
      <w:pPr>
        <w:spacing w:after="100" w:line="264"/>
        <w:ind w:left="567" w:hanging="567"/>
      </w:pPr>
      <w:r>
        <w:t xml:space="preserve">Di Tanno, T. (2022). The Global Minimum Tax: Some Known Unknowns. </w:t>
      </w:r>
      <w:r>
        <w:rPr>
          <w:i/>
          <w:iCs/>
        </w:rPr>
        <w:t xml:space="preserve">International Tax Studies</w:t>
      </w:r>
      <w:r>
        <w:t xml:space="preserve">, </w:t>
      </w:r>
      <w:r>
        <w:rPr>
          <w:i/>
          <w:iCs/>
        </w:rPr>
        <w:t xml:space="preserve">5</w:t>
      </w:r>
      <w:r>
        <w:t xml:space="preserve">(5). https://doi.org/10.59403/3hwz6d7</w:t>
      </w:r>
    </w:p>
    <w:p>
      <w:pPr>
        <w:spacing w:after="100" w:line="264"/>
        <w:ind w:left="567" w:hanging="567"/>
      </w:pPr>
      <w:r>
        <w:t xml:space="preserve">Dimitropoulou, C. (2019). The Proposed EU Digital Services Tax: An Anti-Protectionist Appraisal Under EU Primary Law. </w:t>
      </w:r>
      <w:r>
        <w:rPr>
          <w:i/>
          <w:iCs/>
        </w:rPr>
        <w:t xml:space="preserve">Intertax</w:t>
      </w:r>
      <w:r>
        <w:t xml:space="preserve">, </w:t>
      </w:r>
      <w:r>
        <w:rPr>
          <w:i/>
          <w:iCs/>
        </w:rPr>
        <w:t xml:space="preserve">47</w:t>
      </w:r>
      <w:r>
        <w:t xml:space="preserve">(3), 268-281. https://doi.org/10.54648/taxi2019024</w:t>
      </w:r>
    </w:p>
    <w:p>
      <w:pPr>
        <w:spacing w:after="100" w:line="264"/>
        <w:ind w:left="567" w:hanging="567"/>
      </w:pPr>
      <w:r>
        <w:t xml:space="preserve">Echendu, C. (2020). Nigeria’s Significant Economic Presence Income Tax on Digital Economic Activities: Challenges and Opportunities. </w:t>
      </w:r>
      <w:r>
        <w:rPr>
          <w:i/>
          <w:iCs/>
        </w:rPr>
        <w:t xml:space="preserve">Bulletin for International Taxation</w:t>
      </w:r>
      <w:r>
        <w:t xml:space="preserve">, </w:t>
      </w:r>
      <w:r>
        <w:rPr>
          <w:i/>
          <w:iCs/>
        </w:rPr>
        <w:t xml:space="preserve">74</w:t>
      </w:r>
      <w:r>
        <w:t xml:space="preserve">(9). https://doi.org/10.59403/qdbj5s</w:t>
      </w:r>
    </w:p>
    <w:p>
      <w:pPr>
        <w:spacing w:after="100" w:line="264"/>
        <w:ind w:left="567" w:hanging="567"/>
      </w:pPr>
      <w:r>
        <w:t xml:space="preserve">Économie numérique et mobilisation des recettes fiscales au Maroc. Analyse empirique avec un éclairage sur le rôle médiateur du contrôle fiscal digital. (2025). </w:t>
      </w:r>
      <w:r>
        <w:rPr>
          <w:i/>
          <w:iCs/>
        </w:rPr>
        <w:t xml:space="preserve">Gestion &amp; Finances Publiques</w:t>
      </w:r>
      <w:r>
        <w:t xml:space="preserve">, </w:t>
      </w:r>
      <w:r>
        <w:rPr>
          <w:i/>
          <w:iCs/>
        </w:rPr>
        <w:t xml:space="preserve">N° 250</w:t>
      </w:r>
      <w:r>
        <w:t xml:space="preserve">(4), 23-36. https://doi.org/10.1684/gfp.2025.4.003</w:t>
      </w:r>
    </w:p>
    <w:p>
      <w:pPr>
        <w:spacing w:after="100" w:line="264"/>
        <w:ind w:left="567" w:hanging="567"/>
      </w:pPr>
      <w:r>
        <w:t xml:space="preserve">Elavarasi, S. et Thayyib, P. (2026). Corporate tax avoidance in the digital economy: a systematic review and bibliometric analysis with implications for emerging economies. </w:t>
      </w:r>
      <w:r>
        <w:rPr>
          <w:i/>
          <w:iCs/>
        </w:rPr>
        <w:t xml:space="preserve">Journal of Accounting in Emerging Economies</w:t>
      </w:r>
      <w:r>
        <w:t xml:space="preserve">, </w:t>
      </w:r>
      <w:r>
        <w:rPr>
          <w:i/>
          <w:iCs/>
        </w:rPr>
        <w:t xml:space="preserve">16</w:t>
      </w:r>
      <w:r>
        <w:t xml:space="preserve">(5), 1396-1440. https://doi.org/10.1108/jaee-09-2025-0543</w:t>
      </w:r>
    </w:p>
    <w:p>
      <w:pPr>
        <w:spacing w:after="100" w:line="264"/>
        <w:ind w:left="567" w:hanging="567"/>
      </w:pPr>
      <w:r>
        <w:t xml:space="preserve">Englisch, J. (2021). Non-harmonized Implementation of a GloBE Minimum Tax: How EU Member States Could Proceed. </w:t>
      </w:r>
      <w:r>
        <w:rPr>
          <w:i/>
          <w:iCs/>
        </w:rPr>
        <w:t xml:space="preserve">EC Tax Review</w:t>
      </w:r>
      <w:r>
        <w:t xml:space="preserve">, </w:t>
      </w:r>
      <w:r>
        <w:rPr>
          <w:i/>
          <w:iCs/>
        </w:rPr>
        <w:t xml:space="preserve">30</w:t>
      </w:r>
      <w:r>
        <w:t xml:space="preserve">(5/6), 207-219. https://doi.org/10.54648/ecta2021022</w:t>
      </w:r>
    </w:p>
    <w:p>
      <w:pPr>
        <w:spacing w:after="100" w:line="264"/>
        <w:ind w:left="567" w:hanging="567"/>
      </w:pPr>
      <w:r>
        <w:t xml:space="preserve">Englisch, J. (2022). GloBE Rules and Tax Competition. </w:t>
      </w:r>
      <w:r>
        <w:rPr>
          <w:i/>
          <w:iCs/>
        </w:rPr>
        <w:t xml:space="preserve">Intertax</w:t>
      </w:r>
      <w:r>
        <w:t xml:space="preserve">, </w:t>
      </w:r>
      <w:r>
        <w:rPr>
          <w:i/>
          <w:iCs/>
        </w:rPr>
        <w:t xml:space="preserve">50</w:t>
      </w:r>
      <w:r>
        <w:t xml:space="preserve">(12), 859-873. https://doi.org/10.54648/taxi2022086</w:t>
      </w:r>
    </w:p>
    <w:p>
      <w:pPr>
        <w:spacing w:after="100" w:line="264"/>
        <w:ind w:left="567" w:hanging="567"/>
      </w:pPr>
      <w:r>
        <w:t xml:space="preserve">Englisch, J. (2023). Effective Minimum Taxation under Pillar Two of the OECD Proposal (‘GloBE’). Dans </w:t>
      </w:r>
      <w:r>
        <w:rPr>
          <w:i/>
          <w:iCs/>
        </w:rPr>
        <w:t xml:space="preserve">The Oxford Handbook of International Tax Law</w:t>
      </w:r>
      <w:r>
        <w:t xml:space="preserve"> (p. 969-990). Oxford University Press. https://doi.org/10.1093/oxfordhb/9780192897688.013.57</w:t>
      </w:r>
    </w:p>
    <w:p>
      <w:pPr>
        <w:spacing w:after="100" w:line="264"/>
        <w:ind w:left="567" w:hanging="567"/>
      </w:pPr>
      <w:r>
        <w:t xml:space="preserve">Everhart, J. R. (2026). Challenges of the OECD’s Tax Governance Regime Leading to the United Nations’ ‘(Re)entry’ into International Tax Law Governance. </w:t>
      </w:r>
      <w:r>
        <w:rPr>
          <w:i/>
          <w:iCs/>
        </w:rPr>
        <w:t xml:space="preserve">Global Governance: A Review of Multilateralism and International Organizations</w:t>
      </w:r>
      <w:r>
        <w:t xml:space="preserve">, </w:t>
      </w:r>
      <w:r>
        <w:rPr>
          <w:i/>
          <w:iCs/>
        </w:rPr>
        <w:t xml:space="preserve">32</w:t>
      </w:r>
      <w:r>
        <w:t xml:space="preserve">(3), 337-350. https://doi.org/10.1163/19426720-03203006</w:t>
      </w:r>
    </w:p>
    <w:p>
      <w:pPr>
        <w:spacing w:after="100" w:line="264"/>
        <w:ind w:left="567" w:hanging="567"/>
      </w:pPr>
      <w:r>
        <w:t xml:space="preserve">Fedan, A. (2021). Case Study Analysis of the OECD Pillar One and Pillar Two Allocations to Developing Countries. </w:t>
      </w:r>
      <w:r>
        <w:rPr>
          <w:i/>
          <w:iCs/>
        </w:rPr>
        <w:t xml:space="preserve">Bulletin for International Taxation</w:t>
      </w:r>
      <w:r>
        <w:t xml:space="preserve">, </w:t>
      </w:r>
      <w:r>
        <w:rPr>
          <w:i/>
          <w:iCs/>
        </w:rPr>
        <w:t xml:space="preserve">75</w:t>
      </w:r>
      <w:r>
        <w:t xml:space="preserve">(8). https://doi.org/10.59403/2kd6zgk</w:t>
      </w:r>
    </w:p>
    <w:p>
      <w:pPr>
        <w:spacing w:after="100" w:line="264"/>
        <w:ind w:left="567" w:hanging="567"/>
      </w:pPr>
      <w:r>
        <w:t xml:space="preserve">Fedan, A. (2023). Case Study Analysis of the OECD Pillar One and Pillar Two Allocations to Developing Countries – What Has Changed Since the 2020 Blueprints?. </w:t>
      </w:r>
      <w:r>
        <w:rPr>
          <w:i/>
          <w:iCs/>
        </w:rPr>
        <w:t xml:space="preserve">Bulletin for International Taxation</w:t>
      </w:r>
      <w:r>
        <w:t xml:space="preserve">, </w:t>
      </w:r>
      <w:r>
        <w:rPr>
          <w:i/>
          <w:iCs/>
        </w:rPr>
        <w:t xml:space="preserve">77</w:t>
      </w:r>
      <w:r>
        <w:t xml:space="preserve">(1). https://doi.org/10.59403/e97e1y</w:t>
      </w:r>
    </w:p>
    <w:p>
      <w:pPr>
        <w:spacing w:after="100" w:line="264"/>
        <w:ind w:left="567" w:hanging="567"/>
      </w:pPr>
      <w:r>
        <w:t xml:space="preserve">Forteza, A. B. (2025). Digital Economy and Permanent Establishment, Again: A Mine, an Oil or Gas Well, and … Data Mining?. </w:t>
      </w:r>
      <w:r>
        <w:rPr>
          <w:i/>
          <w:iCs/>
        </w:rPr>
        <w:t xml:space="preserve">Intertax</w:t>
      </w:r>
      <w:r>
        <w:t xml:space="preserve">, </w:t>
      </w:r>
      <w:r>
        <w:rPr>
          <w:i/>
          <w:iCs/>
        </w:rPr>
        <w:t xml:space="preserve">53</w:t>
      </w:r>
      <w:r>
        <w:t xml:space="preserve">(10), 654-664. https://doi.org/10.54648/taxi2025057</w:t>
      </w:r>
    </w:p>
    <w:p>
      <w:pPr>
        <w:spacing w:after="100" w:line="264"/>
        <w:ind w:left="567" w:hanging="567"/>
      </w:pPr>
      <w:r>
        <w:t xml:space="preserve">Futter, A. et Johnson, T. (2026). The legal and economic impacts of globe pillar two on South African oil and gas taxation. </w:t>
      </w:r>
      <w:r>
        <w:rPr>
          <w:i/>
          <w:iCs/>
        </w:rPr>
        <w:t xml:space="preserve">African Multidisciplinary Tax Journal</w:t>
      </w:r>
      <w:r>
        <w:t xml:space="preserve">, </w:t>
      </w:r>
      <w:r>
        <w:rPr>
          <w:i/>
          <w:iCs/>
        </w:rPr>
        <w:t xml:space="preserve">6</w:t>
      </w:r>
      <w:r>
        <w:t xml:space="preserve">(1), 1-23. https://doi.org/10.47348/amtj/v6/i1a1</w:t>
      </w:r>
    </w:p>
    <w:p>
      <w:pPr>
        <w:spacing w:after="100" w:line="264"/>
        <w:ind w:left="567" w:hanging="567"/>
      </w:pPr>
      <w:r>
        <w:t xml:space="preserve">Garcia Córdoba, P. (2025). The Impact of Pillar Two Rules on International Investment Treaties: An Assessment of Tax Carve-Out Provisions. </w:t>
      </w:r>
      <w:r>
        <w:rPr>
          <w:i/>
          <w:iCs/>
        </w:rPr>
        <w:t xml:space="preserve">Intertax</w:t>
      </w:r>
      <w:r>
        <w:t xml:space="preserve">, </w:t>
      </w:r>
      <w:r>
        <w:rPr>
          <w:i/>
          <w:iCs/>
        </w:rPr>
        <w:t xml:space="preserve">53</w:t>
      </w:r>
      <w:r>
        <w:t xml:space="preserve">(5), 453-464. https://doi.org/10.54648/taxi2025044</w:t>
      </w:r>
    </w:p>
    <w:p>
      <w:pPr>
        <w:spacing w:after="100" w:line="264"/>
        <w:ind w:left="567" w:hanging="567"/>
      </w:pPr>
      <w:r>
        <w:t xml:space="preserve">Geringer, S. (2020). National digital taxes – Lessons from Europe. </w:t>
      </w:r>
      <w:r>
        <w:rPr>
          <w:i/>
          <w:iCs/>
        </w:rPr>
        <w:t xml:space="preserve">South African Journal of Accounting Research</w:t>
      </w:r>
      <w:r>
        <w:t xml:space="preserve">, </w:t>
      </w:r>
      <w:r>
        <w:rPr>
          <w:i/>
          <w:iCs/>
        </w:rPr>
        <w:t xml:space="preserve">35</w:t>
      </w:r>
      <w:r>
        <w:t xml:space="preserve">(1), 1-19. https://doi.org/10.1080/10291954.2020.1727083</w:t>
      </w:r>
    </w:p>
    <w:p>
      <w:pPr>
        <w:spacing w:after="100" w:line="264"/>
        <w:ind w:left="567" w:hanging="567"/>
      </w:pPr>
      <w:r>
        <w:t xml:space="preserve">Greggi, M. (2020). Rise and Decline of the Westphalian Principle in Taxation: The Web Tax Case. </w:t>
      </w:r>
      <w:r>
        <w:rPr>
          <w:i/>
          <w:iCs/>
        </w:rPr>
        <w:t xml:space="preserve">EC Tax Review</w:t>
      </w:r>
      <w:r>
        <w:t xml:space="preserve">, </w:t>
      </w:r>
      <w:r>
        <w:rPr>
          <w:i/>
          <w:iCs/>
        </w:rPr>
        <w:t xml:space="preserve">29</w:t>
      </w:r>
      <w:r>
        <w:t xml:space="preserve">(1), 6-21. https://doi.org/10.54648/ecta2020002</w:t>
      </w:r>
    </w:p>
    <w:p>
      <w:pPr>
        <w:spacing w:after="100" w:line="264"/>
        <w:ind w:left="567" w:hanging="567"/>
      </w:pPr>
      <w:r>
        <w:t xml:space="preserve">Greil, S., Müller, R. et Olbert, M. (2019). Transfer Pricing for Digital Business Models: Early Evidence of Challenges and Options for Reform. </w:t>
      </w:r>
      <w:r>
        <w:rPr>
          <w:i/>
          <w:iCs/>
        </w:rPr>
        <w:t xml:space="preserve">World Tax Journal</w:t>
      </w:r>
      <w:r>
        <w:t xml:space="preserve">, </w:t>
      </w:r>
      <w:r>
        <w:rPr>
          <w:i/>
          <w:iCs/>
        </w:rPr>
        <w:t xml:space="preserve">11</w:t>
      </w:r>
      <w:r>
        <w:t xml:space="preserve">(4). https://doi.org/10.59403/3rbsghz</w:t>
      </w:r>
    </w:p>
    <w:p>
      <w:pPr>
        <w:spacing w:after="100" w:line="264"/>
        <w:ind w:left="567" w:hanging="567"/>
      </w:pPr>
      <w:r>
        <w:t xml:space="preserve">Greil, S. et Wargowske, L. (2019). Pillar 1 of the Inclusive Framework’s Work Programme: The Effect on the Taxation of the Digital Economy and Reallocation of Taxing Rights. </w:t>
      </w:r>
      <w:r>
        <w:rPr>
          <w:i/>
          <w:iCs/>
        </w:rPr>
        <w:t xml:space="preserve">Bulletin for International Taxation</w:t>
      </w:r>
      <w:r>
        <w:t xml:space="preserve">, </w:t>
      </w:r>
      <w:r>
        <w:rPr>
          <w:i/>
          <w:iCs/>
        </w:rPr>
        <w:t xml:space="preserve">73</w:t>
      </w:r>
      <w:r>
        <w:t xml:space="preserve">(10). https://doi.org/10.59403/3w8whew</w:t>
      </w:r>
    </w:p>
    <w:p>
      <w:pPr>
        <w:spacing w:after="100" w:line="264"/>
        <w:ind w:left="567" w:hanging="567"/>
      </w:pPr>
      <w:r>
        <w:t xml:space="preserve">Grinberg, I. (2020). Stabilizing “Pillar One”: Corporate Profit Reallocation in an Uncertain Environment. </w:t>
      </w:r>
      <w:r>
        <w:rPr>
          <w:i/>
          <w:iCs/>
        </w:rPr>
        <w:t xml:space="preserve">Florida Tax Review</w:t>
      </w:r>
      <w:r>
        <w:t xml:space="preserve">, </w:t>
      </w:r>
      <w:r>
        <w:rPr>
          <w:i/>
          <w:iCs/>
        </w:rPr>
        <w:t xml:space="preserve">23</w:t>
      </w:r>
      <w:r>
        <w:t xml:space="preserve">(1), 130-192. https://doi.org/10.5744/ftr.2020.1002</w:t>
      </w:r>
    </w:p>
    <w:p>
      <w:pPr>
        <w:spacing w:after="100" w:line="264"/>
        <w:ind w:left="567" w:hanging="567"/>
      </w:pPr>
      <w:r>
        <w:t xml:space="preserve">Guedes, E. D. L. (2022). Tax Challenges of the Digital Economy: An Evaluation of the New OECD Nexus Rule Based on Revenue Thresholds. </w:t>
      </w:r>
      <w:r>
        <w:rPr>
          <w:i/>
          <w:iCs/>
        </w:rPr>
        <w:t xml:space="preserve">Bulletin for International Taxation</w:t>
      </w:r>
      <w:r>
        <w:t xml:space="preserve">, </w:t>
      </w:r>
      <w:r>
        <w:rPr>
          <w:i/>
          <w:iCs/>
        </w:rPr>
        <w:t xml:space="preserve">76</w:t>
      </w:r>
      <w:r>
        <w:t xml:space="preserve">(4). https://doi.org/10.59403/2549bv4</w:t>
      </w:r>
    </w:p>
    <w:p>
      <w:pPr>
        <w:spacing w:after="100" w:line="264"/>
        <w:ind w:left="567" w:hanging="567"/>
      </w:pPr>
      <w:r>
        <w:t xml:space="preserve">Hanappi, T. et González Cabral, A. C. (2022). The impact of the international tax reforms under Pillar One and Pillar Two on MNE’s investment costs. </w:t>
      </w:r>
      <w:r>
        <w:rPr>
          <w:i/>
          <w:iCs/>
        </w:rPr>
        <w:t xml:space="preserve">International Tax and Public Finance</w:t>
      </w:r>
      <w:r>
        <w:t xml:space="preserve">, </w:t>
      </w:r>
      <w:r>
        <w:rPr>
          <w:i/>
          <w:iCs/>
        </w:rPr>
        <w:t xml:space="preserve">29</w:t>
      </w:r>
      <w:r>
        <w:t xml:space="preserve">(6), 1495-1526. https://doi.org/10.1007/s10797-022-09750-0</w:t>
      </w:r>
    </w:p>
    <w:p>
      <w:pPr>
        <w:spacing w:after="100" w:line="264"/>
        <w:ind w:left="567" w:hanging="567"/>
      </w:pPr>
      <w:r>
        <w:t xml:space="preserve">Hanlon, M. et Nessa, M. (2023). The Use of Financial Accounting Information in the OECD BEPS 2.0 Project: A Discussion of the Rules and Concerns. </w:t>
      </w:r>
      <w:r>
        <w:rPr>
          <w:i/>
          <w:iCs/>
        </w:rPr>
        <w:t xml:space="preserve">National Tax Journal</w:t>
      </w:r>
      <w:r>
        <w:t xml:space="preserve">, </w:t>
      </w:r>
      <w:r>
        <w:rPr>
          <w:i/>
          <w:iCs/>
        </w:rPr>
        <w:t xml:space="preserve">76</w:t>
      </w:r>
      <w:r>
        <w:t xml:space="preserve">(1), 193-232. https://doi.org/10.1086/723199</w:t>
      </w:r>
    </w:p>
    <w:p>
      <w:pPr>
        <w:spacing w:after="100" w:line="264"/>
        <w:ind w:left="567" w:hanging="567"/>
      </w:pPr>
      <w:r>
        <w:t xml:space="preserve">Hassan, M. (2025). Mitigating Tax Evasion by improving the organizational structure of VAT on Digital Imports into South Africa. </w:t>
      </w:r>
      <w:r>
        <w:rPr>
          <w:i/>
          <w:iCs/>
        </w:rPr>
        <w:t xml:space="preserve">Journal of Risk and Financial Management</w:t>
      </w:r>
      <w:r>
        <w:t xml:space="preserve">, </w:t>
      </w:r>
      <w:r>
        <w:rPr>
          <w:i/>
          <w:iCs/>
        </w:rPr>
        <w:t xml:space="preserve">18</w:t>
      </w:r>
      <w:r>
        <w:t xml:space="preserve">(10), 574. https://doi.org/10.3390/jrfm18100574</w:t>
      </w:r>
    </w:p>
    <w:p>
      <w:pPr>
        <w:spacing w:after="100" w:line="264"/>
        <w:ind w:left="567" w:hanging="567"/>
      </w:pPr>
      <w:r>
        <w:t xml:space="preserve">Hebous, S. et Keen, M. (2023). Pareto-improving minimum corporate taxation. </w:t>
      </w:r>
      <w:r>
        <w:rPr>
          <w:i/>
          <w:iCs/>
        </w:rPr>
        <w:t xml:space="preserve">Journal of Public Economics</w:t>
      </w:r>
      <w:r>
        <w:t xml:space="preserve">, </w:t>
      </w:r>
      <w:r>
        <w:rPr>
          <w:i/>
          <w:iCs/>
        </w:rPr>
        <w:t xml:space="preserve">225</w:t>
      </w:r>
      <w:r>
        <w:t xml:space="preserve">, 104952. https://doi.org/10.1016/j.jpubeco.2023.104952</w:t>
      </w:r>
    </w:p>
    <w:p>
      <w:pPr>
        <w:spacing w:after="100" w:line="264"/>
        <w:ind w:left="567" w:hanging="567"/>
      </w:pPr>
      <w:r>
        <w:t xml:space="preserve">Heering, J., Crasnic, L. et Newman, A. (2024). When digital taxes come due: national digital taxes and the negotiation of the OECD inclusive framework. </w:t>
      </w:r>
      <w:r>
        <w:rPr>
          <w:i/>
          <w:iCs/>
        </w:rPr>
        <w:t xml:space="preserve">New Political Economy</w:t>
      </w:r>
      <w:r>
        <w:t xml:space="preserve">, </w:t>
      </w:r>
      <w:r>
        <w:rPr>
          <w:i/>
          <w:iCs/>
        </w:rPr>
        <w:t xml:space="preserve">30</w:t>
      </w:r>
      <w:r>
        <w:t xml:space="preserve">(2), 178-193. https://doi.org/10.1080/13563467.2024.2405524</w:t>
      </w:r>
    </w:p>
    <w:p>
      <w:pPr>
        <w:spacing w:after="100" w:line="264"/>
        <w:ind w:left="567" w:hanging="567"/>
      </w:pPr>
      <w:r>
        <w:t xml:space="preserve">Heidecke, B. et Liebe, T. (2023). Impact Assessment for Pillar One and Pillar Two from a German Perspective. </w:t>
      </w:r>
      <w:r>
        <w:rPr>
          <w:i/>
          <w:iCs/>
        </w:rPr>
        <w:t xml:space="preserve">International Transfer Pricing Journal</w:t>
      </w:r>
      <w:r>
        <w:t xml:space="preserve">, </w:t>
      </w:r>
      <w:r>
        <w:rPr>
          <w:i/>
          <w:iCs/>
        </w:rPr>
        <w:t xml:space="preserve">30</w:t>
      </w:r>
      <w:r>
        <w:t xml:space="preserve">(5). https://doi.org/10.59403/1ryzfn6</w:t>
      </w:r>
    </w:p>
    <w:p>
      <w:pPr>
        <w:spacing w:after="100" w:line="264"/>
        <w:ind w:left="567" w:hanging="567"/>
      </w:pPr>
      <w:r>
        <w:t xml:space="preserve">Heitmüller, F. et Mosquera Valderrama, I. (2021). Special Economic Zones Facing the Challenges of International Taxation: BEPS Action 5, EU Code of Conduct, and the Future. </w:t>
      </w:r>
      <w:r>
        <w:rPr>
          <w:i/>
          <w:iCs/>
        </w:rPr>
        <w:t xml:space="preserve">Journal of International Economic Law</w:t>
      </w:r>
      <w:r>
        <w:t xml:space="preserve">, </w:t>
      </w:r>
      <w:r>
        <w:rPr>
          <w:i/>
          <w:iCs/>
        </w:rPr>
        <w:t xml:space="preserve">24</w:t>
      </w:r>
      <w:r>
        <w:t xml:space="preserve">(2), 473-490. https://doi.org/10.1093/jiel/jgab019</w:t>
      </w:r>
    </w:p>
    <w:p>
      <w:pPr>
        <w:spacing w:after="100" w:line="264"/>
        <w:ind w:left="567" w:hanging="567"/>
      </w:pPr>
      <w:r>
        <w:t xml:space="preserve">Hermosín Álvarez, M. (2021). Permanent establishment. the crisis of the article 5 oecd mc in the digital economy. </w:t>
      </w:r>
      <w:r>
        <w:rPr>
          <w:i/>
          <w:iCs/>
        </w:rPr>
        <w:t xml:space="preserve">Revista Crónica Tributaria</w:t>
      </w:r>
      <w:r>
        <w:t xml:space="preserve">, </w:t>
      </w:r>
      <w:r>
        <w:rPr>
          <w:i/>
          <w:iCs/>
        </w:rPr>
        <w:t xml:space="preserve">180</w:t>
      </w:r>
      <w:r>
        <w:t xml:space="preserve">(3), 97-131. https://doi.org/10.47092/ct.21.3.4</w:t>
      </w:r>
    </w:p>
    <w:p>
      <w:pPr>
        <w:spacing w:after="100" w:line="264"/>
        <w:ind w:left="567" w:hanging="567"/>
      </w:pPr>
      <w:r>
        <w:t xml:space="preserve">Herzfeld, M. (2022). Do GILTI + BEAT + BMT = GloBE?. </w:t>
      </w:r>
      <w:r>
        <w:rPr>
          <w:i/>
          <w:iCs/>
        </w:rPr>
        <w:t xml:space="preserve">Intertax</w:t>
      </w:r>
      <w:r>
        <w:t xml:space="preserve">, </w:t>
      </w:r>
      <w:r>
        <w:rPr>
          <w:i/>
          <w:iCs/>
        </w:rPr>
        <w:t xml:space="preserve">50</w:t>
      </w:r>
      <w:r>
        <w:t xml:space="preserve">(12), 888-897. https://doi.org/10.54648/taxi2022093</w:t>
      </w:r>
    </w:p>
    <w:p>
      <w:pPr>
        <w:spacing w:after="100" w:line="264"/>
        <w:ind w:left="567" w:hanging="567"/>
      </w:pPr>
      <w:r>
        <w:t xml:space="preserve">Hines, J. R. (2023). Digital Tax Arithmetic. </w:t>
      </w:r>
      <w:r>
        <w:rPr>
          <w:i/>
          <w:iCs/>
        </w:rPr>
        <w:t xml:space="preserve">National Tax Journal</w:t>
      </w:r>
      <w:r>
        <w:t xml:space="preserve">, </w:t>
      </w:r>
      <w:r>
        <w:rPr>
          <w:i/>
          <w:iCs/>
        </w:rPr>
        <w:t xml:space="preserve">76</w:t>
      </w:r>
      <w:r>
        <w:t xml:space="preserve">(1), 119-143. https://doi.org/10.1086/723179</w:t>
      </w:r>
    </w:p>
    <w:p>
      <w:pPr>
        <w:spacing w:after="100" w:line="264"/>
        <w:ind w:left="567" w:hanging="567"/>
      </w:pPr>
      <w:r>
        <w:t xml:space="preserve">Issakova, S. (2021). The BEPS Action 5 Standard: Compliance Review Results. </w:t>
      </w:r>
      <w:r>
        <w:rPr>
          <w:i/>
          <w:iCs/>
        </w:rPr>
        <w:t xml:space="preserve">European Taxation</w:t>
      </w:r>
      <w:r>
        <w:t xml:space="preserve">, </w:t>
      </w:r>
      <w:r>
        <w:rPr>
          <w:i/>
          <w:iCs/>
        </w:rPr>
        <w:t xml:space="preserve">61</w:t>
      </w:r>
      <w:r>
        <w:t xml:space="preserve">(6). https://doi.org/10.59403/1w66zdn</w:t>
      </w:r>
    </w:p>
    <w:p>
      <w:pPr>
        <w:spacing w:after="100" w:line="264"/>
        <w:ind w:left="567" w:hanging="567"/>
      </w:pPr>
      <w:r>
        <w:t xml:space="preserve">Jalan, N. et Winterhalter, J. (2021). Analysing Value Creation and the Value Chain of Data Businesses. </w:t>
      </w:r>
      <w:r>
        <w:rPr>
          <w:i/>
          <w:iCs/>
        </w:rPr>
        <w:t xml:space="preserve">International Tax Studies</w:t>
      </w:r>
      <w:r>
        <w:t xml:space="preserve">, </w:t>
      </w:r>
      <w:r>
        <w:rPr>
          <w:i/>
          <w:iCs/>
        </w:rPr>
        <w:t xml:space="preserve">4</w:t>
      </w:r>
      <w:r>
        <w:t xml:space="preserve">(2). https://doi.org/10.59403/1rehxnz</w:t>
      </w:r>
    </w:p>
    <w:p>
      <w:pPr>
        <w:spacing w:after="100" w:line="264"/>
        <w:ind w:left="567" w:hanging="567"/>
      </w:pPr>
      <w:r>
        <w:t xml:space="preserve">James, K. (2023). ‘Operation Netflix’. Dans </w:t>
      </w:r>
      <w:r>
        <w:rPr>
          <w:i/>
          <w:iCs/>
        </w:rPr>
        <w:t xml:space="preserve">VAT in the Digital Era</w:t>
      </w:r>
      <w:r>
        <w:t xml:space="preserve"> (p. 84-115). Oxford University PressOxford. https://doi.org/10.1093/oso/9780198888307.003.0005</w:t>
      </w:r>
    </w:p>
    <w:p>
      <w:pPr>
        <w:spacing w:after="100" w:line="264"/>
        <w:ind w:left="567" w:hanging="567"/>
      </w:pPr>
      <w:r>
        <w:t xml:space="preserve">Jescheck, C. (2017). The Substantive Scope of Tax Treaties in a Post-BEPS World: Article 2 OECD MC (Taxes Covered) and the Rise of New Taxes. </w:t>
      </w:r>
      <w:r>
        <w:rPr>
          <w:i/>
          <w:iCs/>
        </w:rPr>
        <w:t xml:space="preserve">Intertax</w:t>
      </w:r>
      <w:r>
        <w:t xml:space="preserve">, </w:t>
      </w:r>
      <w:r>
        <w:rPr>
          <w:i/>
          <w:iCs/>
        </w:rPr>
        <w:t xml:space="preserve">45</w:t>
      </w:r>
      <w:r>
        <w:t xml:space="preserve">(5), 382-390. https://doi.org/10.54648/taxi2017030</w:t>
      </w:r>
    </w:p>
    <w:p>
      <w:pPr>
        <w:spacing w:after="100" w:line="264"/>
        <w:ind w:left="567" w:hanging="567"/>
      </w:pPr>
      <w:r>
        <w:t xml:space="preserve">Jescheck, C. (2018). Taxes on Digital Services and the Substantive Scope of Application of Tax Treaties: Pushing the Boundaries of Article 2 of the OECD Model?. </w:t>
      </w:r>
      <w:r>
        <w:rPr>
          <w:i/>
          <w:iCs/>
        </w:rPr>
        <w:t xml:space="preserve">Intertax</w:t>
      </w:r>
      <w:r>
        <w:t xml:space="preserve">, </w:t>
      </w:r>
      <w:r>
        <w:rPr>
          <w:i/>
          <w:iCs/>
        </w:rPr>
        <w:t xml:space="preserve">46</w:t>
      </w:r>
      <w:r>
        <w:t xml:space="preserve">(6/7), 573-578. https://doi.org/10.54648/taxi2018059</w:t>
      </w:r>
    </w:p>
    <w:p>
      <w:pPr>
        <w:spacing w:after="100" w:line="264"/>
        <w:ind w:left="567" w:hanging="567"/>
      </w:pPr>
      <w:r>
        <w:t xml:space="preserve">Jmahri, M., Ouberni, S. et Issam, E. F. (2026). Digital Taxation and the Informal Economy In Morocco: Toward Smart Fiscal Governance. </w:t>
      </w:r>
      <w:r>
        <w:rPr>
          <w:i/>
          <w:iCs/>
        </w:rPr>
        <w:t xml:space="preserve">WSEAS TRANSACTIONS ON BUSINESS AND ECONOMICS</w:t>
      </w:r>
      <w:r>
        <w:t xml:space="preserve">, </w:t>
      </w:r>
      <w:r>
        <w:rPr>
          <w:i/>
          <w:iCs/>
        </w:rPr>
        <w:t xml:space="preserve">23</w:t>
      </w:r>
      <w:r>
        <w:t xml:space="preserve">, 642. https://doi.org/10.37394/23207.2026.23.50</w:t>
      </w:r>
    </w:p>
    <w:p>
      <w:pPr>
        <w:spacing w:after="100" w:line="264"/>
        <w:ind w:left="567" w:hanging="567"/>
      </w:pPr>
      <w:r>
        <w:t xml:space="preserve">Joseph, A. (2022). Pillar One Reforms. </w:t>
      </w:r>
      <w:r>
        <w:rPr>
          <w:i/>
          <w:iCs/>
        </w:rPr>
        <w:t xml:space="preserve">International Transfer Pricing Journal</w:t>
      </w:r>
      <w:r>
        <w:t xml:space="preserve">, </w:t>
      </w:r>
      <w:r>
        <w:rPr>
          <w:i/>
          <w:iCs/>
        </w:rPr>
        <w:t xml:space="preserve">29</w:t>
      </w:r>
      <w:r>
        <w:t xml:space="preserve">(6). https://doi.org/10.59403/vkr5za</w:t>
      </w:r>
    </w:p>
    <w:p>
      <w:pPr>
        <w:spacing w:after="100" w:line="264"/>
        <w:ind w:left="567" w:hanging="567"/>
      </w:pPr>
      <w:r>
        <w:t xml:space="preserve">Kácser, O. (2025). Decoupling Source Taxation from Physical Presence: Historical Precedents and Lessons for the Digital Economy. </w:t>
      </w:r>
      <w:r>
        <w:rPr>
          <w:i/>
          <w:iCs/>
        </w:rPr>
        <w:t xml:space="preserve">Bulletin for International Taxation</w:t>
      </w:r>
      <w:r>
        <w:t xml:space="preserve">, </w:t>
      </w:r>
      <w:r>
        <w:rPr>
          <w:i/>
          <w:iCs/>
        </w:rPr>
        <w:t xml:space="preserve">80</w:t>
      </w:r>
      <w:r>
        <w:t xml:space="preserve">(1). https://doi.org/10.59403/38se85s</w:t>
      </w:r>
    </w:p>
    <w:p>
      <w:pPr>
        <w:spacing w:after="100" w:line="264"/>
        <w:ind w:left="567" w:hanging="567"/>
      </w:pPr>
      <w:r>
        <w:t xml:space="preserve">Kanama, M. (2025). Bridging the Digital Tax Gap: A Comparative Analysis of Online Business Taxation in Tanzania. </w:t>
      </w:r>
      <w:r>
        <w:rPr>
          <w:i/>
          <w:iCs/>
        </w:rPr>
        <w:t xml:space="preserve">International Journal of Law and Society</w:t>
      </w:r>
      <w:r>
        <w:t xml:space="preserve">, </w:t>
      </w:r>
      <w:r>
        <w:rPr>
          <w:i/>
          <w:iCs/>
        </w:rPr>
        <w:t xml:space="preserve">8</w:t>
      </w:r>
      <w:r>
        <w:t xml:space="preserve">(4), 320-327. https://doi.org/10.11648/j.ijls.20250804.15</w:t>
      </w:r>
    </w:p>
    <w:p>
      <w:pPr>
        <w:spacing w:after="100" w:line="264"/>
        <w:ind w:left="567" w:hanging="567"/>
      </w:pPr>
      <w:r>
        <w:t xml:space="preserve">Kayongo, P. S., Tusubira, F. N. et Bakundana, M. (2026). From Bitter Lemons to Lemonade: The Fiscal Promise of Digital Service Taxes in Sub-Saharan Africa. </w:t>
      </w:r>
      <w:r>
        <w:rPr>
          <w:i/>
          <w:iCs/>
        </w:rPr>
        <w:t xml:space="preserve">FinanzArchiv</w:t>
      </w:r>
      <w:r>
        <w:t xml:space="preserve">, </w:t>
      </w:r>
      <w:r>
        <w:rPr>
          <w:i/>
          <w:iCs/>
        </w:rPr>
        <w:t xml:space="preserve">82</w:t>
      </w:r>
      <w:r>
        <w:t xml:space="preserve">(1), 1-33. https://doi.org/10.1628/fa-2026-0016</w:t>
      </w:r>
    </w:p>
    <w:p>
      <w:pPr>
        <w:spacing w:after="100" w:line="264"/>
        <w:ind w:left="567" w:hanging="567"/>
      </w:pPr>
      <w:r>
        <w:t xml:space="preserve">Keen, M., Liu, L. et Pallan, H. (2026). International tax spillovers and tangible investment, with implications for a global minimum tax. </w:t>
      </w:r>
      <w:r>
        <w:rPr>
          <w:i/>
          <w:iCs/>
        </w:rPr>
        <w:t xml:space="preserve">European Economic Review</w:t>
      </w:r>
      <w:r>
        <w:t xml:space="preserve">, </w:t>
      </w:r>
      <w:r>
        <w:rPr>
          <w:i/>
          <w:iCs/>
        </w:rPr>
        <w:t xml:space="preserve">188</w:t>
      </w:r>
      <w:r>
        <w:t xml:space="preserve">, 105378. https://doi.org/10.1016/j.euroecorev.2026.105378</w:t>
      </w:r>
    </w:p>
    <w:p>
      <w:pPr>
        <w:spacing w:after="100" w:line="264"/>
        <w:ind w:left="567" w:hanging="567"/>
      </w:pPr>
      <w:r>
        <w:t xml:space="preserve">Kemboi, R. (2025). Is Africa Ready for a Unified Digital VAT Strategy? A Cross-Border Compliance and Policy Perspective. </w:t>
      </w:r>
      <w:r>
        <w:rPr>
          <w:i/>
          <w:iCs/>
        </w:rPr>
        <w:t xml:space="preserve">International VAT Monitor</w:t>
      </w:r>
      <w:r>
        <w:t xml:space="preserve">, </w:t>
      </w:r>
      <w:r>
        <w:rPr>
          <w:i/>
          <w:iCs/>
        </w:rPr>
        <w:t xml:space="preserve">36</w:t>
      </w:r>
      <w:r>
        <w:t xml:space="preserve">(5). https://doi.org/10.59403/1fxk95n</w:t>
      </w:r>
    </w:p>
    <w:p>
      <w:pPr>
        <w:spacing w:after="100" w:line="264"/>
        <w:ind w:left="567" w:hanging="567"/>
      </w:pPr>
      <w:r>
        <w:t xml:space="preserve">Kerroum, N., Tahtah, H., Mkaddem, Z. B. et Kerroum, W. (2026). Digitalization and Tax Equity in the Global Economy: Evidence from a Panel VAR Analysis. </w:t>
      </w:r>
      <w:r>
        <w:rPr>
          <w:i/>
          <w:iCs/>
        </w:rPr>
        <w:t xml:space="preserve">Journal of Tax Reform</w:t>
      </w:r>
      <w:r>
        <w:t xml:space="preserve">, </w:t>
      </w:r>
      <w:r>
        <w:rPr>
          <w:i/>
          <w:iCs/>
        </w:rPr>
        <w:t xml:space="preserve">12</w:t>
      </w:r>
      <w:r>
        <w:t xml:space="preserve">(2), 376-398. https://doi.org/10.15826/jtr.2026.12.2.256</w:t>
      </w:r>
    </w:p>
    <w:p>
      <w:pPr>
        <w:spacing w:after="100" w:line="264"/>
        <w:ind w:left="567" w:hanging="567"/>
      </w:pPr>
      <w:r>
        <w:t xml:space="preserve">Khudyakova, L., Sidorova, E. et Urumov, T. (2026). Global Tax Reform: Current State and Prospects. </w:t>
      </w:r>
      <w:r>
        <w:rPr>
          <w:i/>
          <w:iCs/>
        </w:rPr>
        <w:t xml:space="preserve">World Economy and International Relations</w:t>
      </w:r>
      <w:r>
        <w:t xml:space="preserve">, </w:t>
      </w:r>
      <w:r>
        <w:rPr>
          <w:i/>
          <w:iCs/>
        </w:rPr>
        <w:t xml:space="preserve">70</w:t>
      </w:r>
      <w:r>
        <w:t xml:space="preserve">(8), 5-15. https://doi.org/10.20542/0131-2227-2026-70-8-5-15</w:t>
      </w:r>
    </w:p>
    <w:p>
      <w:pPr>
        <w:spacing w:after="100" w:line="264"/>
        <w:ind w:left="567" w:hanging="567"/>
      </w:pPr>
      <w:r>
        <w:t xml:space="preserve">Kilinkarova, E. V. (2025). International organizations and tax challenges of the digital economy: Between cooperation and competition. </w:t>
      </w:r>
      <w:r>
        <w:rPr>
          <w:i/>
          <w:iCs/>
        </w:rPr>
        <w:t xml:space="preserve">Vestnik of Saint Petersburg University. Law</w:t>
      </w:r>
      <w:r>
        <w:t xml:space="preserve">, </w:t>
      </w:r>
      <w:r>
        <w:rPr>
          <w:i/>
          <w:iCs/>
        </w:rPr>
        <w:t xml:space="preserve">16</w:t>
      </w:r>
      <w:r>
        <w:t xml:space="preserve">(2), 356-369. https://doi.org/10.21638/spbu14.2025.205</w:t>
      </w:r>
    </w:p>
    <w:p>
      <w:pPr>
        <w:spacing w:after="100" w:line="264"/>
        <w:ind w:left="567" w:hanging="567"/>
      </w:pPr>
      <w:r>
        <w:t xml:space="preserve">Klein, D., Ludwig, C. A. et Spengel, C. (2022). Taxing the Digital Economy: Investor Reaction to the European Commission’s Digital Tax Proposals. </w:t>
      </w:r>
      <w:r>
        <w:rPr>
          <w:i/>
          <w:iCs/>
        </w:rPr>
        <w:t xml:space="preserve">National Tax Journal</w:t>
      </w:r>
      <w:r>
        <w:t xml:space="preserve">, </w:t>
      </w:r>
      <w:r>
        <w:rPr>
          <w:i/>
          <w:iCs/>
        </w:rPr>
        <w:t xml:space="preserve">75</w:t>
      </w:r>
      <w:r>
        <w:t xml:space="preserve">(1), 61-92. https://doi.org/10.1086/717518</w:t>
      </w:r>
    </w:p>
    <w:p>
      <w:pPr>
        <w:spacing w:after="100" w:line="264"/>
        <w:ind w:left="567" w:hanging="567"/>
      </w:pPr>
      <w:r>
        <w:t xml:space="preserve">Kofler, G. (2021). The Future of Digital Services Taxes. </w:t>
      </w:r>
      <w:r>
        <w:rPr>
          <w:i/>
          <w:iCs/>
        </w:rPr>
        <w:t xml:space="preserve">EC Tax Review</w:t>
      </w:r>
      <w:r>
        <w:t xml:space="preserve">, </w:t>
      </w:r>
      <w:r>
        <w:rPr>
          <w:i/>
          <w:iCs/>
        </w:rPr>
        <w:t xml:space="preserve">30</w:t>
      </w:r>
      <w:r>
        <w:t xml:space="preserve">(2), 50-54. https://doi.org/10.54648/ecta2021006</w:t>
      </w:r>
    </w:p>
    <w:p>
      <w:pPr>
        <w:spacing w:after="100" w:line="264"/>
        <w:ind w:left="567" w:hanging="567"/>
      </w:pPr>
      <w:r>
        <w:t xml:space="preserve">Kostic, S. V. (2021). A Plea for a Workforce Presence PE Concept in a Post-Covid Digitalized World. </w:t>
      </w:r>
      <w:r>
        <w:rPr>
          <w:i/>
          <w:iCs/>
        </w:rPr>
        <w:t xml:space="preserve">Intertax</w:t>
      </w:r>
      <w:r>
        <w:t xml:space="preserve">, </w:t>
      </w:r>
      <w:r>
        <w:rPr>
          <w:i/>
          <w:iCs/>
        </w:rPr>
        <w:t xml:space="preserve">49</w:t>
      </w:r>
      <w:r>
        <w:t xml:space="preserve">(10), 758-770. https://doi.org/10.54648/taxi2021078</w:t>
      </w:r>
    </w:p>
    <w:p>
      <w:pPr>
        <w:spacing w:after="100" w:line="264"/>
        <w:ind w:left="567" w:hanging="567"/>
      </w:pPr>
      <w:r>
        <w:t xml:space="preserve">Kratzlmeie, F. et Navarro, A. (2025). Escaping Minimum Taxation Through Investor-State Arbitration? A Closer Look at the Robustness of the EU GloBE Directive. </w:t>
      </w:r>
      <w:r>
        <w:rPr>
          <w:i/>
          <w:iCs/>
        </w:rPr>
        <w:t xml:space="preserve">Intertax</w:t>
      </w:r>
      <w:r>
        <w:t xml:space="preserve">, </w:t>
      </w:r>
      <w:r>
        <w:rPr>
          <w:i/>
          <w:iCs/>
        </w:rPr>
        <w:t xml:space="preserve">53</w:t>
      </w:r>
      <w:r>
        <w:t xml:space="preserve">(5), 465-487. https://doi.org/10.54648/taxi2025043</w:t>
      </w:r>
    </w:p>
    <w:p>
      <w:pPr>
        <w:spacing w:after="100" w:line="264"/>
        <w:ind w:left="567" w:hanging="567"/>
      </w:pPr>
      <w:r>
        <w:t xml:space="preserve">Lamensch, M. (2019). Digital Services Tax: A Critical Analysis and Comparison with the VAT System. </w:t>
      </w:r>
      <w:r>
        <w:rPr>
          <w:i/>
          <w:iCs/>
        </w:rPr>
        <w:t xml:space="preserve">European Taxation</w:t>
      </w:r>
      <w:r>
        <w:t xml:space="preserve">, </w:t>
      </w:r>
      <w:r>
        <w:rPr>
          <w:i/>
          <w:iCs/>
        </w:rPr>
        <w:t xml:space="preserve">59</w:t>
      </w:r>
      <w:r>
        <w:t xml:space="preserve">(6). https://doi.org/10.59403/weqhhg</w:t>
      </w:r>
    </w:p>
    <w:p>
      <w:pPr>
        <w:spacing w:after="100" w:line="264"/>
        <w:ind w:left="567" w:hanging="567"/>
      </w:pPr>
      <w:r>
        <w:t xml:space="preserve">Langa, M. A., de Mata Solomone, G. L., Uamba, J. P. et Bento, M. A. F. (2026). Taxation in the digital economy and the challenges facing the Mozambican tax system. </w:t>
      </w:r>
      <w:r>
        <w:rPr>
          <w:i/>
          <w:iCs/>
        </w:rPr>
        <w:t xml:space="preserve">African Multidisciplinary Tax Journal</w:t>
      </w:r>
      <w:r>
        <w:t xml:space="preserve">, </w:t>
      </w:r>
      <w:r>
        <w:rPr>
          <w:i/>
          <w:iCs/>
        </w:rPr>
        <w:t xml:space="preserve">6</w:t>
      </w:r>
      <w:r>
        <w:t xml:space="preserve">(1), 363-392. https://doi.org/10.47348/amtj/v6/i1a16</w:t>
      </w:r>
    </w:p>
    <w:p>
      <w:pPr>
        <w:spacing w:after="100" w:line="264"/>
        <w:ind w:left="567" w:hanging="567"/>
      </w:pPr>
      <w:r>
        <w:t xml:space="preserve">Latulippe, L., Ally, C. et Gosselin, J. S. (2023). The Revised Case of IP Regimes Under the GloBE Rules: A Canadian Perspective. </w:t>
      </w:r>
      <w:r>
        <w:rPr>
          <w:i/>
          <w:iCs/>
        </w:rPr>
        <w:t xml:space="preserve">Canadian Tax Journal/Revue fiscale canadienne</w:t>
      </w:r>
      <w:r>
        <w:t xml:space="preserve">, </w:t>
      </w:r>
      <w:r>
        <w:rPr>
          <w:i/>
          <w:iCs/>
        </w:rPr>
        <w:t xml:space="preserve">71</w:t>
      </w:r>
      <w:r>
        <w:t xml:space="preserve">(1), 159-188. https://doi.org/10.32721/ctj.2023.71.1.sym.latulippe</w:t>
      </w:r>
    </w:p>
    <w:p>
      <w:pPr>
        <w:spacing w:after="100" w:line="264"/>
        <w:ind w:left="567" w:hanging="567"/>
      </w:pPr>
      <w:r>
        <w:t xml:space="preserve">Li, J. (2021). The Legal Challenges of Creating a Global Tax Regime with the OECD Pillar One Blueprint. </w:t>
      </w:r>
      <w:r>
        <w:rPr>
          <w:i/>
          <w:iCs/>
        </w:rPr>
        <w:t xml:space="preserve">Bulletin for International Taxation</w:t>
      </w:r>
      <w:r>
        <w:t xml:space="preserve">, </w:t>
      </w:r>
      <w:r>
        <w:rPr>
          <w:i/>
          <w:iCs/>
        </w:rPr>
        <w:t xml:space="preserve">75</w:t>
      </w:r>
      <w:r>
        <w:t xml:space="preserve">(2). https://doi.org/10.59403/1a68ax</w:t>
      </w:r>
    </w:p>
    <w:p>
      <w:pPr>
        <w:spacing w:after="100" w:line="264"/>
        <w:ind w:left="567" w:hanging="567"/>
      </w:pPr>
      <w:r>
        <w:t xml:space="preserve">Li, X. (2025). An Analysis on Expropriation Risks of Top-Up Tax under Pillar Two. </w:t>
      </w:r>
      <w:r>
        <w:rPr>
          <w:i/>
          <w:iCs/>
        </w:rPr>
        <w:t xml:space="preserve">Intertax</w:t>
      </w:r>
      <w:r>
        <w:t xml:space="preserve">, </w:t>
      </w:r>
      <w:r>
        <w:rPr>
          <w:i/>
          <w:iCs/>
        </w:rPr>
        <w:t xml:space="preserve">53</w:t>
      </w:r>
      <w:r>
        <w:t xml:space="preserve">(4), 325-341. https://doi.org/10.54648/taxi2025017</w:t>
      </w:r>
    </w:p>
    <w:p>
      <w:pPr>
        <w:spacing w:after="100" w:line="264"/>
        <w:ind w:left="567" w:hanging="567"/>
      </w:pPr>
      <w:r>
        <w:t xml:space="preserve">Liotti, B. (2024). The Subject-to-Tax Rule under Pillar Two. </w:t>
      </w:r>
      <w:r>
        <w:rPr>
          <w:i/>
          <w:iCs/>
        </w:rPr>
        <w:t xml:space="preserve">World Tax Journal</w:t>
      </w:r>
      <w:r>
        <w:t xml:space="preserve">, </w:t>
      </w:r>
      <w:r>
        <w:rPr>
          <w:i/>
          <w:iCs/>
        </w:rPr>
        <w:t xml:space="preserve">16</w:t>
      </w:r>
      <w:r>
        <w:t xml:space="preserve">(1). https://doi.org/10.59403/qqp03f</w:t>
      </w:r>
    </w:p>
    <w:p>
      <w:pPr>
        <w:spacing w:after="100" w:line="264"/>
        <w:ind w:left="567" w:hanging="567"/>
      </w:pPr>
      <w:r>
        <w:t xml:space="preserve">Lipniewicz, R. (2020). Place of Effective Management in the Digital Economy. </w:t>
      </w:r>
      <w:r>
        <w:rPr>
          <w:i/>
          <w:iCs/>
        </w:rPr>
        <w:t xml:space="preserve">Intertax</w:t>
      </w:r>
      <w:r>
        <w:t xml:space="preserve">, </w:t>
      </w:r>
      <w:r>
        <w:rPr>
          <w:i/>
          <w:iCs/>
        </w:rPr>
        <w:t xml:space="preserve">48</w:t>
      </w:r>
      <w:r>
        <w:t xml:space="preserve">(6/7), 602-615. https://doi.org/10.54648/taxi2020055</w:t>
      </w:r>
    </w:p>
    <w:p>
      <w:pPr>
        <w:spacing w:after="100" w:line="264"/>
        <w:ind w:left="567" w:hanging="567"/>
      </w:pPr>
      <w:r>
        <w:t xml:space="preserve">Lips, W. (2019). The EU Commission’s digital tax proposals and its cross-platform impact in the EU and the OECD. </w:t>
      </w:r>
      <w:r>
        <w:rPr>
          <w:i/>
          <w:iCs/>
        </w:rPr>
        <w:t xml:space="preserve">Journal of European Integration</w:t>
      </w:r>
      <w:r>
        <w:t xml:space="preserve">, </w:t>
      </w:r>
      <w:r>
        <w:rPr>
          <w:i/>
          <w:iCs/>
        </w:rPr>
        <w:t xml:space="preserve">42</w:t>
      </w:r>
      <w:r>
        <w:t xml:space="preserve">(7), 975-990. https://doi.org/10.1080/07036337.2019.1705800</w:t>
      </w:r>
    </w:p>
    <w:p>
      <w:pPr>
        <w:spacing w:after="100" w:line="264"/>
        <w:ind w:left="567" w:hanging="567"/>
      </w:pPr>
      <w:r>
        <w:t xml:space="preserve">Liu, D., Reyneveld, J. et Straatman, C. (2019). OECD’s Work on the Digital Economy: Impact Far beyond the Digital Economy. </w:t>
      </w:r>
      <w:r>
        <w:rPr>
          <w:i/>
          <w:iCs/>
        </w:rPr>
        <w:t xml:space="preserve">International Transfer Pricing Journal</w:t>
      </w:r>
      <w:r>
        <w:t xml:space="preserve">, </w:t>
      </w:r>
      <w:r>
        <w:rPr>
          <w:i/>
          <w:iCs/>
        </w:rPr>
        <w:t xml:space="preserve">26</w:t>
      </w:r>
      <w:r>
        <w:t xml:space="preserve">(5). https://doi.org/10.59403/2pm8eef</w:t>
      </w:r>
    </w:p>
    <w:p>
      <w:pPr>
        <w:spacing w:after="100" w:line="264"/>
        <w:ind w:left="567" w:hanging="567"/>
      </w:pPr>
      <w:r>
        <w:t xml:space="preserve">Mader, P., Duvendack, M. et Macdonald, K. (2022). Fintech and tax in Sub-Saharan Africa: taxation versus financial inclusion. </w:t>
      </w:r>
      <w:r>
        <w:rPr>
          <w:i/>
          <w:iCs/>
        </w:rPr>
        <w:t xml:space="preserve">Journal of Cultural Economy</w:t>
      </w:r>
      <w:r>
        <w:t xml:space="preserve">, </w:t>
      </w:r>
      <w:r>
        <w:rPr>
          <w:i/>
          <w:iCs/>
        </w:rPr>
        <w:t xml:space="preserve">15</w:t>
      </w:r>
      <w:r>
        <w:t xml:space="preserve">(4), 488-507. https://doi.org/10.1080/17530350.2022.2087718</w:t>
      </w:r>
    </w:p>
    <w:p>
      <w:pPr>
        <w:spacing w:after="100" w:line="264"/>
        <w:ind w:left="567" w:hanging="567"/>
      </w:pPr>
      <w:r>
        <w:t xml:space="preserve">Magwape, M. (2022). Unilateral Digital Services Tax In Africa; Legislative Challenges And Opportunities. </w:t>
      </w:r>
      <w:r>
        <w:rPr>
          <w:i/>
          <w:iCs/>
        </w:rPr>
        <w:t xml:space="preserve">Intertax</w:t>
      </w:r>
      <w:r>
        <w:t xml:space="preserve">, </w:t>
      </w:r>
      <w:r>
        <w:rPr>
          <w:i/>
          <w:iCs/>
        </w:rPr>
        <w:t xml:space="preserve">50</w:t>
      </w:r>
      <w:r>
        <w:t xml:space="preserve">(5), 444-458. https://doi.org/10.54648/taxi2022039</w:t>
      </w:r>
    </w:p>
    <w:p>
      <w:pPr>
        <w:spacing w:after="100" w:line="264"/>
        <w:ind w:left="567" w:hanging="567"/>
      </w:pPr>
      <w:r>
        <w:t xml:space="preserve">Magwape, M. (2024). Agenda Setting and Decision Making under the OECD/G20 IF and the WTO – Developing Countries and Reform. </w:t>
      </w:r>
      <w:r>
        <w:rPr>
          <w:i/>
          <w:iCs/>
        </w:rPr>
        <w:t xml:space="preserve">Intertax</w:t>
      </w:r>
      <w:r>
        <w:t xml:space="preserve">, </w:t>
      </w:r>
      <w:r>
        <w:rPr>
          <w:i/>
          <w:iCs/>
        </w:rPr>
        <w:t xml:space="preserve">52</w:t>
      </w:r>
      <w:r>
        <w:t xml:space="preserve">(4), 270-293. https://doi.org/10.54648/taxi2024033</w:t>
      </w:r>
    </w:p>
    <w:p>
      <w:pPr>
        <w:spacing w:after="100" w:line="264"/>
        <w:ind w:left="567" w:hanging="567"/>
      </w:pPr>
      <w:r>
        <w:t xml:space="preserve">Maheshwari, R. (2023). Are the Revenue Sourcing Rules of the OECD’s Pillar One Fulfilling the Objective of Taxing Value Creation?. </w:t>
      </w:r>
      <w:r>
        <w:rPr>
          <w:i/>
          <w:iCs/>
        </w:rPr>
        <w:t xml:space="preserve">Bulletin for International Taxation</w:t>
      </w:r>
      <w:r>
        <w:t xml:space="preserve">, </w:t>
      </w:r>
      <w:r>
        <w:rPr>
          <w:i/>
          <w:iCs/>
        </w:rPr>
        <w:t xml:space="preserve">77</w:t>
      </w:r>
      <w:r>
        <w:t xml:space="preserve">(7). https://doi.org/10.59403/1a6xqp7</w:t>
      </w:r>
    </w:p>
    <w:p>
      <w:pPr>
        <w:spacing w:after="100" w:line="264"/>
        <w:ind w:left="567" w:hanging="567"/>
      </w:pPr>
      <w:r>
        <w:t xml:space="preserve">Majorana, D. (2026). Will Pillar Two Prosper Despite the US Side-by-Side Arrangement?. </w:t>
      </w:r>
      <w:r>
        <w:rPr>
          <w:i/>
          <w:iCs/>
        </w:rPr>
        <w:t xml:space="preserve">Bulletin for International Taxation</w:t>
      </w:r>
      <w:r>
        <w:t xml:space="preserve">, </w:t>
      </w:r>
      <w:r>
        <w:rPr>
          <w:i/>
          <w:iCs/>
        </w:rPr>
        <w:t xml:space="preserve">80</w:t>
      </w:r>
      <w:r>
        <w:t xml:space="preserve">(11). https://doi.org/10.59403/acb42w</w:t>
      </w:r>
    </w:p>
    <w:p>
      <w:pPr>
        <w:spacing w:after="100" w:line="264"/>
        <w:ind w:left="567" w:hanging="567"/>
      </w:pPr>
      <w:r>
        <w:t xml:space="preserve">Maria, M. R. (2026). Questioning Tax Sovereignty Post OECD/G20’s Base Erosion and Profit Shifting (BEPS) Era: Developing Countries Perspective. </w:t>
      </w:r>
      <w:r>
        <w:rPr>
          <w:i/>
          <w:iCs/>
        </w:rPr>
        <w:t xml:space="preserve">International Organisations Research Journal</w:t>
      </w:r>
      <w:r>
        <w:t xml:space="preserve">, </w:t>
      </w:r>
      <w:r>
        <w:rPr>
          <w:i/>
          <w:iCs/>
        </w:rPr>
        <w:t xml:space="preserve">21</w:t>
      </w:r>
      <w:r>
        <w:t xml:space="preserve">(1), 20. https://doi.org/10.17323/1996-7845-2026-01-02</w:t>
      </w:r>
    </w:p>
    <w:p>
      <w:pPr>
        <w:spacing w:after="100" w:line="264"/>
        <w:ind w:left="567" w:hanging="567"/>
      </w:pPr>
      <w:r>
        <w:t xml:space="preserve">Martín Jiménez, A. (2018). BEPS, the Digital(ized) Economy and the Taxation of Services and Royalties. </w:t>
      </w:r>
      <w:r>
        <w:rPr>
          <w:i/>
          <w:iCs/>
        </w:rPr>
        <w:t xml:space="preserve">Intertax</w:t>
      </w:r>
      <w:r>
        <w:t xml:space="preserve">, </w:t>
      </w:r>
      <w:r>
        <w:rPr>
          <w:i/>
          <w:iCs/>
        </w:rPr>
        <w:t xml:space="preserve">46</w:t>
      </w:r>
      <w:r>
        <w:t xml:space="preserve">(8/9), 620-638. https://doi.org/10.54648/taxi2018067</w:t>
      </w:r>
    </w:p>
    <w:p>
      <w:pPr>
        <w:spacing w:after="100" w:line="264"/>
        <w:ind w:left="567" w:hanging="567"/>
      </w:pPr>
      <w:r>
        <w:t xml:space="preserve">Mawani, A. (2023). MNEs' Incentives Under a Global Minimum Tax Based on Accounting Standards. </w:t>
      </w:r>
      <w:r>
        <w:rPr>
          <w:i/>
          <w:iCs/>
        </w:rPr>
        <w:t xml:space="preserve">Canadian Tax Journal/Revue fiscale canadienne</w:t>
      </w:r>
      <w:r>
        <w:t xml:space="preserve">, </w:t>
      </w:r>
      <w:r>
        <w:rPr>
          <w:i/>
          <w:iCs/>
        </w:rPr>
        <w:t xml:space="preserve">71</w:t>
      </w:r>
      <w:r>
        <w:t xml:space="preserve">(2), 489-516. https://doi.org/10.32721/ctj.2023.71.2.sym.mawani</w:t>
      </w:r>
    </w:p>
    <w:p>
      <w:pPr>
        <w:spacing w:after="100" w:line="264"/>
        <w:ind w:left="567" w:hanging="567"/>
      </w:pPr>
      <w:r>
        <w:t xml:space="preserve">Milev, T. (2025). Pillar Two and the Existing Corporate Tax Regime: Are Amendments Necessary?. </w:t>
      </w:r>
      <w:r>
        <w:rPr>
          <w:i/>
          <w:iCs/>
        </w:rPr>
        <w:t xml:space="preserve">European Taxation</w:t>
      </w:r>
      <w:r>
        <w:t xml:space="preserve">, </w:t>
      </w:r>
      <w:r>
        <w:rPr>
          <w:i/>
          <w:iCs/>
        </w:rPr>
        <w:t xml:space="preserve">65</w:t>
      </w:r>
      <w:r>
        <w:t xml:space="preserve">(7). https://doi.org/10.59403/1w9ret8</w:t>
      </w:r>
    </w:p>
    <w:p>
      <w:pPr>
        <w:spacing w:after="100" w:line="264"/>
        <w:ind w:left="567" w:hanging="567"/>
      </w:pPr>
      <w:r>
        <w:t xml:space="preserve">Milogolov, N. (2020). The Emergence of the ‘Technological Tax Hub’: Digitally Oriented Trajectories of Reforms in Tax Planning Hub Jurisdictions. </w:t>
      </w:r>
      <w:r>
        <w:rPr>
          <w:i/>
          <w:iCs/>
        </w:rPr>
        <w:t xml:space="preserve">Intertax</w:t>
      </w:r>
      <w:r>
        <w:t xml:space="preserve">, </w:t>
      </w:r>
      <w:r>
        <w:rPr>
          <w:i/>
          <w:iCs/>
        </w:rPr>
        <w:t xml:space="preserve">48</w:t>
      </w:r>
      <w:r>
        <w:t xml:space="preserve">(12), 1105-1124. https://doi.org/10.54648/taxi2020112</w:t>
      </w:r>
    </w:p>
    <w:p>
      <w:pPr>
        <w:spacing w:after="100" w:line="264"/>
        <w:ind w:left="567" w:hanging="567"/>
      </w:pPr>
      <w:r>
        <w:t xml:space="preserve">Milogolov, N. et Berberov, A. (2021). The digital tax reform for Africa: customised or one-size-fits-all approach?. </w:t>
      </w:r>
      <w:r>
        <w:rPr>
          <w:i/>
          <w:iCs/>
        </w:rPr>
        <w:t xml:space="preserve">International Review of Law, Computers &amp; Technology</w:t>
      </w:r>
      <w:r>
        <w:t xml:space="preserve">, </w:t>
      </w:r>
      <w:r>
        <w:rPr>
          <w:i/>
          <w:iCs/>
        </w:rPr>
        <w:t xml:space="preserve">36</w:t>
      </w:r>
      <w:r>
        <w:t xml:space="preserve">(1), 28-47. https://doi.org/10.1080/13600869.2021.1997085</w:t>
      </w:r>
    </w:p>
    <w:p>
      <w:pPr>
        <w:spacing w:after="100" w:line="264"/>
        <w:ind w:left="567" w:hanging="567"/>
      </w:pPr>
      <w:r>
        <w:t xml:space="preserve">Mintz, J. M. (2022). The Global Corporate Minimum Tax: A Cure or Not?. </w:t>
      </w:r>
      <w:r>
        <w:rPr>
          <w:i/>
          <w:iCs/>
        </w:rPr>
        <w:t xml:space="preserve">Canadian Tax Journal/Revue fiscale canadienne</w:t>
      </w:r>
      <w:r>
        <w:t xml:space="preserve">, </w:t>
      </w:r>
      <w:r>
        <w:rPr>
          <w:i/>
          <w:iCs/>
        </w:rPr>
        <w:t xml:space="preserve">70</w:t>
      </w:r>
      <w:r>
        <w:t xml:space="preserve">(Supp), 231-255. https://doi.org/10.32721/ctj.2022.70.supp.mintz</w:t>
      </w:r>
    </w:p>
    <w:p>
      <w:pPr>
        <w:spacing w:after="100" w:line="264"/>
        <w:ind w:left="567" w:hanging="567"/>
      </w:pPr>
      <w:r>
        <w:t xml:space="preserve">Mollagee, O. (2024). How Appropriate Are Domestic Minimum Top-Up Taxes in Africa?. </w:t>
      </w:r>
      <w:r>
        <w:rPr>
          <w:i/>
          <w:iCs/>
        </w:rPr>
        <w:t xml:space="preserve">Bulletin for International Taxation</w:t>
      </w:r>
      <w:r>
        <w:t xml:space="preserve">, </w:t>
      </w:r>
      <w:r>
        <w:rPr>
          <w:i/>
          <w:iCs/>
        </w:rPr>
        <w:t xml:space="preserve">78</w:t>
      </w:r>
      <w:r>
        <w:t xml:space="preserve">(9/10). https://doi.org/10.59403/21e2yz7</w:t>
      </w:r>
    </w:p>
    <w:p>
      <w:pPr>
        <w:spacing w:after="100" w:line="264"/>
        <w:ind w:left="567" w:hanging="567"/>
      </w:pPr>
      <w:r>
        <w:t xml:space="preserve">Mosquera Valderrama, I. (2018). Output Legitimacy Deficits and the Inclusive Framework of the OECD/G20 Base Erosion and Profit Shifting Initiative. </w:t>
      </w:r>
      <w:r>
        <w:rPr>
          <w:i/>
          <w:iCs/>
        </w:rPr>
        <w:t xml:space="preserve">Bulletin for International Taxation</w:t>
      </w:r>
      <w:r>
        <w:t xml:space="preserve">, </w:t>
      </w:r>
      <w:r>
        <w:rPr>
          <w:i/>
          <w:iCs/>
        </w:rPr>
        <w:t xml:space="preserve">72</w:t>
      </w:r>
      <w:r>
        <w:t xml:space="preserve">(3). https://doi.org/10.59403/se9pt3</w:t>
      </w:r>
    </w:p>
    <w:p>
      <w:pPr>
        <w:spacing w:after="100" w:line="264"/>
        <w:ind w:left="567" w:hanging="567"/>
      </w:pPr>
      <w:r>
        <w:t xml:space="preserve">Mosquera Valderrama, I. J. (2020). Regulatory Framework for Tax Incentives in Developing Countries After BEPS Action 5. </w:t>
      </w:r>
      <w:r>
        <w:rPr>
          <w:i/>
          <w:iCs/>
        </w:rPr>
        <w:t xml:space="preserve">Intertax</w:t>
      </w:r>
      <w:r>
        <w:t xml:space="preserve">, </w:t>
      </w:r>
      <w:r>
        <w:rPr>
          <w:i/>
          <w:iCs/>
        </w:rPr>
        <w:t xml:space="preserve">48</w:t>
      </w:r>
      <w:r>
        <w:t xml:space="preserve">(4), 446-459. https://doi.org/10.54648/taxi2020039</w:t>
      </w:r>
    </w:p>
    <w:p>
      <w:pPr>
        <w:spacing w:after="100" w:line="264"/>
        <w:ind w:left="567" w:hanging="567"/>
      </w:pPr>
      <w:r>
        <w:t xml:space="preserve">Mosquera Valderrama, I. (2024). How Can Regional Cooperation Help the Enhancement of Regional Economic Development and Strengthen the Voices of Developing Countries in Global Tax Negotiations?. </w:t>
      </w:r>
      <w:r>
        <w:rPr>
          <w:i/>
          <w:iCs/>
        </w:rPr>
        <w:t xml:space="preserve">The Journal of World Investment &amp; Trade</w:t>
      </w:r>
      <w:r>
        <w:t xml:space="preserve">, </w:t>
      </w:r>
      <w:r>
        <w:rPr>
          <w:i/>
          <w:iCs/>
        </w:rPr>
        <w:t xml:space="preserve">25</w:t>
      </w:r>
      <w:r>
        <w:t xml:space="preserve">(2), 201-236. https://doi.org/10.1163/22119000-12340323</w:t>
      </w:r>
    </w:p>
    <w:p>
      <w:pPr>
        <w:spacing w:after="100" w:line="264"/>
        <w:ind w:left="567" w:hanging="567"/>
      </w:pPr>
      <w:r>
        <w:t xml:space="preserve">Motala, M. F. (2019). The G20 – OECD Contribution to a New Global Tax Governance. </w:t>
      </w:r>
      <w:r>
        <w:rPr>
          <w:i/>
          <w:iCs/>
        </w:rPr>
        <w:t xml:space="preserve">International Organisations Research Journal</w:t>
      </w:r>
      <w:r>
        <w:t xml:space="preserve">, </w:t>
      </w:r>
      <w:r>
        <w:rPr>
          <w:i/>
          <w:iCs/>
        </w:rPr>
        <w:t xml:space="preserve">14</w:t>
      </w:r>
      <w:r>
        <w:t xml:space="preserve">(2), 52. https://doi.org/10.17323/1996-7845-2019-02-03</w:t>
      </w:r>
    </w:p>
    <w:p>
      <w:pPr>
        <w:spacing w:after="100" w:line="264"/>
        <w:ind w:left="567" w:hanging="567"/>
      </w:pPr>
      <w:r>
        <w:t xml:space="preserve">Mpofu, F. Y. et Mhlanga, D. (2022). Digital Financial Inclusion, Digital Financial Services Tax and Financial Inclusion in the Fourth Industrial Revolution Era in Africa. </w:t>
      </w:r>
      <w:r>
        <w:rPr>
          <w:i/>
          <w:iCs/>
        </w:rPr>
        <w:t xml:space="preserve">Economies</w:t>
      </w:r>
      <w:r>
        <w:t xml:space="preserve">, </w:t>
      </w:r>
      <w:r>
        <w:rPr>
          <w:i/>
          <w:iCs/>
        </w:rPr>
        <w:t xml:space="preserve">10</w:t>
      </w:r>
      <w:r>
        <w:t xml:space="preserve">(8), 184. https://doi.org/10.3390/economies10080184</w:t>
      </w:r>
    </w:p>
    <w:p>
      <w:pPr>
        <w:spacing w:after="100" w:line="264"/>
        <w:ind w:left="567" w:hanging="567"/>
      </w:pPr>
      <w:r>
        <w:t xml:space="preserve">Mpofu, F. Y. et Moloi, T. (2022). Direct Digital Services Taxes in Africa and the Canons of Taxation. </w:t>
      </w:r>
      <w:r>
        <w:rPr>
          <w:i/>
          <w:iCs/>
        </w:rPr>
        <w:t xml:space="preserve">Laws</w:t>
      </w:r>
      <w:r>
        <w:t xml:space="preserve">, </w:t>
      </w:r>
      <w:r>
        <w:rPr>
          <w:i/>
          <w:iCs/>
        </w:rPr>
        <w:t xml:space="preserve">11</w:t>
      </w:r>
      <w:r>
        <w:t xml:space="preserve">(4), 57. https://doi.org/10.3390/laws11040057</w:t>
      </w:r>
    </w:p>
    <w:p>
      <w:pPr>
        <w:spacing w:after="100" w:line="264"/>
        <w:ind w:left="567" w:hanging="567"/>
      </w:pPr>
      <w:r>
        <w:t xml:space="preserve">Mpofu, F. Y. (2022a). Taxation of the Digital Economy and Direct Digital Service Taxes: Opportunities, Challenges, and Implications for African Countries. </w:t>
      </w:r>
      <w:r>
        <w:rPr>
          <w:i/>
          <w:iCs/>
        </w:rPr>
        <w:t xml:space="preserve">Economies</w:t>
      </w:r>
      <w:r>
        <w:t xml:space="preserve">, </w:t>
      </w:r>
      <w:r>
        <w:rPr>
          <w:i/>
          <w:iCs/>
        </w:rPr>
        <w:t xml:space="preserve">10</w:t>
      </w:r>
      <w:r>
        <w:t xml:space="preserve">(9), 219. https://doi.org/10.3390/economies10090219</w:t>
      </w:r>
    </w:p>
    <w:p>
      <w:pPr>
        <w:spacing w:after="100" w:line="264"/>
        <w:ind w:left="567" w:hanging="567"/>
      </w:pPr>
      <w:r>
        <w:t xml:space="preserve">Mpofu, F. Y. (2022b). Taxing the Digital Economy through Consumption Taxes (VAT) in African Countries: Possibilities, Constraints and Implications. </w:t>
      </w:r>
      <w:r>
        <w:rPr>
          <w:i/>
          <w:iCs/>
        </w:rPr>
        <w:t xml:space="preserve">International Journal of Financial Studies</w:t>
      </w:r>
      <w:r>
        <w:t xml:space="preserve">, </w:t>
      </w:r>
      <w:r>
        <w:rPr>
          <w:i/>
          <w:iCs/>
        </w:rPr>
        <w:t xml:space="preserve">10</w:t>
      </w:r>
      <w:r>
        <w:t xml:space="preserve">(3), 65. https://doi.org/10.3390/ijfs10030065</w:t>
      </w:r>
    </w:p>
    <w:p>
      <w:pPr>
        <w:spacing w:after="100" w:line="264"/>
        <w:ind w:left="567" w:hanging="567"/>
      </w:pPr>
      <w:r>
        <w:t xml:space="preserve">Mpoha, J. (2022). Article 12B of the UN Model (2021): A Simplified Solution for Developing Countries to Tax Income from the Digital Economy?. </w:t>
      </w:r>
      <w:r>
        <w:rPr>
          <w:i/>
          <w:iCs/>
        </w:rPr>
        <w:t xml:space="preserve">Bulletin for International Taxation</w:t>
      </w:r>
      <w:r>
        <w:t xml:space="preserve">, </w:t>
      </w:r>
      <w:r>
        <w:rPr>
          <w:i/>
          <w:iCs/>
        </w:rPr>
        <w:t xml:space="preserve">76</w:t>
      </w:r>
      <w:r>
        <w:t xml:space="preserve">(5). https://doi.org/10.59403/366azk</w:t>
      </w:r>
    </w:p>
    <w:p>
      <w:pPr>
        <w:spacing w:after="100" w:line="264"/>
        <w:ind w:left="567" w:hanging="567"/>
      </w:pPr>
      <w:r>
        <w:t xml:space="preserve">Mponwana, K. et Ndlovu, J. (2024). Digital Services Tax: Analytical View of Challenges and Successes in Kenya and the United Kingdom. </w:t>
      </w:r>
      <w:r>
        <w:rPr>
          <w:i/>
          <w:iCs/>
        </w:rPr>
        <w:t xml:space="preserve">Intertax</w:t>
      </w:r>
      <w:r>
        <w:t xml:space="preserve">, </w:t>
      </w:r>
      <w:r>
        <w:rPr>
          <w:i/>
          <w:iCs/>
        </w:rPr>
        <w:t xml:space="preserve">52</w:t>
      </w:r>
      <w:r>
        <w:t xml:space="preserve">(4), 294-326. https://doi.org/10.54648/taxi2024034</w:t>
      </w:r>
    </w:p>
    <w:p>
      <w:pPr>
        <w:spacing w:after="100" w:line="264"/>
        <w:ind w:left="567" w:hanging="567"/>
      </w:pPr>
      <w:r>
        <w:t xml:space="preserve">Mupokosera, J. et Oguttu, A. W. (2026). Income Taxation of the Digital Economy: The Advantages and Disadvantages of Digital Services Taxes from an African Perspective. </w:t>
      </w:r>
      <w:r>
        <w:rPr>
          <w:i/>
          <w:iCs/>
        </w:rPr>
        <w:t xml:space="preserve">Intertax</w:t>
      </w:r>
      <w:r>
        <w:t xml:space="preserve">, </w:t>
      </w:r>
      <w:r>
        <w:rPr>
          <w:i/>
          <w:iCs/>
        </w:rPr>
        <w:t xml:space="preserve">54</w:t>
      </w:r>
      <w:r>
        <w:t xml:space="preserve">(2), 123-150. https://doi.org/10.54648/taxi2026021</w:t>
      </w:r>
    </w:p>
    <w:p>
      <w:pPr>
        <w:spacing w:after="100" w:line="264"/>
        <w:ind w:left="567" w:hanging="567"/>
      </w:pPr>
      <w:r>
        <w:t xml:space="preserve">Nagappan, M. et Varanasi, S. (2016). Financial Budget for 20162017: Has India Put Its BEPS Foot Forward?. </w:t>
      </w:r>
      <w:r>
        <w:rPr>
          <w:i/>
          <w:iCs/>
        </w:rPr>
        <w:t xml:space="preserve">Intertax</w:t>
      </w:r>
      <w:r>
        <w:t xml:space="preserve">, </w:t>
      </w:r>
      <w:r>
        <w:rPr>
          <w:i/>
          <w:iCs/>
        </w:rPr>
        <w:t xml:space="preserve">44</w:t>
      </w:r>
      <w:r>
        <w:t xml:space="preserve">(6/7), 550-558. https://doi.org/10.54648/taxi2016044</w:t>
      </w:r>
    </w:p>
    <w:p>
      <w:pPr>
        <w:spacing w:after="100" w:line="264"/>
        <w:ind w:left="567" w:hanging="567"/>
      </w:pPr>
      <w:r>
        <w:t xml:space="preserve">Nagappan, M. et Unnikrishnan, A. (2018). Virtual Permanent Establishments: Indian Law and Practice. </w:t>
      </w:r>
      <w:r>
        <w:rPr>
          <w:i/>
          <w:iCs/>
        </w:rPr>
        <w:t xml:space="preserve">Intertax</w:t>
      </w:r>
      <w:r>
        <w:t xml:space="preserve">, </w:t>
      </w:r>
      <w:r>
        <w:rPr>
          <w:i/>
          <w:iCs/>
        </w:rPr>
        <w:t xml:space="preserve">46</w:t>
      </w:r>
      <w:r>
        <w:t xml:space="preserve">(6/7), 520-540. https://doi.org/10.54648/taxi2018054</w:t>
      </w:r>
    </w:p>
    <w:p>
      <w:pPr>
        <w:spacing w:after="100" w:line="264"/>
        <w:ind w:left="567" w:hanging="567"/>
      </w:pPr>
      <w:r>
        <w:t xml:space="preserve">Navarro, A. (2023). The Allocation of Taxing Rights under Pillar One of the OECD Proposal. Dans </w:t>
      </w:r>
      <w:r>
        <w:rPr>
          <w:i/>
          <w:iCs/>
        </w:rPr>
        <w:t xml:space="preserve">The Oxford Handbook of International Tax Law</w:t>
      </w:r>
      <w:r>
        <w:t xml:space="preserve"> (p. 951-968). Oxford University Press. https://doi.org/10.1093/oxfordhb/9780192897688.013.56</w:t>
      </w:r>
    </w:p>
    <w:p>
      <w:pPr>
        <w:spacing w:after="100" w:line="264"/>
        <w:ind w:left="567" w:hanging="567"/>
      </w:pPr>
      <w:r>
        <w:t xml:space="preserve">Neuvel, W., Jong, S. D. et Uceda, A. (2018). Profit Attribution Challenges in a Digital Economy – A Transfer Pricing Analysis of the EU Virtual Permanent Establishment Concept. </w:t>
      </w:r>
      <w:r>
        <w:rPr>
          <w:i/>
          <w:iCs/>
        </w:rPr>
        <w:t xml:space="preserve">International Transfer Pricing Journal</w:t>
      </w:r>
      <w:r>
        <w:t xml:space="preserve">, </w:t>
      </w:r>
      <w:r>
        <w:rPr>
          <w:i/>
          <w:iCs/>
        </w:rPr>
        <w:t xml:space="preserve">25</w:t>
      </w:r>
      <w:r>
        <w:t xml:space="preserve">(5). https://doi.org/10.59403/1xneffv</w:t>
      </w:r>
    </w:p>
    <w:p>
      <w:pPr>
        <w:spacing w:after="100" w:line="264"/>
        <w:ind w:left="567" w:hanging="567"/>
      </w:pPr>
      <w:r>
        <w:t xml:space="preserve">Nogueira, J. (2020). GloBE and EU Law: Assessing the Compatibility of the OECD’s Pillar II Initiative on a Minimum Effective Tax Rate with EU Law and Implementing It within the Internal Market. </w:t>
      </w:r>
      <w:r>
        <w:rPr>
          <w:i/>
          <w:iCs/>
        </w:rPr>
        <w:t xml:space="preserve">World Tax Journal</w:t>
      </w:r>
      <w:r>
        <w:t xml:space="preserve">, </w:t>
      </w:r>
      <w:r>
        <w:rPr>
          <w:i/>
          <w:iCs/>
        </w:rPr>
        <w:t xml:space="preserve">12</w:t>
      </w:r>
      <w:r>
        <w:t xml:space="preserve">(3). https://doi.org/10.59403/27gh15s</w:t>
      </w:r>
    </w:p>
    <w:p>
      <w:pPr>
        <w:spacing w:after="100" w:line="264"/>
        <w:ind w:left="567" w:hanging="567"/>
      </w:pPr>
      <w:r>
        <w:t xml:space="preserve">Noked, N. (2022). Designing Domestic Minimum Taxes in Response to the Global Minimum Tax. </w:t>
      </w:r>
      <w:r>
        <w:rPr>
          <w:i/>
          <w:iCs/>
        </w:rPr>
        <w:t xml:space="preserve">Intertax</w:t>
      </w:r>
      <w:r>
        <w:t xml:space="preserve">, </w:t>
      </w:r>
      <w:r>
        <w:rPr>
          <w:i/>
          <w:iCs/>
        </w:rPr>
        <w:t xml:space="preserve">50</w:t>
      </w:r>
      <w:r>
        <w:t xml:space="preserve">(10), 678-688. https://doi.org/10.54648/taxi2022068</w:t>
      </w:r>
    </w:p>
    <w:p>
      <w:pPr>
        <w:spacing w:after="100" w:line="264"/>
        <w:ind w:left="567" w:hanging="567"/>
      </w:pPr>
      <w:r>
        <w:t xml:space="preserve">Noonan, C. et Plekhanova, V. (2020). Taxation of Digital Services Under Trade Agreements. </w:t>
      </w:r>
      <w:r>
        <w:rPr>
          <w:i/>
          <w:iCs/>
        </w:rPr>
        <w:t xml:space="preserve">Journal of International Economic Law</w:t>
      </w:r>
      <w:r>
        <w:t xml:space="preserve">, </w:t>
      </w:r>
      <w:r>
        <w:rPr>
          <w:i/>
          <w:iCs/>
        </w:rPr>
        <w:t xml:space="preserve">23</w:t>
      </w:r>
      <w:r>
        <w:t xml:space="preserve">(4), 1015-1039. https://doi.org/10.1093/jiel/jgaa031</w:t>
      </w:r>
    </w:p>
    <w:p>
      <w:pPr>
        <w:spacing w:after="100" w:line="264"/>
        <w:ind w:left="567" w:hanging="567"/>
      </w:pPr>
      <w:r>
        <w:t xml:space="preserve">Noonan, C. et Plekhanova, V. (2025). Digital Services Taxes, Tariffs, and Subsidies. </w:t>
      </w:r>
      <w:r>
        <w:rPr>
          <w:i/>
          <w:iCs/>
        </w:rPr>
        <w:t xml:space="preserve">Canadian Tax Journal/Revue fiscale canadienne</w:t>
      </w:r>
      <w:r>
        <w:t xml:space="preserve">, </w:t>
      </w:r>
      <w:r>
        <w:rPr>
          <w:i/>
          <w:iCs/>
        </w:rPr>
        <w:t xml:space="preserve">73</w:t>
      </w:r>
      <w:r>
        <w:t xml:space="preserve">(3), 427-466. https://doi.org/10.32721/ctj.2025.73.3.noonan</w:t>
      </w:r>
    </w:p>
    <w:p>
      <w:pPr>
        <w:spacing w:after="100" w:line="264"/>
        <w:ind w:left="567" w:hanging="567"/>
      </w:pPr>
      <w:r>
        <w:t xml:space="preserve">Obayemi, O. (2021). Taxing The Income Of Digital Non-Resident Companies Under The ‘Significant Economic Presence’ (Sep) Rules In Nigeria. </w:t>
      </w:r>
      <w:r>
        <w:rPr>
          <w:i/>
          <w:iCs/>
        </w:rPr>
        <w:t xml:space="preserve">Intertax</w:t>
      </w:r>
      <w:r>
        <w:t xml:space="preserve">, </w:t>
      </w:r>
      <w:r>
        <w:rPr>
          <w:i/>
          <w:iCs/>
        </w:rPr>
        <w:t xml:space="preserve">49</w:t>
      </w:r>
      <w:r>
        <w:t xml:space="preserve">(5), 449-465. https://doi.org/10.54648/taxi2021043</w:t>
      </w:r>
    </w:p>
    <w:p>
      <w:pPr>
        <w:spacing w:after="100" w:line="264"/>
        <w:ind w:left="567" w:hanging="567"/>
      </w:pPr>
      <w:r>
        <w:t xml:space="preserve">Odiase, P. O. (2021). Taxing the Digital Economy: Nigeria’s Financial Act 2019 and Significant Economic Presence Order 2020. </w:t>
      </w:r>
      <w:r>
        <w:rPr>
          <w:i/>
          <w:iCs/>
        </w:rPr>
        <w:t xml:space="preserve">African Journal of Legal Studies</w:t>
      </w:r>
      <w:r>
        <w:t xml:space="preserve">, </w:t>
      </w:r>
      <w:r>
        <w:rPr>
          <w:i/>
          <w:iCs/>
        </w:rPr>
        <w:t xml:space="preserve">14</w:t>
      </w:r>
      <w:r>
        <w:t xml:space="preserve">(2), 269-275. https://doi.org/10.1163/17087384-12340091</w:t>
      </w:r>
    </w:p>
    <w:p>
      <w:pPr>
        <w:spacing w:after="100" w:line="264"/>
        <w:ind w:left="567" w:hanging="567"/>
      </w:pPr>
      <w:r>
        <w:t xml:space="preserve">Oguttu, A. W. (2025). The Anticipated Impact of the Global Minimum Tax on Tax Competition for Developing Countries. </w:t>
      </w:r>
      <w:r>
        <w:rPr>
          <w:i/>
          <w:iCs/>
        </w:rPr>
        <w:t xml:space="preserve">Bulletin for International Taxation</w:t>
      </w:r>
      <w:r>
        <w:t xml:space="preserve">, </w:t>
      </w:r>
      <w:r>
        <w:rPr>
          <w:i/>
          <w:iCs/>
        </w:rPr>
        <w:t xml:space="preserve">79</w:t>
      </w:r>
      <w:r>
        <w:t xml:space="preserve">(11). https://doi.org/10.59403/3v0n6s4</w:t>
      </w:r>
    </w:p>
    <w:p>
      <w:pPr>
        <w:spacing w:after="100" w:line="264"/>
        <w:ind w:left="567" w:hanging="567"/>
      </w:pPr>
      <w:r>
        <w:t xml:space="preserve">Olbert, M. et Spengel, C. (2017). International Taxation in the Digital Economy: Challenge Accepted?. </w:t>
      </w:r>
      <w:r>
        <w:rPr>
          <w:i/>
          <w:iCs/>
        </w:rPr>
        <w:t xml:space="preserve">World Tax Journal</w:t>
      </w:r>
      <w:r>
        <w:t xml:space="preserve">, </w:t>
      </w:r>
      <w:r>
        <w:rPr>
          <w:i/>
          <w:iCs/>
        </w:rPr>
        <w:t xml:space="preserve">9</w:t>
      </w:r>
      <w:r>
        <w:t xml:space="preserve">(1). https://doi.org/10.59403/2y70g6v</w:t>
      </w:r>
    </w:p>
    <w:p>
      <w:pPr>
        <w:spacing w:after="100" w:line="264"/>
        <w:ind w:left="567" w:hanging="567"/>
      </w:pPr>
      <w:r>
        <w:t xml:space="preserve">Olbert, M. et Spengel, C. (2019). Taxation in the Digital Economy – Recent Policy Developments and the Question of Value Creation. </w:t>
      </w:r>
      <w:r>
        <w:rPr>
          <w:i/>
          <w:iCs/>
        </w:rPr>
        <w:t xml:space="preserve">International Tax Studies</w:t>
      </w:r>
      <w:r>
        <w:t xml:space="preserve">, </w:t>
      </w:r>
      <w:r>
        <w:rPr>
          <w:i/>
          <w:iCs/>
        </w:rPr>
        <w:t xml:space="preserve">2</w:t>
      </w:r>
      <w:r>
        <w:t xml:space="preserve">(3). https://doi.org/10.59403/1rhzhcm</w:t>
      </w:r>
    </w:p>
    <w:p>
      <w:pPr>
        <w:spacing w:after="100" w:line="264"/>
        <w:ind w:left="567" w:hanging="567"/>
      </w:pPr>
      <w:r>
        <w:t xml:space="preserve">Özgenç, A. (2024). Turkish Judicial Approach to the Taxation of the Digital Economy. </w:t>
      </w:r>
      <w:r>
        <w:rPr>
          <w:i/>
          <w:iCs/>
        </w:rPr>
        <w:t xml:space="preserve">European Taxation</w:t>
      </w:r>
      <w:r>
        <w:t xml:space="preserve">, </w:t>
      </w:r>
      <w:r>
        <w:rPr>
          <w:i/>
          <w:iCs/>
        </w:rPr>
        <w:t xml:space="preserve">64</w:t>
      </w:r>
      <w:r>
        <w:t xml:space="preserve">(2/3). https://doi.org/10.59403/16g3ejy</w:t>
      </w:r>
    </w:p>
    <w:p>
      <w:pPr>
        <w:spacing w:after="100" w:line="264"/>
        <w:ind w:left="567" w:hanging="567"/>
      </w:pPr>
      <w:r>
        <w:t xml:space="preserve">Parada, L. (2024). Global Minimum Taxation: A Strategic Approach for Developing Countries. </w:t>
      </w:r>
      <w:r>
        <w:rPr>
          <w:i/>
          <w:iCs/>
        </w:rPr>
        <w:t xml:space="preserve">Columbia Journal of Tax Law</w:t>
      </w:r>
      <w:r>
        <w:t xml:space="preserve">, </w:t>
      </w:r>
      <w:r>
        <w:rPr>
          <w:i/>
          <w:iCs/>
        </w:rPr>
        <w:t xml:space="preserve">15</w:t>
      </w:r>
      <w:r>
        <w:t xml:space="preserve">(2), 187-211. https://doi.org/10.52214/cjtl.v15i2.12714</w:t>
      </w:r>
    </w:p>
    <w:p>
      <w:pPr>
        <w:spacing w:after="100" w:line="264"/>
        <w:ind w:left="567" w:hanging="567"/>
      </w:pPr>
      <w:r>
        <w:t xml:space="preserve">Pereira, R. C. L. (2023). Pillar Two and Developing Countries: The Perils of Jurisdictional Blending. </w:t>
      </w:r>
      <w:r>
        <w:rPr>
          <w:i/>
          <w:iCs/>
        </w:rPr>
        <w:t xml:space="preserve">World Tax Journal</w:t>
      </w:r>
      <w:r>
        <w:t xml:space="preserve">, </w:t>
      </w:r>
      <w:r>
        <w:rPr>
          <w:i/>
          <w:iCs/>
        </w:rPr>
        <w:t xml:space="preserve">15</w:t>
      </w:r>
      <w:r>
        <w:t xml:space="preserve">(4). https://doi.org/10.59403/17a06w8</w:t>
      </w:r>
    </w:p>
    <w:p>
      <w:pPr>
        <w:spacing w:after="100" w:line="264"/>
        <w:ind w:left="567" w:hanging="567"/>
      </w:pPr>
      <w:r>
        <w:t xml:space="preserve">Peters, C. (2015). Developing Countries’ Reactions to the G20/OECD Action Plan on Base Erosion and Profit Shifting. </w:t>
      </w:r>
      <w:r>
        <w:rPr>
          <w:i/>
          <w:iCs/>
        </w:rPr>
        <w:t xml:space="preserve">Bulletin for International Taxation</w:t>
      </w:r>
      <w:r>
        <w:t xml:space="preserve">, </w:t>
      </w:r>
      <w:r>
        <w:rPr>
          <w:i/>
          <w:iCs/>
        </w:rPr>
        <w:t xml:space="preserve">69</w:t>
      </w:r>
      <w:r>
        <w:t xml:space="preserve">(6/7). https://doi.org/10.59403/2m8qab1</w:t>
      </w:r>
    </w:p>
    <w:p>
      <w:pPr>
        <w:spacing w:after="100" w:line="264"/>
        <w:ind w:left="567" w:hanging="567"/>
      </w:pPr>
      <w:r>
        <w:t xml:space="preserve">Pirlot, A. et Culot, H. (2021). When International Trade Law Meets Tax Policy: The Example of Digital Services Taxes. </w:t>
      </w:r>
      <w:r>
        <w:rPr>
          <w:i/>
          <w:iCs/>
        </w:rPr>
        <w:t xml:space="preserve">Journal of World Trade</w:t>
      </w:r>
      <w:r>
        <w:t xml:space="preserve">, </w:t>
      </w:r>
      <w:r>
        <w:rPr>
          <w:i/>
          <w:iCs/>
        </w:rPr>
        <w:t xml:space="preserve">55</w:t>
      </w:r>
      <w:r>
        <w:t xml:space="preserve">(6), 895-920. https://doi.org/10.54648/trad2021038</w:t>
      </w:r>
    </w:p>
    <w:p>
      <w:pPr>
        <w:spacing w:after="100" w:line="264"/>
        <w:ind w:left="567" w:hanging="567"/>
      </w:pPr>
      <w:r>
        <w:t xml:space="preserve">Pistone, P., Nogueira, J. et Turina, A. (2021). Digital Services Tax: Assessing the Policy Reasons for its Introduction in the European Union. </w:t>
      </w:r>
      <w:r>
        <w:rPr>
          <w:i/>
          <w:iCs/>
        </w:rPr>
        <w:t xml:space="preserve">International Tax Studies</w:t>
      </w:r>
      <w:r>
        <w:t xml:space="preserve">, </w:t>
      </w:r>
      <w:r>
        <w:rPr>
          <w:i/>
          <w:iCs/>
        </w:rPr>
        <w:t xml:space="preserve">4</w:t>
      </w:r>
      <w:r>
        <w:t xml:space="preserve">(4). https://doi.org/10.59403/2v8fzsr</w:t>
      </w:r>
    </w:p>
    <w:p>
      <w:pPr>
        <w:spacing w:after="100" w:line="264"/>
        <w:ind w:left="567" w:hanging="567"/>
      </w:pPr>
      <w:r>
        <w:t xml:space="preserve">Popovic, D. et Ilić-Popov, G. (2022). The (Un)Certain Future of Tax Sparing Credit in International Tax Treaty Law. </w:t>
      </w:r>
      <w:r>
        <w:rPr>
          <w:i/>
          <w:iCs/>
        </w:rPr>
        <w:t xml:space="preserve">Anali Pravnog fakulteta u Beogradu</w:t>
      </w:r>
      <w:r>
        <w:t xml:space="preserve">, </w:t>
      </w:r>
      <w:r>
        <w:rPr>
          <w:i/>
          <w:iCs/>
        </w:rPr>
        <w:t xml:space="preserve">70</w:t>
      </w:r>
      <w:r>
        <w:t xml:space="preserve">(3), 647-696. https://doi.org/10.51204/anali_pfbu_22301a</w:t>
      </w:r>
    </w:p>
    <w:p>
      <w:pPr>
        <w:spacing w:after="100" w:line="264"/>
        <w:ind w:left="567" w:hanging="567"/>
      </w:pPr>
      <w:r>
        <w:t xml:space="preserve">Pulatov, A. (2024). Taxation in the Digital Economy in Uzbekistan. Dans </w:t>
      </w:r>
      <w:r>
        <w:rPr>
          <w:i/>
          <w:iCs/>
        </w:rPr>
        <w:t xml:space="preserve">International Political Economy Series</w:t>
      </w:r>
      <w:r>
        <w:t xml:space="preserve"> (p. 227-253). Springer Nature Switzerland. https://doi.org/10.1007/978-3-031-55341-7_9</w:t>
      </w:r>
    </w:p>
    <w:p>
      <w:pPr>
        <w:spacing w:after="100" w:line="264"/>
        <w:ind w:left="567" w:hanging="567"/>
      </w:pPr>
      <w:r>
        <w:t xml:space="preserve">Quentin, C. (2021). Gently Down the Stream: BEPS, Value Theory and the Allocation of Profitability along Global Value Chains. </w:t>
      </w:r>
      <w:r>
        <w:rPr>
          <w:i/>
          <w:iCs/>
        </w:rPr>
        <w:t xml:space="preserve">World Tax Journal</w:t>
      </w:r>
      <w:r>
        <w:t xml:space="preserve">, </w:t>
      </w:r>
      <w:r>
        <w:rPr>
          <w:i/>
          <w:iCs/>
        </w:rPr>
        <w:t xml:space="preserve">13</w:t>
      </w:r>
      <w:r>
        <w:t xml:space="preserve">(2). https://doi.org/10.59403/38a7aye</w:t>
      </w:r>
    </w:p>
    <w:p>
      <w:pPr>
        <w:spacing w:after="100" w:line="264"/>
        <w:ind w:left="567" w:hanging="567"/>
      </w:pPr>
      <w:r>
        <w:t xml:space="preserve">Rachidi, M. et El Moudden, A. (2025). Corporate Income Tax Differential and Subsidiaries’ Profitability in Morocco: Profit-Shifting Evidence from a Pseudo-Ordinary Least Squares Framework. </w:t>
      </w:r>
      <w:r>
        <w:rPr>
          <w:i/>
          <w:iCs/>
        </w:rPr>
        <w:t xml:space="preserve">International Journal of Financial Studies</w:t>
      </w:r>
      <w:r>
        <w:t xml:space="preserve">, </w:t>
      </w:r>
      <w:r>
        <w:rPr>
          <w:i/>
          <w:iCs/>
        </w:rPr>
        <w:t xml:space="preserve">13</w:t>
      </w:r>
      <w:r>
        <w:t xml:space="preserve">(4), 236. https://doi.org/10.3390/ijfs13040236</w:t>
      </w:r>
    </w:p>
    <w:p>
      <w:pPr>
        <w:spacing w:after="100" w:line="264"/>
        <w:ind w:left="567" w:hanging="567"/>
      </w:pPr>
      <w:r>
        <w:t xml:space="preserve">Rao, S. et Woodland, B. (2026). Kenya’s Significant Economic Presence Tax: A Legal Analysis in the Context of Global and African Digital Tax Reforms. </w:t>
      </w:r>
      <w:r>
        <w:rPr>
          <w:i/>
          <w:iCs/>
        </w:rPr>
        <w:t xml:space="preserve">Intertax</w:t>
      </w:r>
      <w:r>
        <w:t xml:space="preserve">, </w:t>
      </w:r>
      <w:r>
        <w:rPr>
          <w:i/>
          <w:iCs/>
        </w:rPr>
        <w:t xml:space="preserve">54</w:t>
      </w:r>
      <w:r>
        <w:t xml:space="preserve">(5), 377-398. https://doi.org/10.54648/taxi2026048</w:t>
      </w:r>
    </w:p>
    <w:p>
      <w:pPr>
        <w:spacing w:after="100" w:line="264"/>
        <w:ind w:left="567" w:hanging="567"/>
      </w:pPr>
      <w:r>
        <w:t xml:space="preserve">Rigó, C. B. et Tóth, A. (2020). The Symbolic Significance of Digital Services Tax and its Practical Consequences. </w:t>
      </w:r>
      <w:r>
        <w:rPr>
          <w:i/>
          <w:iCs/>
        </w:rPr>
        <w:t xml:space="preserve">Pénzügyi Szemle = Public Finance Quarterly</w:t>
      </w:r>
      <w:r>
        <w:t xml:space="preserve">, </w:t>
      </w:r>
      <w:r>
        <w:rPr>
          <w:i/>
          <w:iCs/>
        </w:rPr>
        <w:t xml:space="preserve">65</w:t>
      </w:r>
      <w:r>
        <w:t xml:space="preserve">(4), 515-530. https://doi.org/10.35551/pfq_2020_4_5</w:t>
      </w:r>
    </w:p>
    <w:p>
      <w:pPr>
        <w:spacing w:after="100" w:line="264"/>
        <w:ind w:left="567" w:hanging="567"/>
      </w:pPr>
      <w:r>
        <w:t xml:space="preserve">Rizqiyanto, N., Rizqi, M., Afsa, F. A. R. et Berrahlia, B. (2025). Tax Regulation Challenges in the Digital Economy Era: Legal Analysis and Implications in Indonesia. </w:t>
      </w:r>
      <w:r>
        <w:rPr>
          <w:i/>
          <w:iCs/>
        </w:rPr>
        <w:t xml:space="preserve">Trunojoyo Law Review</w:t>
      </w:r>
      <w:r>
        <w:t xml:space="preserve">, </w:t>
      </w:r>
      <w:r>
        <w:rPr>
          <w:i/>
          <w:iCs/>
        </w:rPr>
        <w:t xml:space="preserve">7</w:t>
      </w:r>
      <w:r>
        <w:t xml:space="preserve">(1), 65-102. https://doi.org/10.21107/tlr.v7i1.28540</w:t>
      </w:r>
    </w:p>
    <w:p>
      <w:pPr>
        <w:spacing w:after="100" w:line="264"/>
        <w:ind w:left="567" w:hanging="567"/>
      </w:pPr>
      <w:r>
        <w:t xml:space="preserve">Roin, J. A. (2026). Pillar Two. </w:t>
      </w:r>
      <w:r>
        <w:rPr>
          <w:i/>
          <w:iCs/>
        </w:rPr>
        <w:t xml:space="preserve">Florida Tax Review</w:t>
      </w:r>
      <w:r>
        <w:t xml:space="preserve">, </w:t>
      </w:r>
      <w:r>
        <w:rPr>
          <w:i/>
          <w:iCs/>
        </w:rPr>
        <w:t xml:space="preserve">29</w:t>
      </w:r>
      <w:r>
        <w:t xml:space="preserve">(1). https://doi.org/10.5744/ftr.2025.1003</w:t>
      </w:r>
    </w:p>
    <w:p>
      <w:pPr>
        <w:spacing w:after="100" w:line="264"/>
        <w:ind w:left="567" w:hanging="567"/>
      </w:pPr>
      <w:r>
        <w:t xml:space="preserve">Scandone, F., Scordo, L. et Marino, L. (2023). Pillar One, Pillar Two and BEFIT – The End of an Unexpected Journey?. </w:t>
      </w:r>
      <w:r>
        <w:rPr>
          <w:i/>
          <w:iCs/>
        </w:rPr>
        <w:t xml:space="preserve">International Transfer Pricing Journal</w:t>
      </w:r>
      <w:r>
        <w:t xml:space="preserve">, </w:t>
      </w:r>
      <w:r>
        <w:rPr>
          <w:i/>
          <w:iCs/>
        </w:rPr>
        <w:t xml:space="preserve">31</w:t>
      </w:r>
      <w:r>
        <w:t xml:space="preserve">(1). https://doi.org/10.59403/2z2kyr1</w:t>
      </w:r>
    </w:p>
    <w:p>
      <w:pPr>
        <w:spacing w:after="100" w:line="264"/>
        <w:ind w:left="567" w:hanging="567"/>
      </w:pPr>
      <w:r>
        <w:t xml:space="preserve">Scherleitner, M. (2024). The EU Minimum Tax Directive—A conceptual discussion of a bold policy move. </w:t>
      </w:r>
      <w:r>
        <w:rPr>
          <w:i/>
          <w:iCs/>
        </w:rPr>
        <w:t xml:space="preserve">European Law Journal</w:t>
      </w:r>
      <w:r>
        <w:t xml:space="preserve">, </w:t>
      </w:r>
      <w:r>
        <w:rPr>
          <w:i/>
          <w:iCs/>
        </w:rPr>
        <w:t xml:space="preserve">30</w:t>
      </w:r>
      <w:r>
        <w:t xml:space="preserve">(4), 653-667. https://doi.org/10.1111/eulj.12542</w:t>
      </w:r>
    </w:p>
    <w:p>
      <w:pPr>
        <w:spacing w:after="100" w:line="264"/>
        <w:ind w:left="567" w:hanging="567"/>
      </w:pPr>
      <w:r>
        <w:t xml:space="preserve">Schjelderup, G. et Stähler, F. (2023). The economics of the global minimum tax. </w:t>
      </w:r>
      <w:r>
        <w:rPr>
          <w:i/>
          <w:iCs/>
        </w:rPr>
        <w:t xml:space="preserve">International Tax and Public Finance</w:t>
      </w:r>
      <w:r>
        <w:t xml:space="preserve">, </w:t>
      </w:r>
      <w:r>
        <w:rPr>
          <w:i/>
          <w:iCs/>
        </w:rPr>
        <w:t xml:space="preserve">31</w:t>
      </w:r>
      <w:r>
        <w:t xml:space="preserve">(4), 935-952. https://doi.org/10.1007/s10797-023-09794-w</w:t>
      </w:r>
    </w:p>
    <w:p>
      <w:pPr>
        <w:spacing w:after="100" w:line="264"/>
        <w:ind w:left="567" w:hanging="567"/>
      </w:pPr>
      <w:r>
        <w:t xml:space="preserve">Schön, W. (2018). Ten Questions about Why and How to Tax the Digitalized Economy. </w:t>
      </w:r>
      <w:r>
        <w:rPr>
          <w:i/>
          <w:iCs/>
        </w:rPr>
        <w:t xml:space="preserve">Bulletin for International Taxation</w:t>
      </w:r>
      <w:r>
        <w:t xml:space="preserve">, </w:t>
      </w:r>
      <w:r>
        <w:rPr>
          <w:i/>
          <w:iCs/>
        </w:rPr>
        <w:t xml:space="preserve">72</w:t>
      </w:r>
      <w:r>
        <w:t xml:space="preserve">(4/5). https://doi.org/10.59403/9gs0cs</w:t>
      </w:r>
    </w:p>
    <w:p>
      <w:pPr>
        <w:spacing w:after="100" w:line="264"/>
        <w:ind w:left="567" w:hanging="567"/>
      </w:pPr>
      <w:r>
        <w:t xml:space="preserve">Schreiber, U. (2020). Remarks on the Future Prospects of the OECD/G20 Programme of Work – Profit Allocation (Pillar One) and Minimum Taxation (Pillar Two). </w:t>
      </w:r>
      <w:r>
        <w:rPr>
          <w:i/>
          <w:iCs/>
        </w:rPr>
        <w:t xml:space="preserve">Bulletin for International Taxation</w:t>
      </w:r>
      <w:r>
        <w:t xml:space="preserve">, </w:t>
      </w:r>
      <w:r>
        <w:rPr>
          <w:i/>
          <w:iCs/>
        </w:rPr>
        <w:t xml:space="preserve">74</w:t>
      </w:r>
      <w:r>
        <w:t xml:space="preserve">(6). https://doi.org/10.59403/cjwvkg</w:t>
      </w:r>
    </w:p>
    <w:p>
      <w:pPr>
        <w:spacing w:after="100" w:line="264"/>
        <w:ind w:left="567" w:hanging="567"/>
      </w:pPr>
      <w:r>
        <w:t xml:space="preserve">Scuderi, E. I. (2024). Tax Incentives for the Space Economy and the Potential Impact of Pillar Two. </w:t>
      </w:r>
      <w:r>
        <w:rPr>
          <w:i/>
          <w:iCs/>
        </w:rPr>
        <w:t xml:space="preserve">Air and Space Law</w:t>
      </w:r>
      <w:r>
        <w:t xml:space="preserve">, </w:t>
      </w:r>
      <w:r>
        <w:rPr>
          <w:i/>
          <w:iCs/>
        </w:rPr>
        <w:t xml:space="preserve">49</w:t>
      </w:r>
      <w:r>
        <w:t xml:space="preserve">(1), 69-94. https://doi.org/10.54648/aila2024006</w:t>
      </w:r>
    </w:p>
    <w:p>
      <w:pPr>
        <w:spacing w:after="100" w:line="264"/>
        <w:ind w:left="567" w:hanging="567"/>
      </w:pPr>
      <w:r>
        <w:t xml:space="preserve">Semenova, G. (2026). taxation of IT technologies: Russian and foreign experience. </w:t>
      </w:r>
      <w:r>
        <w:rPr>
          <w:i/>
          <w:iCs/>
        </w:rPr>
        <w:t xml:space="preserve">Bulletin of the State University of Education. Series: Economics</w:t>
      </w:r>
      <w:r>
        <w:t xml:space="preserve">(2), 84-96. https://doi.org/10.18384/2949-5024-2026-2-84-96</w:t>
      </w:r>
    </w:p>
    <w:p>
      <w:pPr>
        <w:spacing w:after="100" w:line="264"/>
        <w:ind w:left="567" w:hanging="567"/>
      </w:pPr>
      <w:r>
        <w:t xml:space="preserve">Sharma, K. (2025). Harmonized Taxation of the Digital Economy Remains Elusive: Financial Data about US MNEs Speaks for Itself. </w:t>
      </w:r>
      <w:r>
        <w:rPr>
          <w:i/>
          <w:iCs/>
        </w:rPr>
        <w:t xml:space="preserve">Bulletin for International Taxation</w:t>
      </w:r>
      <w:r>
        <w:t xml:space="preserve">, </w:t>
      </w:r>
      <w:r>
        <w:rPr>
          <w:i/>
          <w:iCs/>
        </w:rPr>
        <w:t xml:space="preserve">79</w:t>
      </w:r>
      <w:r>
        <w:t xml:space="preserve">(5). https://doi.org/10.59403/37ezfx9</w:t>
      </w:r>
    </w:p>
    <w:p>
      <w:pPr>
        <w:spacing w:after="100" w:line="264"/>
        <w:ind w:left="567" w:hanging="567"/>
      </w:pPr>
      <w:r>
        <w:t xml:space="preserve">Shay, S. (2021). The Deceptive Allure of Taxing “Residual Profits”. </w:t>
      </w:r>
      <w:r>
        <w:rPr>
          <w:i/>
          <w:iCs/>
        </w:rPr>
        <w:t xml:space="preserve">Bulletin for International Taxation</w:t>
      </w:r>
      <w:r>
        <w:t xml:space="preserve">, </w:t>
      </w:r>
      <w:r>
        <w:rPr>
          <w:i/>
          <w:iCs/>
        </w:rPr>
        <w:t xml:space="preserve">75</w:t>
      </w:r>
      <w:r>
        <w:t xml:space="preserve">(11/12). https://doi.org/10.59403/2drvzjt</w:t>
      </w:r>
    </w:p>
    <w:p>
      <w:pPr>
        <w:spacing w:after="100" w:line="264"/>
        <w:ind w:left="567" w:hanging="567"/>
      </w:pPr>
      <w:r>
        <w:t xml:space="preserve">Shay, S. E. (2023). Trade enforcement tools and international taxation: a digital services tax case study. Dans </w:t>
      </w:r>
      <w:r>
        <w:rPr>
          <w:i/>
          <w:iCs/>
        </w:rPr>
        <w:t xml:space="preserve">The Elgar Companion to the World Trade Organization</w:t>
      </w:r>
      <w:r>
        <w:t xml:space="preserve"> (p. 535-550). Edward Elgar Publishing. https://doi.org/10.4337/9781800882867.00038</w:t>
      </w:r>
    </w:p>
    <w:p>
      <w:pPr>
        <w:spacing w:after="100" w:line="264"/>
        <w:ind w:left="567" w:hanging="567"/>
      </w:pPr>
      <w:r>
        <w:t xml:space="preserve">Sim, S. et Li, D. (2025). An Asian Perspective on Pillar One Amount A and Digital Service Taxes. </w:t>
      </w:r>
      <w:r>
        <w:rPr>
          <w:i/>
          <w:iCs/>
        </w:rPr>
        <w:t xml:space="preserve">Intertax</w:t>
      </w:r>
      <w:r>
        <w:t xml:space="preserve">, </w:t>
      </w:r>
      <w:r>
        <w:rPr>
          <w:i/>
          <w:iCs/>
        </w:rPr>
        <w:t xml:space="preserve">53</w:t>
      </w:r>
      <w:r>
        <w:t xml:space="preserve">(2), 205-217. https://doi.org/10.54648/taxi2025022</w:t>
      </w:r>
    </w:p>
    <w:p>
      <w:pPr>
        <w:spacing w:after="100" w:line="264"/>
        <w:ind w:left="567" w:hanging="567"/>
      </w:pPr>
      <w:r>
        <w:t xml:space="preserve">Singh, M. K. (2017). Taxation of Digital Economy: An Indian Perspective. </w:t>
      </w:r>
      <w:r>
        <w:rPr>
          <w:i/>
          <w:iCs/>
        </w:rPr>
        <w:t xml:space="preserve">Intertax</w:t>
      </w:r>
      <w:r>
        <w:t xml:space="preserve">, </w:t>
      </w:r>
      <w:r>
        <w:rPr>
          <w:i/>
          <w:iCs/>
        </w:rPr>
        <w:t xml:space="preserve">45</w:t>
      </w:r>
      <w:r>
        <w:t xml:space="preserve">(6/7), 467-481. https://doi.org/10.54648/taxi2017039</w:t>
      </w:r>
    </w:p>
    <w:p>
      <w:pPr>
        <w:spacing w:after="100" w:line="264"/>
        <w:ind w:left="567" w:hanging="567"/>
      </w:pPr>
      <w:r>
        <w:t xml:space="preserve">Sobodker, G. et Latulippe, L. (2026). US Retaliatory Tax Measures and International Tax. </w:t>
      </w:r>
      <w:r>
        <w:rPr>
          <w:i/>
          <w:iCs/>
        </w:rPr>
        <w:t xml:space="preserve">Canadian Tax Journal/Revue fiscale canadienne</w:t>
      </w:r>
      <w:r>
        <w:t xml:space="preserve">, </w:t>
      </w:r>
      <w:r>
        <w:rPr>
          <w:i/>
          <w:iCs/>
        </w:rPr>
        <w:t xml:space="preserve">74</w:t>
      </w:r>
      <w:r>
        <w:t xml:space="preserve">(3), 693-729. https://doi.org/10.32721/ctj.2026.74.3.sobodker</w:t>
      </w:r>
    </w:p>
    <w:p>
      <w:pPr>
        <w:spacing w:after="100" w:line="264"/>
        <w:ind w:left="567" w:hanging="567"/>
      </w:pPr>
      <w:r>
        <w:t xml:space="preserve">Spies, S. et van Heerden, L. (2018). Action 7 of the BEPS action plan and the permanent establishment status of non-resident online retailers in South Africa. </w:t>
      </w:r>
      <w:r>
        <w:rPr>
          <w:i/>
          <w:iCs/>
        </w:rPr>
        <w:t xml:space="preserve">South African Journal of Accounting Research</w:t>
      </w:r>
      <w:r>
        <w:t xml:space="preserve">, </w:t>
      </w:r>
      <w:r>
        <w:rPr>
          <w:i/>
          <w:iCs/>
        </w:rPr>
        <w:t xml:space="preserve">32</w:t>
      </w:r>
      <w:r>
        <w:t xml:space="preserve">(2-3), 225-245. https://doi.org/10.1080/10291954.2018.1537158</w:t>
      </w:r>
    </w:p>
    <w:p>
      <w:pPr>
        <w:spacing w:after="100" w:line="264"/>
        <w:ind w:left="567" w:hanging="567"/>
      </w:pPr>
      <w:r>
        <w:t xml:space="preserve">Spinosa, L. (2018). A Long-Term Solution for Taxing Digitalized Business Models: Should the Permanent Establishment Definition Be Modified to Resolve the Issue or Should the Focus Be on a Shared Taxing Rights Mechanism?. </w:t>
      </w:r>
      <w:r>
        <w:rPr>
          <w:i/>
          <w:iCs/>
        </w:rPr>
        <w:t xml:space="preserve">Intertax</w:t>
      </w:r>
      <w:r>
        <w:t xml:space="preserve">, </w:t>
      </w:r>
      <w:r>
        <w:rPr>
          <w:i/>
          <w:iCs/>
        </w:rPr>
        <w:t xml:space="preserve">46</w:t>
      </w:r>
      <w:r>
        <w:t xml:space="preserve">(6/7), 476-494. https://doi.org/10.54648/taxi2018052</w:t>
      </w:r>
    </w:p>
    <w:p>
      <w:pPr>
        <w:spacing w:after="100" w:line="264"/>
        <w:ind w:left="567" w:hanging="567"/>
      </w:pPr>
      <w:r>
        <w:t xml:space="preserve">Starkov, V. et Jin, A. (2023). Amount A vs Article 12B: One Size May Not Fit All. </w:t>
      </w:r>
      <w:r>
        <w:rPr>
          <w:i/>
          <w:iCs/>
        </w:rPr>
        <w:t xml:space="preserve">International Tax Studies</w:t>
      </w:r>
      <w:r>
        <w:t xml:space="preserve">, </w:t>
      </w:r>
      <w:r>
        <w:rPr>
          <w:i/>
          <w:iCs/>
        </w:rPr>
        <w:t xml:space="preserve">6</w:t>
      </w:r>
      <w:r>
        <w:t xml:space="preserve">(4). https://doi.org/10.59403/3qephqs</w:t>
      </w:r>
    </w:p>
    <w:p>
      <w:pPr>
        <w:spacing w:after="100" w:line="264"/>
        <w:ind w:left="567" w:hanging="567"/>
      </w:pPr>
      <w:r>
        <w:t xml:space="preserve">Strachey, A. (2024). The Subject-to-Tax Rule in East Africa: Is it Worth it?. </w:t>
      </w:r>
      <w:r>
        <w:rPr>
          <w:i/>
          <w:iCs/>
        </w:rPr>
        <w:t xml:space="preserve">World Tax Journal</w:t>
      </w:r>
      <w:r>
        <w:t xml:space="preserve">, </w:t>
      </w:r>
      <w:r>
        <w:rPr>
          <w:i/>
          <w:iCs/>
        </w:rPr>
        <w:t xml:space="preserve">17</w:t>
      </w:r>
      <w:r>
        <w:t xml:space="preserve">(1). https://doi.org/10.59403/3qfbqxf</w:t>
      </w:r>
    </w:p>
    <w:p>
      <w:pPr>
        <w:spacing w:after="100" w:line="264"/>
        <w:ind w:left="567" w:hanging="567"/>
      </w:pPr>
      <w:r>
        <w:t xml:space="preserve">Sugeng, Aidy, W. R. et Jr., A. C. (2025). Digital Taxation on Over-The-Top Services: A Comparative Study of Regulations in Indonesia and the ASEAN Region. </w:t>
      </w:r>
      <w:r>
        <w:rPr>
          <w:i/>
          <w:iCs/>
        </w:rPr>
        <w:t xml:space="preserve">Media Iuris</w:t>
      </w:r>
      <w:r>
        <w:t xml:space="preserve">, </w:t>
      </w:r>
      <w:r>
        <w:rPr>
          <w:i/>
          <w:iCs/>
        </w:rPr>
        <w:t xml:space="preserve">8</w:t>
      </w:r>
      <w:r>
        <w:t xml:space="preserve">(2), 331-370. https://doi.org/10.20473/mi.v8i2.71267</w:t>
      </w:r>
    </w:p>
    <w:p>
      <w:pPr>
        <w:spacing w:after="100" w:line="264"/>
        <w:ind w:left="567" w:hanging="567"/>
      </w:pPr>
      <w:r>
        <w:t xml:space="preserve">Sutich, M. T. et Centore, P. (2014). Taxation and Digital Economy: Europe Is Ready. </w:t>
      </w:r>
      <w:r>
        <w:rPr>
          <w:i/>
          <w:iCs/>
        </w:rPr>
        <w:t xml:space="preserve">Intertax</w:t>
      </w:r>
      <w:r>
        <w:t xml:space="preserve">, </w:t>
      </w:r>
      <w:r>
        <w:rPr>
          <w:i/>
          <w:iCs/>
        </w:rPr>
        <w:t xml:space="preserve">42</w:t>
      </w:r>
      <w:r>
        <w:t xml:space="preserve">(12), 784-787. https://doi.org/10.54648/taxi2014070</w:t>
      </w:r>
    </w:p>
    <w:p>
      <w:pPr>
        <w:spacing w:after="100" w:line="264"/>
        <w:ind w:left="567" w:hanging="567"/>
      </w:pPr>
      <w:r>
        <w:t xml:space="preserve">Sykes, A. O. (2020). Introduction to the Symposium on Ruth Mason, “The Transformation of International Tax”. </w:t>
      </w:r>
      <w:r>
        <w:rPr>
          <w:i/>
          <w:iCs/>
        </w:rPr>
        <w:t xml:space="preserve">AJIL Unbound</w:t>
      </w:r>
      <w:r>
        <w:t xml:space="preserve">, </w:t>
      </w:r>
      <w:r>
        <w:rPr>
          <w:i/>
          <w:iCs/>
        </w:rPr>
        <w:t xml:space="preserve">114</w:t>
      </w:r>
      <w:r>
        <w:t xml:space="preserve">, 252-254. https://doi.org/10.1017/aju.2020.50</w:t>
      </w:r>
    </w:p>
    <w:p>
      <w:pPr>
        <w:spacing w:after="100" w:line="264"/>
        <w:ind w:left="567" w:hanging="567"/>
      </w:pPr>
      <w:r>
        <w:t xml:space="preserve">Tandon, S. (2022). Assessing the Impact of Pillar Two on Developing Countries. </w:t>
      </w:r>
      <w:r>
        <w:rPr>
          <w:i/>
          <w:iCs/>
        </w:rPr>
        <w:t xml:space="preserve">Intertax</w:t>
      </w:r>
      <w:r>
        <w:t xml:space="preserve">, </w:t>
      </w:r>
      <w:r>
        <w:rPr>
          <w:i/>
          <w:iCs/>
        </w:rPr>
        <w:t xml:space="preserve">50</w:t>
      </w:r>
      <w:r>
        <w:t xml:space="preserve">(12), 923-935. https://doi.org/10.54648/taxi2022094</w:t>
      </w:r>
    </w:p>
    <w:p>
      <w:pPr>
        <w:spacing w:after="100" w:line="264"/>
        <w:ind w:left="567" w:hanging="567"/>
      </w:pPr>
      <w:r>
        <w:t xml:space="preserve">Tao, Z. (2024). Is There Any Consensus about Market Jurisdiction among Pillar One Participating Jurisdictions? – Comparing Source Rules for Taxing Online Advertising Services. </w:t>
      </w:r>
      <w:r>
        <w:rPr>
          <w:i/>
          <w:iCs/>
        </w:rPr>
        <w:t xml:space="preserve">Bulletin for International Taxation</w:t>
      </w:r>
      <w:r>
        <w:t xml:space="preserve">, </w:t>
      </w:r>
      <w:r>
        <w:rPr>
          <w:i/>
          <w:iCs/>
        </w:rPr>
        <w:t xml:space="preserve">78</w:t>
      </w:r>
      <w:r>
        <w:t xml:space="preserve">(12). https://doi.org/10.59403/m21tm7</w:t>
      </w:r>
    </w:p>
    <w:p>
      <w:pPr>
        <w:spacing w:after="100" w:line="264"/>
        <w:ind w:left="567" w:hanging="567"/>
      </w:pPr>
      <w:r>
        <w:t xml:space="preserve">Tham, T. et Sim, A. (2025). Securing Investment Competitiveness: Singapore’s Strategic Incentive Enhancements amid Base Erosion and Profit Shifting 2.0. </w:t>
      </w:r>
      <w:r>
        <w:rPr>
          <w:i/>
          <w:iCs/>
        </w:rPr>
        <w:t xml:space="preserve">International Transfer Pricing Journal</w:t>
      </w:r>
      <w:r>
        <w:t xml:space="preserve">, </w:t>
      </w:r>
      <w:r>
        <w:rPr>
          <w:i/>
          <w:iCs/>
        </w:rPr>
        <w:t xml:space="preserve">32</w:t>
      </w:r>
      <w:r>
        <w:t xml:space="preserve">(2). https://doi.org/10.59403/30sywvp</w:t>
      </w:r>
    </w:p>
    <w:p>
      <w:pPr>
        <w:spacing w:after="100" w:line="264"/>
        <w:ind w:left="567" w:hanging="567"/>
      </w:pPr>
      <w:r>
        <w:t xml:space="preserve">The United States and the OECD/G20 Inclusive Framework Agree on a “Side-by-Side” Arrangement Exempting U.S. Multinationals from the Global Minimum Tax Regime. (2026). </w:t>
      </w:r>
      <w:r>
        <w:rPr>
          <w:i/>
          <w:iCs/>
        </w:rPr>
        <w:t xml:space="preserve">American Journal of International Law</w:t>
      </w:r>
      <w:r>
        <w:t xml:space="preserve">, </w:t>
      </w:r>
      <w:r>
        <w:rPr>
          <w:i/>
          <w:iCs/>
        </w:rPr>
        <w:t xml:space="preserve">120</w:t>
      </w:r>
      <w:r>
        <w:t xml:space="preserve">(3), 570-574. https://doi.org/10.1017/ajil.2026.10172</w:t>
      </w:r>
    </w:p>
    <w:p>
      <w:pPr>
        <w:spacing w:after="100" w:line="264"/>
        <w:ind w:left="567" w:hanging="567"/>
      </w:pPr>
      <w:r>
        <w:t xml:space="preserve">Titus, A. (2022a). Global Minimum Corporate Tax: A Death Knell For African Country Tax Policies?. </w:t>
      </w:r>
      <w:r>
        <w:rPr>
          <w:i/>
          <w:iCs/>
        </w:rPr>
        <w:t xml:space="preserve">Intertax</w:t>
      </w:r>
      <w:r>
        <w:t xml:space="preserve">, </w:t>
      </w:r>
      <w:r>
        <w:rPr>
          <w:i/>
          <w:iCs/>
        </w:rPr>
        <w:t xml:space="preserve">50</w:t>
      </w:r>
      <w:r>
        <w:t xml:space="preserve">(5), 414-423. https://doi.org/10.54648/taxi2022038</w:t>
      </w:r>
    </w:p>
    <w:p>
      <w:pPr>
        <w:spacing w:after="100" w:line="264"/>
        <w:ind w:left="567" w:hanging="567"/>
      </w:pPr>
      <w:r>
        <w:t xml:space="preserve">Titus, A. (2022b). Pillar Two and African Countries: What Should Their Response Be? The Case for a Regional One. </w:t>
      </w:r>
      <w:r>
        <w:rPr>
          <w:i/>
          <w:iCs/>
        </w:rPr>
        <w:t xml:space="preserve">Intertax</w:t>
      </w:r>
      <w:r>
        <w:t xml:space="preserve">, </w:t>
      </w:r>
      <w:r>
        <w:rPr>
          <w:i/>
          <w:iCs/>
        </w:rPr>
        <w:t xml:space="preserve">50</w:t>
      </w:r>
      <w:r>
        <w:t xml:space="preserve">(10), 711-720. https://doi.org/10.54648/taxi2022069</w:t>
      </w:r>
    </w:p>
    <w:p>
      <w:pPr>
        <w:spacing w:after="100" w:line="264"/>
        <w:ind w:left="567" w:hanging="567"/>
      </w:pPr>
      <w:r>
        <w:t xml:space="preserve">Tomassini, A. et De Rosa, M. (2023). Uncertainties Hold Back Achievement of OECD Pillar II Goals. </w:t>
      </w:r>
      <w:r>
        <w:rPr>
          <w:i/>
          <w:iCs/>
        </w:rPr>
        <w:t xml:space="preserve">Intertax</w:t>
      </w:r>
      <w:r>
        <w:t xml:space="preserve">, </w:t>
      </w:r>
      <w:r>
        <w:rPr>
          <w:i/>
          <w:iCs/>
        </w:rPr>
        <w:t xml:space="preserve">51</w:t>
      </w:r>
      <w:r>
        <w:t xml:space="preserve">(2), 183-190. https://doi.org/10.54648/taxi2023014</w:t>
      </w:r>
    </w:p>
    <w:p>
      <w:pPr>
        <w:spacing w:after="100" w:line="264"/>
        <w:ind w:left="567" w:hanging="567"/>
      </w:pPr>
      <w:r>
        <w:t xml:space="preserve">Tørsløv, T., Wier, L. et Zucman, G. (2023). The missing profits of nations. </w:t>
      </w:r>
      <w:r>
        <w:rPr>
          <w:i/>
          <w:iCs/>
        </w:rPr>
        <w:t xml:space="preserve">The Review of Economic Studies</w:t>
      </w:r>
      <w:r>
        <w:t xml:space="preserve">, </w:t>
      </w:r>
      <w:r>
        <w:rPr>
          <w:i/>
          <w:iCs/>
        </w:rPr>
        <w:t xml:space="preserve">90</w:t>
      </w:r>
      <w:r>
        <w:t xml:space="preserve">(3), 1499-1534. https://doi.org/10.1093/restud/rdac049</w:t>
      </w:r>
    </w:p>
    <w:p>
      <w:pPr>
        <w:spacing w:after="100" w:line="264"/>
        <w:ind w:left="567" w:hanging="567"/>
      </w:pPr>
      <w:r>
        <w:t xml:space="preserve">Usman, A., Jibril, B. I. et Mohammed, S. (2025). The Impact of Value-Added Tax (VAT) Expenditure on VAT Effort and the VAT Compliance Gap in Nigeria. </w:t>
      </w:r>
      <w:r>
        <w:rPr>
          <w:i/>
          <w:iCs/>
        </w:rPr>
        <w:t xml:space="preserve">African Multidisciplinary Tax Journal</w:t>
      </w:r>
      <w:r>
        <w:t xml:space="preserve">, </w:t>
      </w:r>
      <w:r>
        <w:rPr>
          <w:i/>
          <w:iCs/>
        </w:rPr>
        <w:t xml:space="preserve">5</w:t>
      </w:r>
      <w:r>
        <w:t xml:space="preserve">, 151-177. https://doi.org/10.47348/amtj/v4/i1a7</w:t>
      </w:r>
    </w:p>
    <w:p>
      <w:pPr>
        <w:spacing w:after="100" w:line="264"/>
        <w:ind w:left="567" w:hanging="567"/>
      </w:pPr>
      <w:r>
        <w:t xml:space="preserve">van 't Riet, M. et Lejour, A. (2025). Developing Countries, tax Treaty Shopping and the Global Minimum Tax. </w:t>
      </w:r>
      <w:r>
        <w:rPr>
          <w:i/>
          <w:iCs/>
        </w:rPr>
        <w:t xml:space="preserve">Public Finance Review</w:t>
      </w:r>
      <w:r>
        <w:t xml:space="preserve">, </w:t>
      </w:r>
      <w:r>
        <w:rPr>
          <w:i/>
          <w:iCs/>
        </w:rPr>
        <w:t xml:space="preserve">53</w:t>
      </w:r>
      <w:r>
        <w:t xml:space="preserve">(6), 671-732. https://doi.org/10.1177/10911421251334849</w:t>
      </w:r>
    </w:p>
    <w:p>
      <w:pPr>
        <w:spacing w:after="100" w:line="264"/>
        <w:ind w:left="567" w:hanging="567"/>
      </w:pPr>
      <w:r>
        <w:t xml:space="preserve">van Dam, H., Kiès, C., Klethi, P.-A., Kroon, S. V. D., Kunen, J.-W. et Silva, B. D. (2021). Taxing the Digitalized Economy: Key Takeaways from the OECD Public Consultation on the Pillar One and Pillar Two Blueprints. </w:t>
      </w:r>
      <w:r>
        <w:rPr>
          <w:i/>
          <w:iCs/>
        </w:rPr>
        <w:t xml:space="preserve">International Transfer Pricing Journal</w:t>
      </w:r>
      <w:r>
        <w:t xml:space="preserve">, </w:t>
      </w:r>
      <w:r>
        <w:rPr>
          <w:i/>
          <w:iCs/>
        </w:rPr>
        <w:t xml:space="preserve">28</w:t>
      </w:r>
      <w:r>
        <w:t xml:space="preserve">(3). https://doi.org/10.59403/2k7c0zx</w:t>
      </w:r>
    </w:p>
    <w:p>
      <w:pPr>
        <w:spacing w:after="100" w:line="264"/>
        <w:ind w:left="567" w:hanging="567"/>
      </w:pPr>
      <w:r>
        <w:t xml:space="preserve">Wagenaar, L. (2015). The Effect of the OECD Base Erosion and Profit Shifting Action Plan on Developing Countries. </w:t>
      </w:r>
      <w:r>
        <w:rPr>
          <w:i/>
          <w:iCs/>
        </w:rPr>
        <w:t xml:space="preserve">Bulletin for International Taxation</w:t>
      </w:r>
      <w:r>
        <w:t xml:space="preserve">, </w:t>
      </w:r>
      <w:r>
        <w:rPr>
          <w:i/>
          <w:iCs/>
        </w:rPr>
        <w:t xml:space="preserve">69</w:t>
      </w:r>
      <w:r>
        <w:t xml:space="preserve">(2). https://doi.org/10.59403/29anss6</w:t>
      </w:r>
    </w:p>
    <w:p>
      <w:pPr>
        <w:spacing w:after="100" w:line="264"/>
        <w:ind w:left="567" w:hanging="567"/>
      </w:pPr>
      <w:r>
        <w:t xml:space="preserve">Yoo, J. (2026). Global Anti-Base Erosion Rules and Location Choices of Multinational Corporations. </w:t>
      </w:r>
      <w:r>
        <w:rPr>
          <w:i/>
          <w:iCs/>
        </w:rPr>
        <w:t xml:space="preserve">Sage Open</w:t>
      </w:r>
      <w:r>
        <w:t xml:space="preserve">, </w:t>
      </w:r>
      <w:r>
        <w:rPr>
          <w:i/>
          <w:iCs/>
        </w:rPr>
        <w:t xml:space="preserve">16</w:t>
      </w:r>
      <w:r>
        <w:t xml:space="preserve">(3). https://doi.org/10.1177/21582440261481231</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Chapitre 1 – Revue systématique et état de l'art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1" w:hanging="284"/>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00" w:before="6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200" w:before="4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40" w:before="28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keepNext/>
      <w:spacing w:after="100" w:before="20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19f3657849dd37a0ebda937f4f4b10397e9409.png"/><Relationship Id="rId10" Type="http://schemas.openxmlformats.org/officeDocument/2006/relationships/image" Target="media/0306083cb7a0f6d4d4cf6029e73e1b56dcbbf1b8.png"/><Relationship Id="rId11" Type="http://schemas.openxmlformats.org/officeDocument/2006/relationships/image" Target="media/3ec2380a8c7d5db5792b5073060569b5763a0eb5.png"/><Relationship Id="rId12" Type="http://schemas.openxmlformats.org/officeDocument/2006/relationships/image" Target="media/42c7d37a3ff7e668d12100f781677a1bc20fe8c1.png"/><Relationship Id="rId13" Type="http://schemas.openxmlformats.org/officeDocument/2006/relationships/image" Target="media/c24018de6cb7d6f3dea9f05fef6a72a065a12cd4.png"/><Relationship Id="rId14" Type="http://schemas.openxmlformats.org/officeDocument/2006/relationships/image" Target="media/f2aa2a57e8479f7babf306591e7874abecf414f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 – Revue systématique et état de l'art</dc:title>
  <dc:creator>Doctorant</dc:creator>
  <cp:lastModifiedBy>Un-named</cp:lastModifiedBy>
  <cp:revision>1</cp:revision>
  <dcterms:created xsi:type="dcterms:W3CDTF">2026-10-23T10:34:33.369Z</dcterms:created>
  <dcterms:modified xsi:type="dcterms:W3CDTF">2026-10-23T10:34:33.369Z</dcterms:modified>
</cp:coreProperties>
</file>

<file path=docProps/custom.xml><?xml version="1.0" encoding="utf-8"?>
<Properties xmlns="http://schemas.openxmlformats.org/officeDocument/2006/custom-properties" xmlns:vt="http://schemas.openxmlformats.org/officeDocument/2006/docPropsVTypes"/>
</file>