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20"/>
        <w:jc w:val="center"/>
      </w:pPr>
      <w:r>
        <w:rPr>
          <w:i/>
          <w:iCs/>
          <w:sz w:val="24"/>
          <w:szCs w:val="24"/>
        </w:rPr>
        <w:t xml:space="preserve">Thèse de doctorat</w:t>
      </w:r>
    </w:p>
    <w:p>
      <w:pPr>
        <w:spacing w:after="600"/>
      </w:pPr>
    </w:p>
    <w:p>
      <w:pPr>
        <w:spacing w:after="120"/>
        <w:jc w:val="center"/>
      </w:pPr>
      <w:r>
        <w:rPr>
          <w:b/>
          <w:bCs/>
          <w:sz w:val="32"/>
          <w:szCs w:val="32"/>
        </w:rPr>
        <w:t xml:space="preserve">PROTOCOLE DE REVUE SYSTÉMATIQUE DE LA LITTÉRATURE</w:t>
      </w:r>
    </w:p>
    <w:p>
      <w:pPr>
        <w:spacing w:after="120"/>
        <w:jc w:val="center"/>
      </w:pPr>
      <w:r>
        <w:rPr>
          <w:sz w:val="24"/>
          <w:szCs w:val="24"/>
        </w:rPr>
        <w:t xml:space="preserve">établi conformément aux lignes directrices PRISMA 2020 et PRISMA-P</w:t>
      </w:r>
    </w:p>
    <w:p>
      <w:pPr>
        <w:spacing w:after="600"/>
      </w:pPr>
    </w:p>
    <w:p>
      <w:pPr>
        <w:spacing w:after="120" w:line="360"/>
        <w:ind w:left="567" w:right="567"/>
        <w:jc w:val="center"/>
      </w:pPr>
      <w:r>
        <w:rPr>
          <w:i/>
          <w:iCs/>
          <w:sz w:val="26"/>
          <w:szCs w:val="26"/>
        </w:rPr>
        <w:t xml:space="preserve">« La fiscalité numérique à l'aune de l'harmonisation internationale et son impact sur la compétitivité des entreprises : le cas du Maroc »</w:t>
      </w:r>
    </w:p>
    <w:p>
      <w:pPr>
        <w:spacing w:after="1800"/>
      </w:pPr>
    </w:p>
    <w:p>
      <w:pPr>
        <w:spacing w:after="120"/>
        <w:jc w:val="center"/>
      </w:pPr>
      <w:r>
        <w:rPr>
          <w:sz w:val="22"/>
          <w:szCs w:val="22"/>
        </w:rPr>
        <w:t xml:space="preserve">Document de travail soumis à la validation du directeur de thèse</w:t>
      </w:r>
    </w:p>
    <w:p>
      <w:pPr>
        <w:spacing w:after="120"/>
        <w:jc w:val="center"/>
      </w:pPr>
      <w:r>
        <w:rPr>
          <w:sz w:val="22"/>
          <w:szCs w:val="22"/>
        </w:rPr>
        <w:t xml:space="preserve">Version 1.0 — 23 octobre 2026</w:t>
      </w:r>
    </w:p>
    <w:p>
      <w:r>
        <w:br w:type="page"/>
      </w:r>
    </w:p>
    <w:p>
      <w:pPr>
        <w:pStyle w:val="Heading1"/>
      </w:pPr>
      <w:r>
        <w:t xml:space="preserve">Avant-propos</w:t>
      </w:r>
    </w:p>
    <w:p>
      <w:pPr>
        <w:spacing w:after="120" w:line="360"/>
        <w:ind w:firstLine="567"/>
        <w:jc w:val="both"/>
      </w:pPr>
      <w:r>
        <w:t xml:space="preserve">Le présent document fixe, avant toute collecte, les règles qui gouverneront la revue systématique de la littérature menée dans le cadre de la thèse. Rédiger le protocole en amont n'est pas une formalité : c'est ce qui distingue une revue systématique d'une revue narrative. En arrêtant à l'avance les questions, les sources, les équations de recherche et les critères de sélection, on s'interdit de choisir </w:t>
      </w:r>
      <w:r>
        <w:rPr>
          <w:i/>
          <w:iCs/>
        </w:rPr>
        <w:t xml:space="preserve">a posteriori</w:t>
      </w:r>
      <w:r>
        <w:t xml:space="preserve"> les travaux qui confortent une intuition, et l'on rend la démarche reproductible par tout lecteur, à commencer par les membres du jury.</w:t>
      </w:r>
    </w:p>
    <w:p>
      <w:pPr>
        <w:spacing w:after="120" w:line="360"/>
        <w:ind w:firstLine="567"/>
        <w:jc w:val="both"/>
      </w:pPr>
      <w:r>
        <w:t xml:space="preserve">Le protocole suit les éléments de la déclaration PRISMA-P (Moher et al., 2015), pour la planification, et prépare un compte rendu conforme à PRISMA 2020 (Page et al., 2021) ainsi qu'à son extension PRISMA-S consacrée à la documentation des recherches documentaires (Rethlefsen et al., 2021). Ces lignes directrices ont été conçues dans les sciences de la santé ; leur transposition aux sciences de gestion et aux sciences juridiques, déjà largement pratiquée depuis les travaux de Tranfield, Denyer et Smart (2003), impose quelques adaptations qui sont signalées et justifiées au fil du texte.</w:t>
      </w:r>
    </w:p>
    <w:p>
      <w:pPr>
        <w:pStyle w:val="Heading1"/>
      </w:pPr>
      <w:r>
        <w:t xml:space="preserve">1. Contexte et justification de la revue</w:t>
      </w:r>
    </w:p>
    <w:p>
      <w:pPr>
        <w:pStyle w:val="Heading2"/>
      </w:pPr>
      <w:r>
        <w:t xml:space="preserve">1.1. Le problème de recherche</w:t>
      </w:r>
    </w:p>
    <w:p>
      <w:pPr>
        <w:spacing w:after="120" w:line="360"/>
        <w:ind w:firstLine="567"/>
        <w:jc w:val="both"/>
      </w:pPr>
      <w:r>
        <w:t xml:space="preserve">Les règles de la fiscalité internationale des entreprises ont été conçues au début du XXᵉ siècle autour d'un critère de rattachement physique : un État ne peut imposer les bénéfices d'une entreprise étrangère que si celle-ci dispose sur son territoire d'un établissement stable. La numérisation de l'économie a rendu ce critère largement inopérant. Une entreprise peut désormais réaliser un chiffre d'affaires considérable dans un pays sans y posséder la moindre installation, tandis que la valeur qu'elle produit repose sur des actifs incorporels aisément localisables là où la fiscalité est la plus clémente.</w:t>
      </w:r>
    </w:p>
    <w:p>
      <w:pPr>
        <w:spacing w:after="120" w:line="360"/>
        <w:ind w:firstLine="567"/>
        <w:jc w:val="both"/>
      </w:pPr>
      <w:r>
        <w:t xml:space="preserve">La réponse de la communauté internationale s'est construite en plusieurs temps. Le projet BEPS de l'OCDE et du G20, lancé en 2013, a consacré son Action 1 aux défis fiscaux de l'économie numérique (OCDE, 2015). Faute de consensus rapide, plusieurs États ont adopté des mesures unilatérales, au premier rang desquelles les taxes sur les services numériques. Les négociations ont ensuite débouché sur la solution dite à deux piliers, approuvée par le Cadre inclusif OCDE/G20 en octobre 2021 (OCDE, 2021a) : le premier pilier redistribue une partie du droit d'imposer les bénéfices des plus grands groupes vers les juridictions de marché, le second instaure un impôt minimum effectif de 15 % pour les groupes dont le chiffre d'affaires consolidé atteint 750 millions d'euros (OCDE, 2021b). En parallèle, les Nations unies ont proposé une approche concurrente, plus favorable aux pays en développement, à travers l'article 12B de leur modèle de convention.</w:t>
      </w:r>
    </w:p>
    <w:p>
      <w:pPr>
        <w:spacing w:after="120" w:line="360"/>
        <w:ind w:firstLine="567"/>
        <w:jc w:val="both"/>
      </w:pPr>
      <w:r>
        <w:t xml:space="preserve">Pour un pays comme le Maroc, membre du Cadre inclusif, ces évolutions ont une portée double. D'une part, elles modifient la capacité de l'État à imposer les entreprises numériques étrangères qui servent le marché marocain ; l'extension de la TVA aux services numériques fournis par des prestataires non résidents, introduite par la loi de finances pour 2024, en est une illustration. D'autre part, l'impôt minimum mondial réduit l'intérêt des incitations fiscales sur lesquelles reposait une partie de l'attractivité du territoire, au moment même où la loi-cadre n° 69-19 portant réforme fiscale (2021) engage une convergence progressive des taux de l'impôt sur les sociétés. Les choix que l'État opère pour s'adapter à ces normes se répercutent ensuite sur la compétitivité des entreprises installées au Maroc.</w:t>
      </w:r>
    </w:p>
    <w:p>
      <w:pPr>
        <w:pStyle w:val="Heading2"/>
      </w:pPr>
      <w:r>
        <w:t xml:space="preserve">1.2. Pourquoi une revue systématique</w:t>
      </w:r>
    </w:p>
    <w:p>
      <w:pPr>
        <w:spacing w:after="120" w:line="360"/>
        <w:ind w:firstLine="567"/>
        <w:jc w:val="both"/>
      </w:pPr>
      <w:r>
        <w:t xml:space="preserve">La littérature sur la fiscalité de l'économie numérique est abondante, mais dispersée entre le droit fiscal international, l'économie publique, la comptabilité et les sciences de gestion. Elle est aussi très inégalement répartie : les travaux portant sur les États membres de l'OCDE et de l'Union européenne dominent, tandis que la situation des pays à revenu intermédiaire, et du Maroc en particulier, reste peu documentée. Une revue narrative classique risquerait de reproduire ce déséquilibre sans le mesurer. La revue systématique permet au contraire de cartographier l'ensemble de la production scientifique, d'en quantifier les zones d'ombre et de fonder sur des éléments vérifiables la lacune de recherche que la thèse entend combler (Snyder, 2019).</w:t>
      </w:r>
    </w:p>
    <w:p>
      <w:pPr>
        <w:pStyle w:val="Heading2"/>
      </w:pPr>
      <w:r>
        <w:t xml:space="preserve">1.3. Place de la revue dans l'économie de la thèse</w:t>
      </w:r>
    </w:p>
    <w:p>
      <w:pPr>
        <w:spacing w:after="120" w:line="360"/>
        <w:ind w:firstLine="567"/>
        <w:jc w:val="both"/>
      </w:pPr>
      <w:r>
        <w:t xml:space="preserve">La revue systématique remplit deux fonctions distinctes. Elle constitue d'abord un chapitre méthodologique à part entière, qui rend compte de la manière dont le corpus a été constitué. Elle fournit ensuite la matière de l'état de l'art, rédigé de façon thématique à partir des seules publications retenues. Les textes normatifs et institutionnels (rapports de l'OCDE, directives européennes, lois de finances marocaines, circulaires de la Direction générale des impôts) ne relèvent pas du corpus systématique : ils forment un corpus documentaire de contexte, mobilisé pour décrire le droit positif, mais qui n'est pas soumis au processus de sélection décrit ci-après (voir section 3.3).</w:t>
      </w:r>
    </w:p>
    <w:p>
      <w:pPr>
        <w:pStyle w:val="Heading1"/>
      </w:pPr>
      <w:r>
        <w:t xml:space="preserve">2. Objectifs et questions de recherche</w:t>
      </w:r>
    </w:p>
    <w:p>
      <w:pPr>
        <w:pStyle w:val="Heading2"/>
      </w:pPr>
      <w:r>
        <w:t xml:space="preserve">2.1. Le cadre d'analyse : une chaîne de transmission</w:t>
      </w:r>
    </w:p>
    <w:p>
      <w:pPr>
        <w:spacing w:after="120" w:line="360"/>
        <w:ind w:firstLine="567"/>
        <w:jc w:val="both"/>
      </w:pPr>
      <w:r>
        <w:t xml:space="preserve">La thèse adopte une lecture en trois maillons. Au premier niveau se trouvent les normes internationales d'harmonisation (BEPS, solution à deux piliers, approche des Nations unies, droit de l'Union européenne). Au deuxième niveau, l'État marocain reçoit ces normes et les traduit par des choix de politique fiscale qui affectent son attractivité, c'est-à-dire sa compétitivité fiscale en tant que territoire d'accueil des investissements. Au troisième niveau, ces choix agissent sur la compétitivité des entreprises, appréhendée à travers leur charge fiscale effective, leurs coûts de mise en conformité, leurs décisions d'investissement et leur position concurrentielle face aux grandes plateformes étrangères.</w:t>
      </w:r>
    </w:p>
    <w:p>
      <w:pPr>
        <w:spacing w:after="120" w:line="360"/>
        <w:ind w:firstLine="567"/>
        <w:jc w:val="both"/>
      </w:pPr>
      <w:r>
        <w:t xml:space="preserve">La notion de compétitivité est donc entendue dans un double sens, celui de l'État et celui de l'entreprise, et c'est l'articulation entre les deux qui constitue l'objet propre de la recherche. La revue systématique est construite pour couvrir chacun des trois maillons ainsi que les liens qui les unissent.</w:t>
      </w:r>
    </w:p>
    <w:p>
      <w:pPr>
        <w:pStyle w:val="Heading2"/>
      </w:pPr>
      <w:r>
        <w:t xml:space="preserve">2.2. Questions de recherche</w:t>
      </w:r>
    </w:p>
    <w:p>
      <w:pPr>
        <w:spacing w:after="120" w:line="360"/>
        <w:ind w:firstLine="0"/>
        <w:jc w:val="both"/>
      </w:pPr>
      <w:r>
        <w:t xml:space="preserve">La revue cherche à répondre à une question principale :</w:t>
      </w:r>
    </w:p>
    <w:p>
      <w:pPr>
        <w:spacing w:after="120" w:line="360"/>
        <w:ind w:left="567" w:right="567"/>
        <w:jc w:val="both"/>
      </w:pPr>
      <w:r>
        <w:rPr>
          <w:i/>
          <w:iCs/>
        </w:rPr>
        <w:t xml:space="preserve">Que nous apprend la littérature scientifique sur les effets de l'harmonisation internationale de la fiscalité de l'économie numérique sur la compétitivité fiscale des États et sur la compétitivité des entreprises, et dans quelle mesure ces enseignements sont-ils transposables au cas du Maroc ?</w:t>
      </w:r>
    </w:p>
    <w:p>
      <w:pPr>
        <w:spacing w:after="120" w:line="360"/>
        <w:ind w:firstLine="0"/>
        <w:jc w:val="both"/>
      </w:pPr>
      <w:r>
        <w:t xml:space="preserve">Elle se décline en quatre questions secondaires :</w:t>
      </w:r>
    </w:p>
    <w:p>
      <w:pPr>
        <w:pStyle w:val="ListParagraph"/>
        <w:numPr>
          <w:ilvl w:val="0"/>
          <w:numId w:val="2"/>
        </w:numPr>
        <w:spacing w:after="80" w:line="360"/>
        <w:jc w:val="both"/>
      </w:pPr>
      <w:r>
        <w:rPr>
          <w:b/>
          <w:bCs/>
        </w:rPr>
        <w:t xml:space="preserve">QR1.</w:t>
      </w:r>
      <w:r>
        <w:t xml:space="preserve"> Quels mécanismes d'harmonisation de la fiscalité numérique la littérature identifie-t-elle, et comment en évalue-t-elle la cohérence et l'efficacité ?</w:t>
      </w:r>
    </w:p>
    <w:p>
      <w:pPr>
        <w:pStyle w:val="ListParagraph"/>
        <w:numPr>
          <w:ilvl w:val="0"/>
          <w:numId w:val="2"/>
        </w:numPr>
        <w:spacing w:after="80" w:line="360"/>
        <w:jc w:val="both"/>
      </w:pPr>
      <w:r>
        <w:rPr>
          <w:b/>
          <w:bCs/>
        </w:rPr>
        <w:t xml:space="preserve">QR2.</w:t>
      </w:r>
      <w:r>
        <w:t xml:space="preserve"> Comment ces mécanismes modifient-ils la marge de manœuvre des États en matière d'attractivité fiscale, en particulier celle des pays en développement et des pays importateurs de services numériques ?</w:t>
      </w:r>
    </w:p>
    <w:p>
      <w:pPr>
        <w:pStyle w:val="ListParagraph"/>
        <w:numPr>
          <w:ilvl w:val="0"/>
          <w:numId w:val="2"/>
        </w:numPr>
        <w:spacing w:after="80" w:line="360"/>
        <w:jc w:val="both"/>
      </w:pPr>
      <w:r>
        <w:rPr>
          <w:b/>
          <w:bCs/>
        </w:rPr>
        <w:t xml:space="preserve">QR3.</w:t>
      </w:r>
      <w:r>
        <w:t xml:space="preserve"> Quels effets la littérature met-elle en évidence sur la compétitivité des entreprises, qu'il s'agisse de groupes multinationaux, d'entreprises numériques ou d'entreprises locales concurrencées par celles-ci ?</w:t>
      </w:r>
    </w:p>
    <w:p>
      <w:pPr>
        <w:pStyle w:val="ListParagraph"/>
        <w:numPr>
          <w:ilvl w:val="0"/>
          <w:numId w:val="2"/>
        </w:numPr>
        <w:spacing w:after="80" w:line="360"/>
        <w:jc w:val="both"/>
      </w:pPr>
      <w:r>
        <w:rPr>
          <w:b/>
          <w:bCs/>
        </w:rPr>
        <w:t xml:space="preserve">QR4.</w:t>
      </w:r>
      <w:r>
        <w:t xml:space="preserve"> Quelles connaissances existent sur le Maroc et sur les pays comparables, et quelles lacunes la littérature laisse-t-elle ouvertes ?</w:t>
      </w:r>
    </w:p>
    <w:p>
      <w:pPr>
        <w:pStyle w:val="Heading2"/>
      </w:pPr>
      <w:r>
        <w:t xml:space="preserve">2.3. Formalisation des questions</w:t>
      </w:r>
    </w:p>
    <w:p>
      <w:pPr>
        <w:spacing w:after="120" w:line="360"/>
        <w:ind w:firstLine="567"/>
        <w:jc w:val="both"/>
      </w:pPr>
      <w:r>
        <w:t xml:space="preserve">Le modèle PICO, conçu pour les essais cliniques, s'applique mal à une recherche dont l'objet est un dispositif normatif. On retient donc le modèle SPIDER, mieux adapté aux recherches qualitatives et mixtes, en l'ajustant au champ fiscal. Le tableau 1 en présente les composantes.</w:t>
      </w:r>
    </w:p>
    <w:p>
      <w:pPr>
        <w:keepNext/>
        <w:spacing w:after="100" w:before="200"/>
        <w:jc w:val="center"/>
      </w:pPr>
      <w:r>
        <w:rPr>
          <w:b/>
          <w:bCs/>
          <w:sz w:val="22"/>
          <w:szCs w:val="22"/>
        </w:rPr>
        <w:t xml:space="preserve">Tableau 1. Formalisation de la question de recherche selon le modèle SPIDER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rPr>
          <w:cantSplit/>
          <w:tblHeader/>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Composante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Contenu retenu</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S — Échantillon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États (en particulier pays en développement et Maroc) et entreprises (groupes multinationaux, entreprises du numérique, entreprises locales)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PI — Phénomène étudié</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Harmonisation internationale de la fiscalité de l'économie numérique : BEPS Action 1, Piliers 1 et 2, taxes sur les services numériques, article 12B du modèle des Nations unies, TVA sur les services numériques, mesures de l'Union européenne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D — Méthode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Toutes méthodes : analyse juridique et doctrinale, études économétriques, modélisations, études de cas, enquêtes, analyses qualitatives</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E — Évaluation</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Compétitivité et attractivité fiscales des États ; compétitivité des entreprises (taux effectif d'imposition, coûts de conformité, investissement, localisation des bénéfices, position concurrentielle)</w:t>
            </w:r>
          </w:p>
        </w:tc>
      </w:tr>
      <w:tr>
        <w:trPr>
          <w:cantSplit/>
          <w:tblHeader w:val="false"/>
        </w:trPr>
        <w:tc>
          <w:tcPr>
            <w:tcW w:type="dxa" w:w="2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 — Type de recherche</w:t>
            </w:r>
          </w:p>
        </w:tc>
        <w:tc>
          <w:tcPr>
            <w:tcW w:type="dxa" w:w="68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Travaux publiés après évaluation par les pairs ou par un éditeur scientifique reconnu</w:t>
            </w:r>
          </w:p>
        </w:tc>
      </w:tr>
    </w:tbl>
    <w:p>
      <w:pPr>
        <w:spacing w:after="240" w:before="60"/>
      </w:pPr>
      <w:r>
        <w:rPr>
          <w:i/>
          <w:iCs/>
          <w:sz w:val="20"/>
          <w:szCs w:val="20"/>
        </w:rPr>
        <w:t xml:space="preserve">Source :</w:t>
      </w:r>
      <w:r>
        <w:rPr>
          <w:sz w:val="20"/>
          <w:szCs w:val="20"/>
        </w:rPr>
        <w:t xml:space="preserve"> élaboration propre, d'après le modèle SPIDER.</w:t>
      </w:r>
    </w:p>
    <w:p>
      <w:pPr>
        <w:pStyle w:val="Heading1"/>
      </w:pPr>
      <w:r>
        <w:t xml:space="preserve">3. Critères d'éligibilité</w:t>
      </w:r>
    </w:p>
    <w:p>
      <w:pPr>
        <w:pStyle w:val="Heading2"/>
      </w:pPr>
      <w:r>
        <w:t xml:space="preserve">3.1. Critères d'inclusion et d'exclusion</w:t>
      </w:r>
    </w:p>
    <w:p>
      <w:pPr>
        <w:spacing w:after="120" w:line="360"/>
        <w:ind w:firstLine="567"/>
        <w:jc w:val="both"/>
      </w:pPr>
      <w:r>
        <w:t xml:space="preserve">Les critères sont appliqués dans l'ordre du tableau 2. Une publication est exclue dès qu'elle ne satisfait pas l'un d'eux, et le premier motif d'exclusion rencontré est seul consigné, afin que les effectifs du diagramme de flux restent cohérents.</w:t>
      </w:r>
    </w:p>
    <w:p>
      <w:pPr>
        <w:keepNext/>
        <w:spacing w:after="100" w:before="200"/>
        <w:jc w:val="center"/>
      </w:pPr>
      <w:r>
        <w:rPr>
          <w:b/>
          <w:bCs/>
          <w:sz w:val="22"/>
          <w:szCs w:val="22"/>
        </w:rPr>
        <w:t xml:space="preserve">Tableau 2. Critères d'éligibilité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63"/>
        <w:gridCol w:w="3563"/>
      </w:tblGrid>
      <w:tr>
        <w:trPr>
          <w:cantSplit/>
          <w:tblHeader/>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Critère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Inclusion</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Exclusion</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Période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Publications parues entre le 1ᵉʳ janvier 2013 et la date de la recherche (2026)</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Publications antérieures à 2013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Langue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Français et anglais</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Autres langues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Type de document</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Articles de revues à comité de lecture ; articles de synthèse ; ouvrages et chapitres d'ouvrages publiés par un éditeur scientifique reconnu</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Articles de presse, billets de blog, notes de cabinets, documents de travail non évalués, mémoires et thèses, actes de conférence non évalués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Indexation</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Revues indexées dans Scopus ou le Web of Science, ou revues scientifiques de référence de la discipline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Revues sans comité de lecture identifiable ; revues figurant sur les listes de revues prédatrices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Thématique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Le document traite de la fiscalité de l'économie numérique ou de l'imposition minimale mondiale, sous l'angle de l'harmonisation internationale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Le numérique n'y est abordé que comme outil de l'administration fiscale (dématérialisation, télédéclaration, intelligence artificielle au service du contrôle)</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Résultat</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Le document analyse au moins un effet sur les États (attractivité, recettes, marge de manœuvre) ou sur les entreprises (compétitivité, charge, comportement)</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Le document se limite à une description technique des règles sans aucune analyse de leurs effets</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Accès</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Texte intégral accessible</w:t>
            </w:r>
          </w:p>
        </w:tc>
        <w:tc>
          <w:tcPr>
            <w:tcW w:type="dxa" w:w="35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Texte intégral introuvable malgré les démarches décrites en 6.2</w:t>
            </w:r>
          </w:p>
        </w:tc>
      </w:tr>
    </w:tbl>
    <w:p>
      <w:pPr>
        <w:spacing w:after="240" w:before="60"/>
      </w:pPr>
      <w:r>
        <w:rPr>
          <w:i/>
          <w:iCs/>
          <w:sz w:val="20"/>
          <w:szCs w:val="20"/>
        </w:rPr>
        <w:t xml:space="preserve">Source :</w:t>
      </w:r>
      <w:r>
        <w:rPr>
          <w:sz w:val="20"/>
          <w:szCs w:val="20"/>
        </w:rPr>
        <w:t xml:space="preserve"> élaboration propre.</w:t>
      </w:r>
    </w:p>
    <w:p>
      <w:pPr>
        <w:spacing w:after="120" w:line="360"/>
        <w:ind w:firstLine="567"/>
        <w:jc w:val="both"/>
      </w:pPr>
      <w:r>
        <w:t xml:space="preserve">Le choix de 2013 comme borne inférieure correspond au lancement du projet BEPS et à la publication de son plan d'action. Les travaux antérieurs ne sont pas ignorés pour autant : les ouvrages fondateurs sur la notion d'établissement stable ou sur la concurrence fiscale seront mobilisés dans l'état de l'art à titre de références théoriques, mais ils ne seront pas comptabilisés dans le corpus systématique.</w:t>
      </w:r>
    </w:p>
    <w:p>
      <w:pPr>
        <w:pStyle w:val="Heading2"/>
      </w:pPr>
      <w:r>
        <w:t xml:space="preserve">3.2. Ouvrages et éditeurs reconnus</w:t>
      </w:r>
    </w:p>
    <w:p>
      <w:pPr>
        <w:spacing w:after="120" w:line="360"/>
        <w:ind w:firstLine="567"/>
        <w:jc w:val="both"/>
      </w:pPr>
      <w:r>
        <w:t xml:space="preserve">Les bases bibliographiques indexent mal les ouvrages juridiques, alors qu'une part importante de la doctrine fiscale s'exprime sous cette forme. Pour éviter un biais en faveur des seuls articles, les ouvrages et chapitres sont admis à condition d'avoir été publiés par un éditeur scientifique reconnu dans la discipline, notamment Oxford University Press, Cambridge University Press, Edward Elgar, Springer, Routledge, Wolters Kluwer, IBFD, LGDJ, Dalloz, Bruylant ou les presses universitaires. Cette liste est indicative ; tout éditeur qui n'y figure pas fera l'objet d'une appréciation motivée, consignée dans le journal de sélection.</w:t>
      </w:r>
    </w:p>
    <w:p>
      <w:pPr>
        <w:pStyle w:val="Heading2"/>
      </w:pPr>
      <w:r>
        <w:t xml:space="preserve">3.3. Statut de la littérature institutionnelle</w:t>
      </w:r>
    </w:p>
    <w:p>
      <w:pPr>
        <w:spacing w:after="120" w:line="360"/>
        <w:ind w:firstLine="567"/>
        <w:jc w:val="both"/>
      </w:pPr>
      <w:r>
        <w:t xml:space="preserve">Les rapports de l'OCDE, des Nations unies, du Fonds monétaire international, de la Banque mondiale, de la Commission européenne et de l'administration fiscale marocaine sont indispensables à la compréhension du sujet. Ils ne sont cependant pas évalués par les pairs au sens académique, et ils émanent souvent des institutions mêmes qui conçoivent les normes étudiées. Ils sont donc traités comme un corpus de contexte, recensé à part et cité dans la thèse, mais exclu des statistiques de la revue. Les documents de travail des institutions de recherche reconnues (par exemple le FMI ou le Oxford University Centre for Business Taxation) suivent le même régime, sauf s'ils ont ensuite été publiés dans une revue, auquel cas seule la version publiée est retenue.</w:t>
      </w:r>
    </w:p>
    <w:p>
      <w:pPr>
        <w:pStyle w:val="Heading1"/>
      </w:pPr>
      <w:r>
        <w:t xml:space="preserve">4. Sources d'information</w:t>
      </w:r>
    </w:p>
    <w:p>
      <w:pPr>
        <w:pStyle w:val="Heading2"/>
      </w:pPr>
      <w:r>
        <w:t xml:space="preserve">4.1. Bases de données principales</w:t>
      </w:r>
    </w:p>
    <w:p>
      <w:pPr>
        <w:spacing w:after="120" w:line="360"/>
        <w:ind w:firstLine="567"/>
        <w:jc w:val="both"/>
      </w:pPr>
      <w:r>
        <w:t xml:space="preserve">Les deux bases principales sont </w:t>
      </w:r>
      <w:r>
        <w:rPr>
          <w:b/>
          <w:bCs/>
        </w:rPr>
        <w:t xml:space="preserve">Scopus</w:t>
      </w:r>
      <w:r>
        <w:t xml:space="preserve"> (Elsevier) et le </w:t>
      </w:r>
      <w:r>
        <w:rPr>
          <w:b/>
          <w:bCs/>
        </w:rPr>
        <w:t xml:space="preserve">Web of Science Core Collection</w:t>
      </w:r>
      <w:r>
        <w:t xml:space="preserve"> (Clarivate), consultées par l'intermédiaire de la plateforme de ressources électroniques de l'université. Elles constituent les références attendues pour une revue systématique et garantissent le critère d'indexation retenu à la section 3.1. Pour le Web of Science, les index interrogés seront le </w:t>
      </w:r>
      <w:r>
        <w:rPr>
          <w:i/>
          <w:iCs/>
        </w:rPr>
        <w:t xml:space="preserve">Social Sciences Citation Index</w:t>
      </w:r>
      <w:r>
        <w:t xml:space="preserve">, l'</w:t>
      </w:r>
      <w:r>
        <w:rPr>
          <w:i/>
          <w:iCs/>
        </w:rPr>
        <w:t xml:space="preserve">Emerging Sources Citation Index</w:t>
      </w:r>
      <w:r>
        <w:t xml:space="preserve"> et le </w:t>
      </w:r>
      <w:r>
        <w:rPr>
          <w:i/>
          <w:iCs/>
        </w:rPr>
        <w:t xml:space="preserve">Book Citation Index</w:t>
      </w:r>
      <w:r>
        <w:t xml:space="preserve">, dans la mesure où l'abonnement de l'université y donne accès ; la liste exacte sera consignée au moment de la recherche.</w:t>
      </w:r>
    </w:p>
    <w:p>
      <w:pPr>
        <w:pStyle w:val="Heading2"/>
      </w:pPr>
      <w:r>
        <w:t xml:space="preserve">4.2. Bases complémentaires</w:t>
      </w:r>
    </w:p>
    <w:p>
      <w:pPr>
        <w:spacing w:after="120" w:line="360"/>
        <w:ind w:firstLine="567"/>
        <w:jc w:val="both"/>
      </w:pPr>
      <w:r>
        <w:t xml:space="preserve">Trois bases complémentaires sont interrogées pour corriger les biais connus de Scopus et du Web of Science, qui couvrent mal la littérature juridique et la littérature francophone :</w:t>
      </w:r>
    </w:p>
    <w:p>
      <w:pPr>
        <w:pStyle w:val="ListParagraph"/>
        <w:numPr>
          <w:ilvl w:val="0"/>
          <w:numId w:val="2"/>
        </w:numPr>
        <w:spacing w:after="80" w:line="360"/>
        <w:jc w:val="both"/>
      </w:pPr>
      <w:r>
        <w:rPr>
          <w:b/>
          <w:bCs/>
        </w:rPr>
        <w:t xml:space="preserve">OpenAlex</w:t>
      </w:r>
      <w:r>
        <w:t xml:space="preserve">, base ouverte et large, utile pour vérifier l'exhaustivité de la recherche (Priem et al., 2022) ;</w:t>
      </w:r>
    </w:p>
    <w:p>
      <w:pPr>
        <w:pStyle w:val="ListParagraph"/>
        <w:numPr>
          <w:ilvl w:val="0"/>
          <w:numId w:val="2"/>
        </w:numPr>
        <w:spacing w:after="80" w:line="360"/>
        <w:jc w:val="both"/>
      </w:pPr>
      <w:r>
        <w:rPr>
          <w:b/>
          <w:bCs/>
        </w:rPr>
        <w:t xml:space="preserve">Cairn.info</w:t>
      </w:r>
      <w:r>
        <w:t xml:space="preserve">, pour les revues francophones de droit, d'économie et de gestion ;</w:t>
      </w:r>
    </w:p>
    <w:p>
      <w:pPr>
        <w:pStyle w:val="ListParagraph"/>
        <w:numPr>
          <w:ilvl w:val="0"/>
          <w:numId w:val="2"/>
        </w:numPr>
        <w:spacing w:after="80" w:line="360"/>
        <w:jc w:val="both"/>
      </w:pPr>
      <w:r>
        <w:rPr>
          <w:b/>
          <w:bCs/>
        </w:rPr>
        <w:t xml:space="preserve">HAL</w:t>
      </w:r>
      <w:r>
        <w:t xml:space="preserve">, archive ouverte où sont déposés de nombreux travaux de chercheurs francophones, y compris marocains.</w:t>
      </w:r>
    </w:p>
    <w:p>
      <w:pPr>
        <w:spacing w:after="120" w:line="360"/>
        <w:ind w:firstLine="567"/>
        <w:jc w:val="both"/>
      </w:pPr>
      <w:r>
        <w:t xml:space="preserve">Les résultats de ces bases sont soumis aux mêmes critères d'éligibilité ; en particulier, une publication trouvée dans OpenAlex ou HAL n'est retenue que si elle a paru dans une revue ou chez un éditeur répondant aux exigences du tableau 2. Google Scholar n'est pas utilisé comme source principale, ses résultats n'étant ni reproductibles ni exportables de manière fiable ; il ne sert qu'à la recherche par citations décrite ci-dessous.</w:t>
      </w:r>
    </w:p>
    <w:p>
      <w:pPr>
        <w:pStyle w:val="Heading2"/>
      </w:pPr>
      <w:r>
        <w:t xml:space="preserve">4.3. Recherches complémentaires</w:t>
      </w:r>
    </w:p>
    <w:p>
      <w:pPr>
        <w:spacing w:after="120" w:line="360"/>
        <w:ind w:firstLine="567"/>
        <w:jc w:val="both"/>
      </w:pPr>
      <w:r>
        <w:t xml:space="preserve">La recherche dans les bases est complétée par trois procédés. Le premier consiste à examiner les listes de références des publications retenues (recherche en amont) et les publications qui les citent (recherche en aval). Le deuxième consiste à dépouiller, sur la période retenue, les sommaires des revues les plus spécialisées du domaine, telles que </w:t>
      </w:r>
      <w:r>
        <w:rPr>
          <w:i/>
          <w:iCs/>
        </w:rPr>
        <w:t xml:space="preserve">Intertax</w:t>
      </w:r>
      <w:r>
        <w:t xml:space="preserve">, le </w:t>
      </w:r>
      <w:r>
        <w:rPr>
          <w:i/>
          <w:iCs/>
        </w:rPr>
        <w:t xml:space="preserve">World Tax Journal</w:t>
      </w:r>
      <w:r>
        <w:t xml:space="preserve">, le </w:t>
      </w:r>
      <w:r>
        <w:rPr>
          <w:i/>
          <w:iCs/>
        </w:rPr>
        <w:t xml:space="preserve">Bulletin for International Taxation</w:t>
      </w:r>
      <w:r>
        <w:t xml:space="preserve">, l'</w:t>
      </w:r>
      <w:r>
        <w:rPr>
          <w:i/>
          <w:iCs/>
        </w:rPr>
        <w:t xml:space="preserve">EC Tax Review</w:t>
      </w:r>
      <w:r>
        <w:t xml:space="preserve">, </w:t>
      </w:r>
      <w:r>
        <w:rPr>
          <w:i/>
          <w:iCs/>
        </w:rPr>
        <w:t xml:space="preserve">International Tax and Public Finance</w:t>
      </w:r>
      <w:r>
        <w:t xml:space="preserve"> et la </w:t>
      </w:r>
      <w:r>
        <w:rPr>
          <w:i/>
          <w:iCs/>
        </w:rPr>
        <w:t xml:space="preserve">Revue française de finances publiques</w:t>
      </w:r>
      <w:r>
        <w:t xml:space="preserve">. Le troisième consiste à interroger les sites des principaux centres de recherche en fiscalité internationale. Chaque publication identifiée par ces voies est signalée comme telle dans le diagramme de flux.</w:t>
      </w:r>
    </w:p>
    <w:p>
      <w:pPr>
        <w:pStyle w:val="Heading1"/>
      </w:pPr>
      <w:r>
        <w:t xml:space="preserve">5. Stratégie de recherche</w:t>
      </w:r>
    </w:p>
    <w:p>
      <w:pPr>
        <w:pStyle w:val="Heading2"/>
      </w:pPr>
      <w:r>
        <w:t xml:space="preserve">5.1. Les blocs conceptuels</w:t>
      </w:r>
    </w:p>
    <w:p>
      <w:pPr>
        <w:spacing w:after="120" w:line="360"/>
        <w:ind w:firstLine="567"/>
        <w:jc w:val="both"/>
      </w:pPr>
      <w:r>
        <w:t xml:space="preserve">L'équation de recherche combine trois blocs reliés par l'opérateur ET : le phénomène (la fiscalité de l'économie numérique et ses instruments), le cadre (l'harmonisation ou la coordination internationale) et l'effet (la compétitivité, l'attractivité et l'entreprise). Les termes de chaque bloc, reliés entre eux par l'opérateur OU, sont présentés au tableau 3 dans leurs versions anglaise et française.</w:t>
      </w:r>
    </w:p>
    <w:p>
      <w:pPr>
        <w:keepNext/>
        <w:spacing w:after="100" w:before="200"/>
        <w:jc w:val="center"/>
      </w:pPr>
      <w:r>
        <w:rPr>
          <w:b/>
          <w:bCs/>
          <w:sz w:val="22"/>
          <w:szCs w:val="22"/>
        </w:rPr>
        <w:t xml:space="preserve">Tableau 3. Termes de recherche par bloc conceptuel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3663"/>
        <w:gridCol w:w="3663"/>
      </w:tblGrid>
      <w:tr>
        <w:trPr>
          <w:cantSplit/>
          <w:tblHeader/>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Bloc</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Termes anglais</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Termes français</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 — Fiscalité numérique</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digital tax*, digital services tax*, digital economy + tax*, digitali?ation + tax*, Pillar One, Pillar Two, GloBE, global minimum tax, BEPS, base erosion and profit shifting, significant economic presence, virtual permanent establishment, equali?ation levy, Amount A, Article 12B</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fiscalité numérique, taxe sur les services numériques, économie numérique + fiscal*, imposition minimale mondiale, impôt minimum mondial, pilier 1, pilier 2, érosion de la base d'imposition, établissement stable virtuel, présence économique significative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B — Harmonisation</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harmoni*, international tax*, tax coordination, multilateral*, tax competition, inclusive framework, OECD, tax reform</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harmonisation, fiscalité internationale, coordination fiscale, concurrence fiscale, multilatéral*, cadre inclusif, OCDE, réforme fiscale</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C — Compétitivité et entreprises</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competitiv*, attractiv*, foreign direct investment, FDI, investment, firm*, compan*, enterprise*, multinational*, effective tax rate*, compliance cost*, tax incentive*</w:t>
            </w:r>
          </w:p>
        </w:tc>
        <w:tc>
          <w:tcPr>
            <w:tcW w:type="dxa" w:w="3663"/>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compétitivité, attractivité, investissement direct étranger, entreprise*, firme*, multinationale*, taux effectif, coût de conformité, incitation* fiscale*</w:t>
            </w:r>
          </w:p>
        </w:tc>
      </w:tr>
    </w:tbl>
    <w:p>
      <w:pPr>
        <w:spacing w:after="240" w:before="60"/>
      </w:pPr>
      <w:r>
        <w:rPr>
          <w:i/>
          <w:iCs/>
          <w:sz w:val="20"/>
          <w:szCs w:val="20"/>
        </w:rPr>
        <w:t xml:space="preserve">Note :</w:t>
      </w:r>
      <w:r>
        <w:rPr>
          <w:sz w:val="20"/>
          <w:szCs w:val="20"/>
        </w:rPr>
        <w:t xml:space="preserve"> l'astérisque désigne la troncature ; « ? » remplace un caractère unique (orthographes britannique et américaine).</w:t>
      </w:r>
    </w:p>
    <w:p>
      <w:pPr>
        <w:pStyle w:val="Heading2"/>
      </w:pPr>
      <w:r>
        <w:t xml:space="preserve">5.2. Équation pour Scopus</w:t>
      </w:r>
    </w:p>
    <w:p>
      <w:pPr>
        <w:spacing w:after="120" w:line="360"/>
        <w:ind w:firstLine="0"/>
        <w:jc w:val="both"/>
      </w:pPr>
      <w:r>
        <w:t xml:space="preserve">La recherche porte sur les champs titre, résumé et mots-clés. L'opérateur de proximité W/3 permet de saisir les expressions variables du type « </w:t>
      </w:r>
      <w:r>
        <w:rPr>
          <w:i/>
          <w:iCs/>
        </w:rPr>
        <w:t xml:space="preserve">taxation of the digital economy</w:t>
      </w:r>
      <w:r>
        <w:t xml:space="preserve"> » sans multiplier les termes exacts.</w:t>
      </w:r>
    </w:p>
    <w:p>
      <w:pPr>
        <w:pBdr>
          <w:top w:val="single" w:color="000000" w:sz="4" w:space="4"/>
          <w:bottom w:val="single" w:color="000000" w:sz="4" w:space="4"/>
        </w:pBdr>
        <w:spacing w:after="160" w:before="60" w:line="260"/>
        <w:ind w:left="284" w:right="0"/>
      </w:pPr>
      <w:r>
        <w:rPr>
          <w:rFonts w:ascii="Courier New" w:cs="Courier New" w:eastAsia="Courier New" w:hAnsi="Courier New"/>
          <w:sz w:val="16"/>
          <w:szCs w:val="16"/>
        </w:rPr>
        <w:t xml:space="preserve">TITLE-ABS-KEY ( ( "digital tax*" OR "digital services tax*" OR ( digital* W/3 tax* )</w:t>
      </w:r>
      <w:r>
        <w:rPr>
          <w:rFonts w:ascii="Courier New" w:cs="Courier New" w:eastAsia="Courier New" w:hAnsi="Courier New"/>
          <w:sz w:val="16"/>
          <w:szCs w:val="16"/>
        </w:rPr>
        <w:br/>
        <w:t xml:space="preserve">  OR "Pillar One" OR "Pillar Two" OR "GloBE" OR "global minimum tax*"</w:t>
      </w:r>
      <w:r>
        <w:rPr>
          <w:rFonts w:ascii="Courier New" w:cs="Courier New" w:eastAsia="Courier New" w:hAnsi="Courier New"/>
          <w:sz w:val="16"/>
          <w:szCs w:val="16"/>
        </w:rPr>
        <w:br/>
        <w:t xml:space="preserve">  OR "base erosion and profit shifting" OR BEPS OR "significant economic presence"</w:t>
      </w:r>
      <w:r>
        <w:rPr>
          <w:rFonts w:ascii="Courier New" w:cs="Courier New" w:eastAsia="Courier New" w:hAnsi="Courier New"/>
          <w:sz w:val="16"/>
          <w:szCs w:val="16"/>
        </w:rPr>
        <w:br/>
        <w:t xml:space="preserve">  OR "virtual permanent establishment" OR "equali?ation levy" OR "Article 12B" )</w:t>
      </w:r>
      <w:r>
        <w:rPr>
          <w:rFonts w:ascii="Courier New" w:cs="Courier New" w:eastAsia="Courier New" w:hAnsi="Courier New"/>
          <w:sz w:val="16"/>
          <w:szCs w:val="16"/>
        </w:rPr>
        <w:br/>
        <w:t xml:space="preserve">AND ( harmoni* OR "international tax*" OR "tax coordination" OR multilateral*</w:t>
      </w:r>
      <w:r>
        <w:rPr>
          <w:rFonts w:ascii="Courier New" w:cs="Courier New" w:eastAsia="Courier New" w:hAnsi="Courier New"/>
          <w:sz w:val="16"/>
          <w:szCs w:val="16"/>
        </w:rPr>
        <w:br/>
        <w:t xml:space="preserve">  OR "tax competition" OR "inclusive framework" OR OECD OR "tax reform*" )</w:t>
      </w:r>
      <w:r>
        <w:rPr>
          <w:rFonts w:ascii="Courier New" w:cs="Courier New" w:eastAsia="Courier New" w:hAnsi="Courier New"/>
          <w:sz w:val="16"/>
          <w:szCs w:val="16"/>
        </w:rPr>
        <w:br/>
        <w:t xml:space="preserve">AND ( competitiv* OR attractiv* OR "foreign direct investment" OR FDI OR invest*</w:t>
      </w:r>
      <w:r>
        <w:rPr>
          <w:rFonts w:ascii="Courier New" w:cs="Courier New" w:eastAsia="Courier New" w:hAnsi="Courier New"/>
          <w:sz w:val="16"/>
          <w:szCs w:val="16"/>
        </w:rPr>
        <w:br/>
        <w:t xml:space="preserve">  OR firm* OR compan* OR enterprise* OR multinational* OR "effective tax rate*"</w:t>
      </w:r>
      <w:r>
        <w:rPr>
          <w:rFonts w:ascii="Courier New" w:cs="Courier New" w:eastAsia="Courier New" w:hAnsi="Courier New"/>
          <w:sz w:val="16"/>
          <w:szCs w:val="16"/>
        </w:rPr>
        <w:br/>
        <w:t xml:space="preserve">  OR "compliance cost*" OR "tax incentive*" ) )</w:t>
      </w:r>
      <w:r>
        <w:rPr>
          <w:rFonts w:ascii="Courier New" w:cs="Courier New" w:eastAsia="Courier New" w:hAnsi="Courier New"/>
          <w:sz w:val="16"/>
          <w:szCs w:val="16"/>
        </w:rPr>
        <w:br/>
        <w:t xml:space="preserve">AND PUBYEAR &gt; 2012</w:t>
      </w:r>
      <w:r>
        <w:rPr>
          <w:rFonts w:ascii="Courier New" w:cs="Courier New" w:eastAsia="Courier New" w:hAnsi="Courier New"/>
          <w:sz w:val="16"/>
          <w:szCs w:val="16"/>
        </w:rPr>
        <w:br/>
        <w:t xml:space="preserve">AND ( LIMIT-TO ( DOCTYPE, "ar" ) OR LIMIT-TO ( DOCTYPE, "re" )</w:t>
      </w:r>
      <w:r>
        <w:rPr>
          <w:rFonts w:ascii="Courier New" w:cs="Courier New" w:eastAsia="Courier New" w:hAnsi="Courier New"/>
          <w:sz w:val="16"/>
          <w:szCs w:val="16"/>
        </w:rPr>
        <w:br/>
        <w:t xml:space="preserve">  OR LIMIT-TO ( DOCTYPE, "bk" ) OR LIMIT-TO ( DOCTYPE, "ch" ) )</w:t>
      </w:r>
      <w:r>
        <w:rPr>
          <w:rFonts w:ascii="Courier New" w:cs="Courier New" w:eastAsia="Courier New" w:hAnsi="Courier New"/>
          <w:sz w:val="16"/>
          <w:szCs w:val="16"/>
        </w:rPr>
        <w:br/>
        <w:t xml:space="preserve">AND ( LIMIT-TO ( LANGUAGE, "English" ) OR LIMIT-TO ( LANGUAGE, "French" ) )</w:t>
      </w:r>
    </w:p>
    <w:p>
      <w:pPr>
        <w:pStyle w:val="Heading2"/>
      </w:pPr>
      <w:r>
        <w:t xml:space="preserve">5.3. Équation pour le Web of Science</w:t>
      </w:r>
    </w:p>
    <w:p>
      <w:pPr>
        <w:spacing w:after="120" w:line="360"/>
        <w:ind w:firstLine="0"/>
        <w:jc w:val="both"/>
      </w:pPr>
      <w:r>
        <w:t xml:space="preserve">Le champ TS (</w:t>
      </w:r>
      <w:r>
        <w:rPr>
          <w:i/>
          <w:iCs/>
        </w:rPr>
        <w:t xml:space="preserve">Topic</w:t>
      </w:r>
      <w:r>
        <w:t xml:space="preserve">) couvre le titre, le résumé, les mots-clés des auteurs et les </w:t>
      </w:r>
      <w:r>
        <w:rPr>
          <w:i/>
          <w:iCs/>
        </w:rPr>
        <w:t xml:space="preserve">Keywords Plus</w:t>
      </w:r>
      <w:r>
        <w:t xml:space="preserve">. L'opérateur NEAR/3 joue le rôle de W/3.</w:t>
      </w:r>
    </w:p>
    <w:p>
      <w:pPr>
        <w:pBdr>
          <w:top w:val="single" w:color="000000" w:sz="4" w:space="4"/>
          <w:bottom w:val="single" w:color="000000" w:sz="4" w:space="4"/>
        </w:pBdr>
        <w:spacing w:after="160" w:before="60" w:line="260"/>
        <w:ind w:left="284" w:right="0"/>
      </w:pPr>
      <w:r>
        <w:rPr>
          <w:rFonts w:ascii="Courier New" w:cs="Courier New" w:eastAsia="Courier New" w:hAnsi="Courier New"/>
          <w:sz w:val="16"/>
          <w:szCs w:val="16"/>
        </w:rPr>
        <w:t xml:space="preserve">TS=( ( "digital tax*" OR "digital services tax*" OR ( digital* NEAR/3 tax* )</w:t>
      </w:r>
      <w:r>
        <w:rPr>
          <w:rFonts w:ascii="Courier New" w:cs="Courier New" w:eastAsia="Courier New" w:hAnsi="Courier New"/>
          <w:sz w:val="16"/>
          <w:szCs w:val="16"/>
        </w:rPr>
        <w:br/>
        <w:t xml:space="preserve">  OR "Pillar One" OR "Pillar Two" OR "GloBE" OR "global minimum tax*"</w:t>
      </w:r>
      <w:r>
        <w:rPr>
          <w:rFonts w:ascii="Courier New" w:cs="Courier New" w:eastAsia="Courier New" w:hAnsi="Courier New"/>
          <w:sz w:val="16"/>
          <w:szCs w:val="16"/>
        </w:rPr>
        <w:br/>
        <w:t xml:space="preserve">  OR "base erosion and profit shifting" OR BEPS OR "significant economic presence"</w:t>
      </w:r>
      <w:r>
        <w:rPr>
          <w:rFonts w:ascii="Courier New" w:cs="Courier New" w:eastAsia="Courier New" w:hAnsi="Courier New"/>
          <w:sz w:val="16"/>
          <w:szCs w:val="16"/>
        </w:rPr>
        <w:br/>
        <w:t xml:space="preserve">  OR "virtual permanent establishment" OR "equali?ation levy" OR "Article 12B" )</w:t>
      </w:r>
      <w:r>
        <w:rPr>
          <w:rFonts w:ascii="Courier New" w:cs="Courier New" w:eastAsia="Courier New" w:hAnsi="Courier New"/>
          <w:sz w:val="16"/>
          <w:szCs w:val="16"/>
        </w:rPr>
        <w:br/>
        <w:t xml:space="preserve">AND ( harmoni* OR "international tax*" OR "tax coordination" OR multilateral*</w:t>
      </w:r>
      <w:r>
        <w:rPr>
          <w:rFonts w:ascii="Courier New" w:cs="Courier New" w:eastAsia="Courier New" w:hAnsi="Courier New"/>
          <w:sz w:val="16"/>
          <w:szCs w:val="16"/>
        </w:rPr>
        <w:br/>
        <w:t xml:space="preserve">  OR "tax competition" OR "inclusive framework" OR OECD OR "tax reform*" )</w:t>
      </w:r>
      <w:r>
        <w:rPr>
          <w:rFonts w:ascii="Courier New" w:cs="Courier New" w:eastAsia="Courier New" w:hAnsi="Courier New"/>
          <w:sz w:val="16"/>
          <w:szCs w:val="16"/>
        </w:rPr>
        <w:br/>
        <w:t xml:space="preserve">AND ( competitiv* OR attractiv* OR "foreign direct investment" OR FDI OR invest*</w:t>
      </w:r>
      <w:r>
        <w:rPr>
          <w:rFonts w:ascii="Courier New" w:cs="Courier New" w:eastAsia="Courier New" w:hAnsi="Courier New"/>
          <w:sz w:val="16"/>
          <w:szCs w:val="16"/>
        </w:rPr>
        <w:br/>
        <w:t xml:space="preserve">  OR firm* OR compan* OR enterprise* OR multinational* OR "effective tax rate*"</w:t>
      </w:r>
      <w:r>
        <w:rPr>
          <w:rFonts w:ascii="Courier New" w:cs="Courier New" w:eastAsia="Courier New" w:hAnsi="Courier New"/>
          <w:sz w:val="16"/>
          <w:szCs w:val="16"/>
        </w:rPr>
        <w:br/>
        <w:t xml:space="preserve">  OR "compliance cost*" OR "tax incentive*" ) )</w:t>
      </w:r>
      <w:r>
        <w:rPr>
          <w:rFonts w:ascii="Courier New" w:cs="Courier New" w:eastAsia="Courier New" w:hAnsi="Courier New"/>
          <w:sz w:val="16"/>
          <w:szCs w:val="16"/>
        </w:rPr>
        <w:br/>
        <w:t xml:space="preserve">Filtres : PY = 2013-2026 ; Document types = Article, Review Article,</w:t>
      </w:r>
      <w:r>
        <w:rPr>
          <w:rFonts w:ascii="Courier New" w:cs="Courier New" w:eastAsia="Courier New" w:hAnsi="Courier New"/>
          <w:sz w:val="16"/>
          <w:szCs w:val="16"/>
        </w:rPr>
        <w:br/>
        <w:t xml:space="preserve">Book, Book Chapter ; Languages = English, French</w:t>
      </w:r>
    </w:p>
    <w:p>
      <w:pPr>
        <w:pStyle w:val="Heading2"/>
      </w:pPr>
      <w:r>
        <w:t xml:space="preserve">5.4. Équations pour les bases complémentaires</w:t>
      </w:r>
    </w:p>
    <w:p>
      <w:pPr>
        <w:spacing w:after="120" w:line="360"/>
        <w:ind w:firstLine="0"/>
        <w:jc w:val="both"/>
      </w:pPr>
      <w:r>
        <w:t xml:space="preserve">Cairn et HAL ne disposent pas d'opérateurs de proximité aussi fins ; on y utilise une équation simplifiée en français, complétée par sa version anglaise pour HAL :</w:t>
      </w:r>
    </w:p>
    <w:p>
      <w:pPr>
        <w:pBdr>
          <w:top w:val="single" w:color="000000" w:sz="4" w:space="4"/>
          <w:bottom w:val="single" w:color="000000" w:sz="4" w:space="4"/>
        </w:pBdr>
        <w:spacing w:after="160" w:before="60" w:line="260"/>
        <w:ind w:left="284" w:right="0"/>
      </w:pPr>
      <w:r>
        <w:rPr>
          <w:rFonts w:ascii="Courier New" w:cs="Courier New" w:eastAsia="Courier New" w:hAnsi="Courier New"/>
          <w:sz w:val="16"/>
          <w:szCs w:val="16"/>
        </w:rPr>
        <w:t xml:space="preserve">("fiscalité numérique" OR "taxe sur les services numériques"</w:t>
      </w:r>
      <w:r>
        <w:rPr>
          <w:rFonts w:ascii="Courier New" w:cs="Courier New" w:eastAsia="Courier New" w:hAnsi="Courier New"/>
          <w:sz w:val="16"/>
          <w:szCs w:val="16"/>
        </w:rPr>
        <w:br/>
        <w:t xml:space="preserve">  OR "économie numérique" OR "impôt minimum mondial" OR "pilier 2" OR BEPS)</w:t>
      </w:r>
      <w:r>
        <w:rPr>
          <w:rFonts w:ascii="Courier New" w:cs="Courier New" w:eastAsia="Courier New" w:hAnsi="Courier New"/>
          <w:sz w:val="16"/>
          <w:szCs w:val="16"/>
        </w:rPr>
        <w:br/>
        <w:t xml:space="preserve">ET (harmonisation OR "fiscalité internationale" OR "concurrence fiscale" OR OCDE)</w:t>
      </w:r>
      <w:r>
        <w:rPr>
          <w:rFonts w:ascii="Courier New" w:cs="Courier New" w:eastAsia="Courier New" w:hAnsi="Courier New"/>
          <w:sz w:val="16"/>
          <w:szCs w:val="16"/>
        </w:rPr>
        <w:br/>
        <w:t xml:space="preserve">ET (compétitivité OR attractivité OR entreprise* OR investissement)</w:t>
      </w:r>
    </w:p>
    <w:p>
      <w:pPr>
        <w:spacing w:after="120" w:line="360"/>
        <w:ind w:firstLine="567"/>
        <w:jc w:val="both"/>
      </w:pPr>
      <w:r>
        <w:t xml:space="preserve">Pour OpenAlex, la recherche est conduite sur les titres et résumés avec les termes anglais du tableau 3, puis filtrée par année (2013 et au-delà), par type de document (articles, ouvrages, chapitres) et par langue.</w:t>
      </w:r>
    </w:p>
    <w:p>
      <w:pPr>
        <w:pStyle w:val="Heading2"/>
      </w:pPr>
      <w:r>
        <w:t xml:space="preserve">5.5. Recherche ciblée sur le Maroc et les pays en développement</w:t>
      </w:r>
    </w:p>
    <w:p>
      <w:pPr>
        <w:spacing w:after="120" w:line="360"/>
        <w:ind w:firstLine="0"/>
        <w:jc w:val="both"/>
      </w:pPr>
      <w:r>
        <w:t xml:space="preserve">Une équation générale, même bien construite, risque de noyer les rares travaux consacrés au Maroc. On réalise donc une recherche ciblée qui combine le bloc A avec un bloc géographique, sans exiger les blocs B et C :</w:t>
      </w:r>
    </w:p>
    <w:p>
      <w:pPr>
        <w:pBdr>
          <w:top w:val="single" w:color="000000" w:sz="4" w:space="4"/>
          <w:bottom w:val="single" w:color="000000" w:sz="4" w:space="4"/>
        </w:pBdr>
        <w:spacing w:after="160" w:before="60" w:line="260"/>
        <w:ind w:left="284" w:right="0"/>
      </w:pPr>
      <w:r>
        <w:rPr>
          <w:rFonts w:ascii="Courier New" w:cs="Courier New" w:eastAsia="Courier New" w:hAnsi="Courier New"/>
          <w:sz w:val="16"/>
          <w:szCs w:val="16"/>
        </w:rPr>
        <w:t xml:space="preserve">Bloc A AND ( Morocc* OR Maroc OR Maghreb OR "North Africa*" OR Africa*</w:t>
      </w:r>
      <w:r>
        <w:rPr>
          <w:rFonts w:ascii="Courier New" w:cs="Courier New" w:eastAsia="Courier New" w:hAnsi="Courier New"/>
          <w:sz w:val="16"/>
          <w:szCs w:val="16"/>
        </w:rPr>
        <w:br/>
        <w:t xml:space="preserve">  OR "developing countr*" OR "emerging econom*" OR "low-income countr*"</w:t>
      </w:r>
      <w:r>
        <w:rPr>
          <w:rFonts w:ascii="Courier New" w:cs="Courier New" w:eastAsia="Courier New" w:hAnsi="Courier New"/>
          <w:sz w:val="16"/>
          <w:szCs w:val="16"/>
        </w:rPr>
        <w:br/>
        <w:t xml:space="preserve">  OR "middle-income countr*" OR MENA )</w:t>
      </w:r>
    </w:p>
    <w:p>
      <w:pPr>
        <w:spacing w:after="120" w:line="360"/>
        <w:ind w:firstLine="567"/>
        <w:jc w:val="both"/>
      </w:pPr>
      <w:r>
        <w:t xml:space="preserve">Les résultats de cette recherche ciblée sont fusionnés avec ceux de la recherche principale avant le dédoublonnage. Ils sont soumis aux mêmes critères d'éligibilité, à ceci près que le critère « Résultat » est apprécié avec souplesse lorsqu'il s'agit de travaux portant sur le Maroc, compte tenu de leur rareté. Cette exception est déclarée ici afin de ne pas constituer une modification après coup.</w:t>
      </w:r>
    </w:p>
    <w:p>
      <w:pPr>
        <w:pStyle w:val="Heading2"/>
      </w:pPr>
      <w:r>
        <w:t xml:space="preserve">5.6. Validation de l'équation</w:t>
      </w:r>
    </w:p>
    <w:p>
      <w:pPr>
        <w:spacing w:after="120" w:line="360"/>
        <w:ind w:firstLine="567"/>
        <w:jc w:val="both"/>
      </w:pPr>
      <w:r>
        <w:t xml:space="preserve">Avant la recherche définitive, l'équation est testée sur un ensemble de publications témoins, c'est-à-dire de travaux dont on sait qu'ils doivent figurer dans les résultats. Si l'équation n'en retrouve pas une part satisfaisante, elle est ajustée et l'ajustement est consigné. La liste provisoire suivante, vérifiée auprès des éditeurs, sera complétée avec le directeur de thèse jusqu'à atteindre une dizaine de références :</w:t>
      </w:r>
    </w:p>
    <w:p>
      <w:pPr>
        <w:pStyle w:val="ListParagraph"/>
        <w:numPr>
          <w:ilvl w:val="0"/>
          <w:numId w:val="2"/>
        </w:numPr>
        <w:spacing w:after="80" w:line="360"/>
        <w:jc w:val="both"/>
      </w:pPr>
      <w:r>
        <w:t xml:space="preserve">Devereux, M. P. et Vella, J. (2018), </w:t>
      </w:r>
      <w:r>
        <w:rPr>
          <w:i/>
          <w:iCs/>
        </w:rPr>
        <w:t xml:space="preserve">Intertax</w:t>
      </w:r>
      <w:r>
        <w:t xml:space="preserve">, 46(6-7), 550-559 ;</w:t>
      </w:r>
    </w:p>
    <w:p>
      <w:pPr>
        <w:pStyle w:val="ListParagraph"/>
        <w:numPr>
          <w:ilvl w:val="0"/>
          <w:numId w:val="2"/>
        </w:numPr>
        <w:spacing w:after="80" w:line="360"/>
        <w:jc w:val="both"/>
      </w:pPr>
      <w:r>
        <w:t xml:space="preserve">Olbert, M. et Spengel, C. (2017), </w:t>
      </w:r>
      <w:r>
        <w:rPr>
          <w:i/>
          <w:iCs/>
        </w:rPr>
        <w:t xml:space="preserve">World Tax Journal</w:t>
      </w:r>
      <w:r>
        <w:t xml:space="preserve">, 9(1) ;</w:t>
      </w:r>
    </w:p>
    <w:p>
      <w:pPr>
        <w:pStyle w:val="ListParagraph"/>
        <w:numPr>
          <w:ilvl w:val="0"/>
          <w:numId w:val="2"/>
        </w:numPr>
        <w:spacing w:after="80" w:line="360"/>
        <w:jc w:val="both"/>
      </w:pPr>
      <w:r>
        <w:t xml:space="preserve">Cui, W. (2020), </w:t>
      </w:r>
      <w:r>
        <w:rPr>
          <w:i/>
          <w:iCs/>
        </w:rPr>
        <w:t xml:space="preserve">Tax Law Review</w:t>
      </w:r>
      <w:r>
        <w:t xml:space="preserve">, 73(1), 69-111.</w:t>
      </w:r>
    </w:p>
    <w:p>
      <w:pPr>
        <w:pStyle w:val="Heading1"/>
      </w:pPr>
      <w:r>
        <w:t xml:space="preserve">6. Gestion des données et processus de sélection</w:t>
      </w:r>
    </w:p>
    <w:p>
      <w:pPr>
        <w:pStyle w:val="Heading2"/>
      </w:pPr>
      <w:r>
        <w:t xml:space="preserve">6.1. Gestion des références</w:t>
      </w:r>
    </w:p>
    <w:p>
      <w:pPr>
        <w:spacing w:after="120" w:line="360"/>
        <w:ind w:firstLine="567"/>
        <w:jc w:val="both"/>
      </w:pPr>
      <w:r>
        <w:t xml:space="preserve">Les résultats de chaque base sont exportés au format RIS ou CSV avec l'ensemble des métadonnées disponibles (auteurs, titre, résumé, mots-clés, revue, année, DOI, références citées). Pour chaque recherche, on consigne la base, la date, l'équation exacte et le nombre de résultats, conformément à PRISMA-S. Les fichiers sont importés dans le logiciel Zotero, qui sert de base de référence unique pour toute la durée de la thèse.</w:t>
      </w:r>
    </w:p>
    <w:p>
      <w:pPr>
        <w:spacing w:after="120" w:line="360"/>
        <w:ind w:firstLine="567"/>
        <w:jc w:val="both"/>
      </w:pPr>
      <w:r>
        <w:t xml:space="preserve">Le dédoublonnage s'effectue en deux temps : un premier passage automatique fondé sur le DOI, puis un contrôle manuel fondé sur la combinaison du titre, du premier auteur et de l'année, afin de repérer les doublons dépourvus de DOI ou publiés sous des titres légèrement différents. Lorsqu'un même travail existe en version de travail et en version publiée, seule la seconde est conservée.</w:t>
      </w:r>
    </w:p>
    <w:p>
      <w:pPr>
        <w:pStyle w:val="Heading2"/>
      </w:pPr>
      <w:r>
        <w:t xml:space="preserve">6.2. Sélection en deux étapes</w:t>
      </w:r>
    </w:p>
    <w:p>
      <w:pPr>
        <w:spacing w:after="120" w:line="360"/>
        <w:ind w:firstLine="567"/>
        <w:jc w:val="both"/>
      </w:pPr>
      <w:r>
        <w:t xml:space="preserve">La sélection procède en deux étapes successives. La première porte sur le titre et le résumé : toute publication qui, de toute évidence, ne répond pas aux critères est écartée ; en cas de doute, elle passe à l'étape suivante. La seconde porte sur le texte intégral : chaque publication est lue et confrontée à l'ensemble des critères, et le motif d'exclusion éventuel est consigné. Lorsqu'un texte intégral n'est pas accessible par les abonnements de l'université, on sollicite le prêt entre bibliothèques puis l'auteur lui-même ; à défaut de réponse dans un délai de trois semaines, la publication est déclarée introuvable.</w:t>
      </w:r>
    </w:p>
    <w:p>
      <w:pPr>
        <w:pStyle w:val="Heading2"/>
      </w:pPr>
      <w:r>
        <w:t xml:space="preserve">6.3. Fiabilité de la sélection</w:t>
      </w:r>
    </w:p>
    <w:p>
      <w:pPr>
        <w:spacing w:after="120" w:line="360"/>
        <w:ind w:firstLine="567"/>
        <w:jc w:val="both"/>
      </w:pPr>
      <w:r>
        <w:t xml:space="preserve">Les lignes directrices recommandent une sélection effectuée par deux évaluateurs indépendants. Dans le cadre d'une thèse, où le doctorant travaille en principe seul, on retient une procédure de contrôle par échantillon : un second lecteur, idéalement le directeur de thèse ou un doctorant du même laboratoire, applique les critères à un échantillon aléatoire de 20 % des publications, à chacune des deux étapes. L'accord entre les deux lecteurs est mesuré par le coefficient kappa de Cohen (Cohen, 1960). Une valeur égale ou supérieure à 0,60 est jugée acceptable ; en deçà, les critères sont précisés, puis l'échantillon est examiné à nouveau. Les désaccords sont résolus par discussion et leur résolution est consignée.</w:t>
      </w:r>
    </w:p>
    <w:p>
      <w:pPr>
        <w:pStyle w:val="Heading2"/>
      </w:pPr>
      <w:r>
        <w:t xml:space="preserve">6.4. Recours aux outils d'intelligence artificielle</w:t>
      </w:r>
    </w:p>
    <w:p>
      <w:pPr>
        <w:spacing w:after="120" w:line="360"/>
        <w:ind w:firstLine="567"/>
        <w:jc w:val="both"/>
      </w:pPr>
      <w:r>
        <w:t xml:space="preserve">Un assistant fondé sur l'intelligence artificielle est utilisé pour faciliter certaines tâches matérielles : préparation des équations, tri préliminaire des titres et résumés, prérenseignement de la grille d'extraction et vérification des références bibliographiques. Ces usages sont déclarés par souci de transparence. Aucune décision d'inclusion ou d'exclusion n'est prise sans validation humaine, toutes les données extraites sont contrôlées sur le texte source, et aucune référence n'est citée sans avoir été vérifiée auprès de l'éditeur ou par son identifiant (DOI ou ISBN).</w:t>
      </w:r>
    </w:p>
    <w:p>
      <w:pPr>
        <w:pStyle w:val="Heading1"/>
      </w:pPr>
      <w:r>
        <w:t xml:space="preserve">7. Extraction des données</w:t>
      </w:r>
    </w:p>
    <w:p>
      <w:pPr>
        <w:spacing w:after="120" w:line="360"/>
        <w:ind w:firstLine="567"/>
        <w:jc w:val="both"/>
      </w:pPr>
      <w:r>
        <w:t xml:space="preserve">Les données sont extraites au moyen d'une grille standardisée, tenue dans un tableur. La grille est testée sur les cinq premières publications retenues et ajustée si nécessaire avant d'être appliquée au reste du corpus. Ses rubriques sont présentées au tableau 4.</w:t>
      </w:r>
    </w:p>
    <w:p>
      <w:pPr>
        <w:keepNext/>
        <w:spacing w:after="100" w:before="200"/>
        <w:jc w:val="center"/>
      </w:pPr>
      <w:r>
        <w:rPr>
          <w:b/>
          <w:bCs/>
          <w:sz w:val="22"/>
          <w:szCs w:val="22"/>
        </w:rPr>
        <w:t xml:space="preserve">Tableau 4. Grille d'extraction des données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cantSplit/>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Rubrique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Contenu</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Identification</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Identifiant interne, auteurs, année, titre, revue ou éditeur, DOI ou ISBN, base d'origine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Caractéristiques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Discipline (droit, économie, gestion, comptabilité), type de document, langue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Champ géographique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Pays ou région étudiés ; mention éventuelle du Maroc, du Maghreb ou de l'Afrique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Méthode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Analyse juridique, économétrie, modélisation, étude de cas, enquête, entretiens, revue de littérature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Instrument étudié</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BEPS Action 1, Pilier 1, Pilier 2, taxe sur les services numériques, TVA numérique, article 12B, mesures européennes, autres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Maillon de la chaîne</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Normes internationales ; État (attractivité, recettes, souveraineté fiscale) ; entreprises (compétitivité)</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Effets étudiés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Nature de l'effet, sens (positif, négatif, ambigu), catégorie d'entreprises concernée</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Principaux résultats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Synthèse en quelques lignes des conclusions des auteurs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Limites et pistes</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Limites reconnues par les auteurs ; recherches futures suggérées</w:t>
            </w:r>
          </w:p>
        </w:tc>
      </w:tr>
      <w:tr>
        <w:trPr>
          <w:cantSplit/>
          <w:tblHeader w:val="false"/>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Qualité</w:t>
            </w:r>
          </w:p>
        </w:tc>
        <w:tc>
          <w:tcPr>
            <w:tcW w:type="dxa" w:w="64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Score obtenu selon la grille de la section 8</w:t>
            </w:r>
          </w:p>
        </w:tc>
      </w:tr>
    </w:tbl>
    <w:p>
      <w:pPr>
        <w:spacing w:after="240" w:before="60"/>
      </w:pPr>
      <w:r>
        <w:rPr>
          <w:i/>
          <w:iCs/>
          <w:sz w:val="20"/>
          <w:szCs w:val="20"/>
        </w:rPr>
        <w:t xml:space="preserve">Source :</w:t>
      </w:r>
      <w:r>
        <w:rPr>
          <w:sz w:val="20"/>
          <w:szCs w:val="20"/>
        </w:rPr>
        <w:t xml:space="preserve"> élaboration propre.</w:t>
      </w:r>
    </w:p>
    <w:p>
      <w:pPr>
        <w:pStyle w:val="Heading1"/>
      </w:pPr>
      <w:r>
        <w:t xml:space="preserve">8. Évaluation de la qualité</w:t>
      </w:r>
    </w:p>
    <w:p>
      <w:pPr>
        <w:spacing w:after="120" w:line="360"/>
        <w:ind w:firstLine="567"/>
        <w:jc w:val="both"/>
      </w:pPr>
      <w:r>
        <w:t xml:space="preserve">Le corpus réunira des travaux de natures très différentes, de l'étude économétrique au commentaire doctrinal. Les outils standardisés comme le </w:t>
      </w:r>
      <w:r>
        <w:rPr>
          <w:i/>
          <w:iCs/>
        </w:rPr>
        <w:t xml:space="preserve">Mixed Methods Appraisal Tool</w:t>
      </w:r>
      <w:r>
        <w:t xml:space="preserve"> (Hong et al., 2018) conviennent aux études empiriques, mais pas aux analyses juridiques, qui ne reposent pas sur un protocole de collecte de données. On retient donc une grille commune de cinq critères, notés chacun de 0 à 2 :</w:t>
      </w:r>
    </w:p>
    <w:p>
      <w:pPr>
        <w:pStyle w:val="ListParagraph"/>
        <w:numPr>
          <w:ilvl w:val="0"/>
          <w:numId w:val="2"/>
        </w:numPr>
        <w:spacing w:after="80" w:line="360"/>
        <w:jc w:val="both"/>
      </w:pPr>
      <w:r>
        <w:t xml:space="preserve">la clarté de la question ou de la thèse défendue ;</w:t>
      </w:r>
    </w:p>
    <w:p>
      <w:pPr>
        <w:pStyle w:val="ListParagraph"/>
        <w:numPr>
          <w:ilvl w:val="0"/>
          <w:numId w:val="2"/>
        </w:numPr>
        <w:spacing w:after="80" w:line="360"/>
        <w:jc w:val="both"/>
      </w:pPr>
      <w:r>
        <w:t xml:space="preserve">l'adéquation de la méthode à la question, qu'il s'agisse d'une méthode empirique ou d'une méthode d'interprétation juridique ;</w:t>
      </w:r>
    </w:p>
    <w:p>
      <w:pPr>
        <w:pStyle w:val="ListParagraph"/>
        <w:numPr>
          <w:ilvl w:val="0"/>
          <w:numId w:val="2"/>
        </w:numPr>
        <w:spacing w:after="80" w:line="360"/>
        <w:jc w:val="both"/>
      </w:pPr>
      <w:r>
        <w:t xml:space="preserve">la solidité des sources et des données mobilisées ;</w:t>
      </w:r>
    </w:p>
    <w:p>
      <w:pPr>
        <w:pStyle w:val="ListParagraph"/>
        <w:numPr>
          <w:ilvl w:val="0"/>
          <w:numId w:val="2"/>
        </w:numPr>
        <w:spacing w:after="80" w:line="360"/>
        <w:jc w:val="both"/>
      </w:pPr>
      <w:r>
        <w:t xml:space="preserve">la cohérence entre l'argumentation ou les résultats et les conclusions ;</w:t>
      </w:r>
    </w:p>
    <w:p>
      <w:pPr>
        <w:pStyle w:val="ListParagraph"/>
        <w:numPr>
          <w:ilvl w:val="0"/>
          <w:numId w:val="2"/>
        </w:numPr>
        <w:spacing w:after="80" w:line="360"/>
        <w:jc w:val="both"/>
      </w:pPr>
      <w:r>
        <w:t xml:space="preserve">la discussion des limites.</w:t>
      </w:r>
    </w:p>
    <w:p>
      <w:pPr>
        <w:spacing w:after="120" w:line="360"/>
        <w:ind w:firstLine="567"/>
        <w:jc w:val="both"/>
      </w:pPr>
      <w:r>
        <w:t xml:space="preserve">Les études empiriques font en outre l'objet d'une appréciation au moyen du MMAT. L'évaluation de la qualité ne conduit pas à exclure des publications, puisque le critère de publication évaluée par les pairs opère déjà un premier filtrage. Elle sert à pondérer les résultats lors de la synthèse : une conclusion qui ne repose que sur des travaux faiblement notés sera présentée avec la prudence qui s'impose.</w:t>
      </w:r>
    </w:p>
    <w:p>
      <w:pPr>
        <w:pStyle w:val="Heading1"/>
      </w:pPr>
      <w:r>
        <w:t xml:space="preserve">9. Synthèse des données</w:t>
      </w:r>
    </w:p>
    <w:p>
      <w:pPr>
        <w:pStyle w:val="Heading2"/>
      </w:pPr>
      <w:r>
        <w:t xml:space="preserve">9.1. Analyse bibliométrique</w:t>
      </w:r>
    </w:p>
    <w:p>
      <w:pPr>
        <w:spacing w:after="120" w:line="360"/>
        <w:ind w:firstLine="567"/>
        <w:jc w:val="both"/>
      </w:pPr>
      <w:r>
        <w:t xml:space="preserve">Une analyse descriptive du corpus est d'abord conduite pour en faire apparaître la structure : évolution annuelle des publications, revues et éditeurs les plus représentés, répartition par discipline, par pays étudié et par instrument, auteurs et publications les plus cités. Les réseaux de co-citation et de cooccurrence des mots-clés sont cartographiés à l'aide de VOSviewer (van Eck et Waltman, 2010) et du module bibliometrix du logiciel R (Aria et Cuccurullo, 2017). Cette analyse permet de repérer les courants de recherche et de situer la place, vraisemblablement marginale, des travaux consacrés au Maroc et aux pays en développement.</w:t>
      </w:r>
    </w:p>
    <w:p>
      <w:pPr>
        <w:pStyle w:val="Heading2"/>
      </w:pPr>
      <w:r>
        <w:t xml:space="preserve">9.2. Synthèse thématique</w:t>
      </w:r>
    </w:p>
    <w:p>
      <w:pPr>
        <w:spacing w:after="120" w:line="360"/>
        <w:ind w:firstLine="567"/>
        <w:jc w:val="both"/>
      </w:pPr>
      <w:r>
        <w:t xml:space="preserve">La diversité des méthodes interdit une méta-analyse au sens statistique. On procède à une synthèse thématique, selon la démarche d'analyse thématique décrite par Braun et Clarke (2006) : codage des résultats extraits, regroupement des codes en thèmes, puis vérification de la cohérence de chaque thème au regard de l'ensemble du corpus. Les thèmes sont ensuite organisés selon les trois maillons de la chaîne de transmission et rattachés aux questions de recherche QR1 à QR4.</w:t>
      </w:r>
    </w:p>
    <w:p>
      <w:pPr>
        <w:pStyle w:val="Heading2"/>
      </w:pPr>
      <w:r>
        <w:t xml:space="preserve">9.3. De la revue à l'état de l'art</w:t>
      </w:r>
    </w:p>
    <w:p>
      <w:pPr>
        <w:spacing w:after="120" w:line="360"/>
        <w:ind w:firstLine="567"/>
        <w:jc w:val="both"/>
      </w:pPr>
      <w:r>
        <w:t xml:space="preserve">L'état de l'art est rédigé à partir de la synthèse thématique. Il ne se contente pas de résumer les travaux un à un : il confronte les positions, fait apparaître les points de consensus et de controverse, et aboutit à l'identification argumentée des lacunes de la littérature. Ces lacunes, notamment l'absence d'analyse du lien entre les choix de politique fiscale du Maroc et la compétitivité de ses entreprises, justifient la problématique de la thèse.</w:t>
      </w:r>
    </w:p>
    <w:p>
      <w:pPr>
        <w:pStyle w:val="Heading1"/>
      </w:pPr>
      <w:r>
        <w:t xml:space="preserve">10. Présentation des résultats</w:t>
      </w:r>
    </w:p>
    <w:p>
      <w:pPr>
        <w:spacing w:after="120" w:line="360"/>
        <w:ind w:firstLine="567"/>
        <w:jc w:val="both"/>
      </w:pPr>
      <w:r>
        <w:t xml:space="preserve">Les résultats seront présentés conformément à PRISMA 2020 : diagramme de flux indiquant, pour chaque étape, le nombre de publications identifiées, écartées et retenues, avec les motifs d'exclusion ; tableau des caractéristiques des publications retenues ; résultats de l'évaluation de la qualité ; synthèse thématique. La liste de contrôle PRISMA 2020 complétée, les équations de recherche détaillées et le journal des décisions de sélection figureront en annexe de la thèse.</w:t>
      </w:r>
    </w:p>
    <w:p>
      <w:pPr>
        <w:pStyle w:val="Heading1"/>
      </w:pPr>
      <w:r>
        <w:t xml:space="preserve">11. Calendrier prévisionnel</w:t>
      </w:r>
    </w:p>
    <w:p>
      <w:pPr>
        <w:spacing w:after="120" w:line="360"/>
        <w:ind w:firstLine="567"/>
        <w:jc w:val="both"/>
      </w:pPr>
      <w:r>
        <w:t xml:space="preserve">Le calendrier tient compte de l'indisponibilité temporaire de la plateforme de ressources électroniques. La recherche dans les bases complémentaires peut commencer sans attendre ; l'interrogation de Scopus et du Web of Science sera réalisée dès le rétablissement de l'accès, puis fusionnée avec les résultats déjà obtenus.</w:t>
      </w:r>
    </w:p>
    <w:p>
      <w:pPr>
        <w:keepNext/>
        <w:spacing w:after="100" w:before="200"/>
        <w:jc w:val="center"/>
      </w:pPr>
      <w:r>
        <w:rPr>
          <w:b/>
          <w:bCs/>
          <w:sz w:val="22"/>
          <w:szCs w:val="22"/>
        </w:rPr>
        <w:t xml:space="preserve">Tableau 5. Calendrier prévisionnel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26"/>
        <w:gridCol w:w="3200"/>
      </w:tblGrid>
      <w:tr>
        <w:trPr>
          <w:cantSplit/>
          <w:tblHeader/>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Étape</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Tâche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bCs/>
                <w:sz w:val="20"/>
                <w:szCs w:val="20"/>
              </w:rPr>
              <w:t xml:space="preserve">Durée indicative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1</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Validation du protocole par le directeur de thèse ; enregistrement éventuel sur l'Open Science Framework</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1 à 2 semaines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2</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Recherche dans les bases complémentaires ; test de l'équation sur les publications témoins</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1 semaine</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3</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Recherche dans Scopus et le Web of Science ; fusion et dédoublonnage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1 semaine après le rétablissement de l'accès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4</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Sélection sur titres et résumés ; contrôle par échantillon</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2 à 3 semaines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5</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Sélection sur texte intégral ; recherches en amont et en aval</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3 à 4 semaines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6</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Extraction des données et évaluation de la qualité</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3 à 4 semaines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7</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Analyse bibliométrique et synthèse thématique</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2 à 3 semaines</w:t>
            </w:r>
          </w:p>
        </w:tc>
      </w:tr>
      <w:tr>
        <w:trPr>
          <w:cantSplit/>
          <w:tblHeader w:val="false"/>
        </w:trPr>
        <w:tc>
          <w:tcPr>
            <w:tcW w:type="dxa" w:w="8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8</w:t>
            </w:r>
          </w:p>
        </w:tc>
        <w:tc>
          <w:tcPr>
            <w:tcW w:type="dxa" w:w="5026"/>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Rédaction du chapitre méthodologique et de l'état de l'art</w:t>
            </w:r>
          </w:p>
        </w:tc>
        <w:tc>
          <w:tcPr>
            <w:tcW w:type="dxa" w:w="3200"/>
            <w:tcBorders>
              <w:top w:val="single" w:color="000000" w:sz="4"/>
              <w:left w:val="single" w:color="000000" w:sz="4"/>
              <w:bottom w:val="single" w:color="000000" w:sz="4"/>
              <w:right w:val="single" w:color="000000" w:sz="4"/>
            </w:tcBorders>
            <w:tcMar>
              <w:top w:type="dxa" w:w="60"/>
              <w:left w:type="dxa" w:w="100"/>
              <w:bottom w:type="dxa" w:w="60"/>
              <w:right w:type="dxa" w:w="100"/>
            </w:tcMar>
            <w:vAlign w:val="top"/>
          </w:tcPr>
          <w:p>
            <w:pPr>
              <w:keepNext/>
              <w:spacing w:after="40" w:line="260"/>
            </w:pPr>
            <w:r>
              <w:rPr>
                <w:b w:val="false"/>
                <w:bCs w:val="false"/>
                <w:sz w:val="20"/>
                <w:szCs w:val="20"/>
              </w:rPr>
              <w:t xml:space="preserve">4 à 6 semaines</w:t>
            </w:r>
          </w:p>
        </w:tc>
      </w:tr>
    </w:tbl>
    <w:p>
      <w:pPr>
        <w:spacing w:after="240" w:before="60"/>
      </w:pPr>
      <w:r>
        <w:rPr>
          <w:i/>
          <w:iCs/>
          <w:sz w:val="20"/>
          <w:szCs w:val="20"/>
        </w:rPr>
        <w:t xml:space="preserve">Source :</w:t>
      </w:r>
      <w:r>
        <w:rPr>
          <w:sz w:val="20"/>
          <w:szCs w:val="20"/>
        </w:rPr>
        <w:t xml:space="preserve"> élaboration propre.</w:t>
      </w:r>
    </w:p>
    <w:p>
      <w:pPr>
        <w:pStyle w:val="Heading1"/>
      </w:pPr>
      <w:r>
        <w:t xml:space="preserve">12. Limites anticipées</w:t>
      </w:r>
    </w:p>
    <w:p>
      <w:pPr>
        <w:spacing w:after="120" w:line="360"/>
        <w:ind w:firstLine="567"/>
        <w:jc w:val="both"/>
      </w:pPr>
      <w:r>
        <w:t xml:space="preserve">Plusieurs limites peuvent être anticipées dès à présent. La première tient à la couverture des bases : Scopus et le Web of Science indexent imparfaitement les revues juridiques et francophones, ce que les bases complémentaires et le dépouillement manuel ne compensent qu'en partie. La deuxième tient à la restriction linguistique : les travaux publiés en arabe, qui pourraient concerner directement le Maroc, sont exclus faute de pouvoir être traités avec la même rigueur ; cette limite sera discutée explicitement. La troisième tient à la rapidité d'évolution du sujet : la mise en œuvre du deuxième pilier et le sort du premier évoluent d'année en année, si bien que la littérature risque d'être en retard sur le droit positif ; le corpus de contexte institutionnel permettra de tenir compte de l'état du droit à la date de rédaction. La dernière tient à la sélection par un lecteur principal unique, que le contrôle par échantillon atténue sans l'éliminer entièrement.</w:t>
      </w:r>
    </w:p>
    <w:p>
      <w:pPr>
        <w:pStyle w:val="Heading1"/>
      </w:pPr>
      <w:r>
        <w:t xml:space="preserve">13. Modifications du protocole</w:t>
      </w:r>
    </w:p>
    <w:p>
      <w:pPr>
        <w:spacing w:after="120" w:line="360"/>
        <w:ind w:firstLine="567"/>
        <w:jc w:val="both"/>
      </w:pPr>
      <w:r>
        <w:t xml:space="preserve">Toute modification apportée au protocole après le début de la recherche, qu'elle concerne les équations, les sources ou les critères, sera datée, justifiée et consignée dans un tableau des écarts joint en annexe. Les résultats obtenus avant et après la modification resteront identifiables.</w:t>
      </w:r>
    </w:p>
    <w:p>
      <w:r>
        <w:br w:type="page"/>
      </w:r>
    </w:p>
    <w:p>
      <w:pPr>
        <w:pStyle w:val="Heading1"/>
      </w:pPr>
      <w:r>
        <w:t xml:space="preserve">Références</w:t>
      </w:r>
    </w:p>
    <w:p>
      <w:pPr>
        <w:spacing w:after="120" w:line="360"/>
        <w:ind w:firstLine="0"/>
        <w:jc w:val="both"/>
      </w:pPr>
      <w:r>
        <w:rPr>
          <w:i/>
          <w:iCs/>
        </w:rPr>
        <w:t xml:space="preserve">Références méthodologiques</w:t>
      </w:r>
    </w:p>
    <w:p>
      <w:pPr>
        <w:spacing w:after="120" w:line="276"/>
        <w:ind w:left="567" w:hanging="567"/>
        <w:jc w:val="left"/>
      </w:pPr>
      <w:r>
        <w:t xml:space="preserve">Aria, M. et Cuccurullo, C. (2017). bibliometrix: An R-tool for comprehensive science mapping analysis. </w:t>
      </w:r>
      <w:r>
        <w:rPr>
          <w:i/>
          <w:iCs/>
        </w:rPr>
        <w:t xml:space="preserve">Journal of Informetrics</w:t>
      </w:r>
      <w:r>
        <w:t xml:space="preserve">, </w:t>
      </w:r>
      <w:r>
        <w:rPr>
          <w:i/>
          <w:iCs/>
        </w:rPr>
        <w:t xml:space="preserve">11</w:t>
      </w:r>
      <w:r>
        <w:t xml:space="preserve">(4), 959-975. https://doi.org/10.1016/j.joi.2017.08.007</w:t>
      </w:r>
    </w:p>
    <w:p>
      <w:pPr>
        <w:spacing w:after="120" w:line="276"/>
        <w:ind w:left="567" w:hanging="567"/>
        <w:jc w:val="left"/>
      </w:pPr>
      <w:r>
        <w:t xml:space="preserve">Braun, V. et Clarke, V. (2006). Using thematic analysis in psychology. </w:t>
      </w:r>
      <w:r>
        <w:rPr>
          <w:i/>
          <w:iCs/>
        </w:rPr>
        <w:t xml:space="preserve">Qualitative Research in Psychology</w:t>
      </w:r>
      <w:r>
        <w:t xml:space="preserve">, </w:t>
      </w:r>
      <w:r>
        <w:rPr>
          <w:i/>
          <w:iCs/>
        </w:rPr>
        <w:t xml:space="preserve">3</w:t>
      </w:r>
      <w:r>
        <w:t xml:space="preserve">(2), 77-101. https://doi.org/10.1191/1478088706qp063oa</w:t>
      </w:r>
    </w:p>
    <w:p>
      <w:pPr>
        <w:spacing w:after="120" w:line="276"/>
        <w:ind w:left="567" w:hanging="567"/>
        <w:jc w:val="left"/>
      </w:pPr>
      <w:r>
        <w:t xml:space="preserve">Cohen, J. (1960). A coefficient of agreement for nominal scales. </w:t>
      </w:r>
      <w:r>
        <w:rPr>
          <w:i/>
          <w:iCs/>
        </w:rPr>
        <w:t xml:space="preserve">Educational and Psychological Measurement</w:t>
      </w:r>
      <w:r>
        <w:t xml:space="preserve">, </w:t>
      </w:r>
      <w:r>
        <w:rPr>
          <w:i/>
          <w:iCs/>
        </w:rPr>
        <w:t xml:space="preserve">20</w:t>
      </w:r>
      <w:r>
        <w:t xml:space="preserve">(1), 37-46. https://doi.org/10.1177/001316446002000104</w:t>
      </w:r>
    </w:p>
    <w:p>
      <w:pPr>
        <w:spacing w:after="120" w:line="276"/>
        <w:ind w:left="567" w:hanging="567"/>
        <w:jc w:val="left"/>
      </w:pPr>
      <w:r>
        <w:t xml:space="preserve">Hong, Q. N., Gonzalez-Reyes, A. et Pluye, P. (2018). Improving the usefulness of a tool for appraising the quality of qualitative, quantitative and mixed methods studies, the Mixed Methods Appraisal Tool (MMAT). </w:t>
      </w:r>
      <w:r>
        <w:rPr>
          <w:i/>
          <w:iCs/>
        </w:rPr>
        <w:t xml:space="preserve">Journal of Evaluation in Clinical Practice</w:t>
      </w:r>
      <w:r>
        <w:t xml:space="preserve">, </w:t>
      </w:r>
      <w:r>
        <w:rPr>
          <w:i/>
          <w:iCs/>
        </w:rPr>
        <w:t xml:space="preserve">24</w:t>
      </w:r>
      <w:r>
        <w:t xml:space="preserve">(3), 459-467. https://doi.org/10.1111/jep.12884</w:t>
      </w:r>
    </w:p>
    <w:p>
      <w:pPr>
        <w:spacing w:after="120" w:line="276"/>
        <w:ind w:left="567" w:hanging="567"/>
        <w:jc w:val="left"/>
      </w:pPr>
      <w:r>
        <w:t xml:space="preserve">Moher, D., Shamseer, L., Clarke, M., Ghersi, D., Liberati, A., Petticrew, M., Shekelle, P., Stewart, L. A. et PRISMA-P Group. (2015). Preferred reporting items for systematic review and meta-analysis protocols (PRISMA-P) 2015 statement. </w:t>
      </w:r>
      <w:r>
        <w:rPr>
          <w:i/>
          <w:iCs/>
        </w:rPr>
        <w:t xml:space="preserve">Systematic Reviews</w:t>
      </w:r>
      <w:r>
        <w:t xml:space="preserve">, </w:t>
      </w:r>
      <w:r>
        <w:rPr>
          <w:i/>
          <w:iCs/>
        </w:rPr>
        <w:t xml:space="preserve">4</w:t>
      </w:r>
      <w:r>
        <w:t xml:space="preserve">, 1. https://doi.org/10.1186/2046-4053-4-1</w:t>
      </w:r>
    </w:p>
    <w:p>
      <w:pPr>
        <w:spacing w:after="120" w:line="276"/>
        <w:ind w:left="567" w:hanging="567"/>
        <w:jc w:val="left"/>
      </w:pPr>
      <w:r>
        <w:t xml:space="preserve">Page, M. J., McKenzie, J. E., Bossuyt, P. M., Boutron, I., Hoffmann, T. C., Mulrow, C. D. et al. (2021). The PRISMA 2020 statement: An updated guideline for reporting systematic reviews. </w:t>
      </w:r>
      <w:r>
        <w:rPr>
          <w:i/>
          <w:iCs/>
        </w:rPr>
        <w:t xml:space="preserve">BMJ</w:t>
      </w:r>
      <w:r>
        <w:t xml:space="preserve">, </w:t>
      </w:r>
      <w:r>
        <w:rPr>
          <w:i/>
          <w:iCs/>
        </w:rPr>
        <w:t xml:space="preserve">372</w:t>
      </w:r>
      <w:r>
        <w:t xml:space="preserve">, n71. https://doi.org/10.1136/bmj.n71</w:t>
      </w:r>
    </w:p>
    <w:p>
      <w:pPr>
        <w:spacing w:after="120" w:line="276"/>
        <w:ind w:left="567" w:hanging="567"/>
        <w:jc w:val="left"/>
      </w:pPr>
      <w:r>
        <w:t xml:space="preserve">Priem, J., Piwowar, H. et Orr, R. (2022). </w:t>
      </w:r>
      <w:r>
        <w:rPr>
          <w:i/>
          <w:iCs/>
        </w:rPr>
        <w:t xml:space="preserve">OpenAlex: A fully-open index of scholarly works, authors, venues, institutions, and concepts</w:t>
      </w:r>
      <w:r>
        <w:t xml:space="preserve"> [prépublication]. arXiv. https://doi.org/10.48550/arXiv.2205.01833</w:t>
      </w:r>
    </w:p>
    <w:p>
      <w:pPr>
        <w:spacing w:after="120" w:line="276"/>
        <w:ind w:left="567" w:hanging="567"/>
        <w:jc w:val="left"/>
      </w:pPr>
      <w:r>
        <w:t xml:space="preserve">Rethlefsen, M. L., Kirtley, S., Waffenschmidt, S., Ayala, A. P., Moher, D., Page, M. J., Koffel, J. B. et PRISMA-S Group. (2021). PRISMA-S: An extension to the PRISMA statement for reporting literature searches in systematic reviews. </w:t>
      </w:r>
      <w:r>
        <w:rPr>
          <w:i/>
          <w:iCs/>
        </w:rPr>
        <w:t xml:space="preserve">Systematic Reviews</w:t>
      </w:r>
      <w:r>
        <w:t xml:space="preserve">, </w:t>
      </w:r>
      <w:r>
        <w:rPr>
          <w:i/>
          <w:iCs/>
        </w:rPr>
        <w:t xml:space="preserve">10</w:t>
      </w:r>
      <w:r>
        <w:t xml:space="preserve">, 39. https://doi.org/10.1186/s13643-020-01542-z</w:t>
      </w:r>
    </w:p>
    <w:p>
      <w:pPr>
        <w:spacing w:after="120" w:line="276"/>
        <w:ind w:left="567" w:hanging="567"/>
        <w:jc w:val="left"/>
      </w:pPr>
      <w:r>
        <w:t xml:space="preserve">Snyder, H. (2019). Literature review as a research methodology: An overview and guidelines. </w:t>
      </w:r>
      <w:r>
        <w:rPr>
          <w:i/>
          <w:iCs/>
        </w:rPr>
        <w:t xml:space="preserve">Journal of Business Research</w:t>
      </w:r>
      <w:r>
        <w:t xml:space="preserve">, </w:t>
      </w:r>
      <w:r>
        <w:rPr>
          <w:i/>
          <w:iCs/>
        </w:rPr>
        <w:t xml:space="preserve">104</w:t>
      </w:r>
      <w:r>
        <w:t xml:space="preserve">, 333-339. https://doi.org/10.1016/j.jbusres.2019.07.039</w:t>
      </w:r>
    </w:p>
    <w:p>
      <w:pPr>
        <w:spacing w:after="120" w:line="276"/>
        <w:ind w:left="567" w:hanging="567"/>
        <w:jc w:val="left"/>
      </w:pPr>
      <w:r>
        <w:t xml:space="preserve">Tranfield, D., Denyer, D. et Smart, P. (2003). Towards a methodology for developing evidence-informed management knowledge by means of systematic review. </w:t>
      </w:r>
      <w:r>
        <w:rPr>
          <w:i/>
          <w:iCs/>
        </w:rPr>
        <w:t xml:space="preserve">British Journal of Management</w:t>
      </w:r>
      <w:r>
        <w:t xml:space="preserve">, </w:t>
      </w:r>
      <w:r>
        <w:rPr>
          <w:i/>
          <w:iCs/>
        </w:rPr>
        <w:t xml:space="preserve">14</w:t>
      </w:r>
      <w:r>
        <w:t xml:space="preserve">(3), 207-222. https://doi.org/10.1111/1467-8551.00375</w:t>
      </w:r>
    </w:p>
    <w:p>
      <w:pPr>
        <w:spacing w:after="120" w:line="276"/>
        <w:ind w:left="567" w:hanging="567"/>
        <w:jc w:val="left"/>
      </w:pPr>
      <w:r>
        <w:t xml:space="preserve">van Eck, N. J. et Waltman, L. (2010). Software survey: VOSviewer, a computer program for bibliometric mapping. </w:t>
      </w:r>
      <w:r>
        <w:rPr>
          <w:i/>
          <w:iCs/>
        </w:rPr>
        <w:t xml:space="preserve">Scientometrics</w:t>
      </w:r>
      <w:r>
        <w:t xml:space="preserve">, </w:t>
      </w:r>
      <w:r>
        <w:rPr>
          <w:i/>
          <w:iCs/>
        </w:rPr>
        <w:t xml:space="preserve">84</w:t>
      </w:r>
      <w:r>
        <w:t xml:space="preserve">(2), 523-538. https://doi.org/10.1007/s11192-009-0146-3</w:t>
      </w:r>
    </w:p>
    <w:p>
      <w:pPr>
        <w:spacing w:after="120" w:before="240"/>
        <w:ind w:firstLine="0"/>
        <w:jc w:val="both"/>
      </w:pPr>
      <w:r>
        <w:rPr>
          <w:i/>
          <w:iCs/>
        </w:rPr>
        <w:t xml:space="preserve">Références de contexte</w:t>
      </w:r>
    </w:p>
    <w:p>
      <w:pPr>
        <w:spacing w:after="120" w:line="276"/>
        <w:ind w:left="567" w:hanging="567"/>
        <w:jc w:val="left"/>
      </w:pPr>
      <w:r>
        <w:t xml:space="preserve">Cui, W. (2020). The digital services tax: A conceptual defense. </w:t>
      </w:r>
      <w:r>
        <w:rPr>
          <w:i/>
          <w:iCs/>
        </w:rPr>
        <w:t xml:space="preserve">Tax Law Review</w:t>
      </w:r>
      <w:r>
        <w:t xml:space="preserve">, </w:t>
      </w:r>
      <w:r>
        <w:rPr>
          <w:i/>
          <w:iCs/>
        </w:rPr>
        <w:t xml:space="preserve">73</w:t>
      </w:r>
      <w:r>
        <w:t xml:space="preserve">(1), 69-111.</w:t>
      </w:r>
    </w:p>
    <w:p>
      <w:pPr>
        <w:spacing w:after="120" w:line="276"/>
        <w:ind w:left="567" w:hanging="567"/>
        <w:jc w:val="left"/>
      </w:pPr>
      <w:r>
        <w:t xml:space="preserve">Devereux, M. P. et Vella, J. (2018). Implications of digitalization for international corporate tax reform. </w:t>
      </w:r>
      <w:r>
        <w:rPr>
          <w:i/>
          <w:iCs/>
        </w:rPr>
        <w:t xml:space="preserve">Intertax</w:t>
      </w:r>
      <w:r>
        <w:t xml:space="preserve">, </w:t>
      </w:r>
      <w:r>
        <w:rPr>
          <w:i/>
          <w:iCs/>
        </w:rPr>
        <w:t xml:space="preserve">46</w:t>
      </w:r>
      <w:r>
        <w:t xml:space="preserve">(6-7), 550-559.</w:t>
      </w:r>
    </w:p>
    <w:p>
      <w:pPr>
        <w:spacing w:after="120" w:line="276"/>
        <w:ind w:left="567" w:hanging="567"/>
        <w:jc w:val="left"/>
      </w:pPr>
      <w:r>
        <w:t xml:space="preserve">OCDE. (2015). </w:t>
      </w:r>
      <w:r>
        <w:rPr>
          <w:i/>
          <w:iCs/>
        </w:rPr>
        <w:t xml:space="preserve">Relever les défis fiscaux posés par l'économie numérique, Action 1 — Rapport final 2015</w:t>
      </w:r>
      <w:r>
        <w:t xml:space="preserve">. Projet OCDE/G20 sur l'érosion de la base d'imposition et le transfert de bénéfices. Éditions OCDE.</w:t>
      </w:r>
    </w:p>
    <w:p>
      <w:pPr>
        <w:spacing w:after="120" w:line="276"/>
        <w:ind w:left="567" w:hanging="567"/>
        <w:jc w:val="left"/>
      </w:pPr>
      <w:r>
        <w:t xml:space="preserve">OCDE. (2021a). </w:t>
      </w:r>
      <w:r>
        <w:rPr>
          <w:i/>
          <w:iCs/>
        </w:rPr>
        <w:t xml:space="preserve">Déclaration sur une solution reposant sur deux piliers pour résoudre les défis fiscaux soulevés par la numérisation de l'économie</w:t>
      </w:r>
      <w:r>
        <w:t xml:space="preserve">. Cadre inclusif OCDE/G20 sur le BEPS, 8 octobre 2021.</w:t>
      </w:r>
    </w:p>
    <w:p>
      <w:pPr>
        <w:spacing w:after="120" w:line="276"/>
        <w:ind w:left="567" w:hanging="567"/>
        <w:jc w:val="left"/>
      </w:pPr>
      <w:r>
        <w:t xml:space="preserve">OCDE. (2021b). </w:t>
      </w:r>
      <w:r>
        <w:rPr>
          <w:i/>
          <w:iCs/>
        </w:rPr>
        <w:t xml:space="preserve">Défis fiscaux soulevés par la numérisation de l'économie — Règles globales anti-érosion de la base d'imposition (Pilier Deux)</w:t>
      </w:r>
      <w:r>
        <w:t xml:space="preserve">. Éditions OCDE.</w:t>
      </w:r>
    </w:p>
    <w:p>
      <w:pPr>
        <w:spacing w:after="120" w:line="276"/>
        <w:ind w:left="567" w:hanging="567"/>
        <w:jc w:val="left"/>
      </w:pPr>
      <w:r>
        <w:t xml:space="preserve">Olbert, M. et Spengel, C. (2017). International taxation in the digital economy: Challenge accepted? </w:t>
      </w:r>
      <w:r>
        <w:rPr>
          <w:i/>
          <w:iCs/>
        </w:rPr>
        <w:t xml:space="preserve">World Tax Journal</w:t>
      </w:r>
      <w:r>
        <w:t xml:space="preserve">, </w:t>
      </w:r>
      <w:r>
        <w:rPr>
          <w:i/>
          <w:iCs/>
        </w:rPr>
        <w:t xml:space="preserve">9</w:t>
      </w:r>
      <w:r>
        <w:t xml:space="preserve">(1).</w:t>
      </w:r>
    </w:p>
    <w:p>
      <w:pPr>
        <w:spacing w:after="120" w:line="276"/>
        <w:ind w:left="567" w:hanging="567"/>
        <w:jc w:val="left"/>
      </w:pPr>
      <w:r>
        <w:t xml:space="preserve">Royaume du Maroc. (2021). Dahir n° 1-21-86 du 15 hija 1442 (26 juillet 2021) portant promulgation de la loi-cadre n° 69-19 portant réforme fiscale. </w:t>
      </w:r>
      <w:r>
        <w:rPr>
          <w:i/>
          <w:iCs/>
        </w:rPr>
        <w:t xml:space="preserve">Bulletin officiel</w:t>
      </w:r>
      <w:r>
        <w:t xml:space="preserve">, n° 7010, 5 août 2021, p. 1152.</w:t>
      </w:r>
    </w:p>
    <w:sectPr>
      <w:footerReference w:type="default" r:id="rId7"/>
      <w:footerReference w:type="first" r:id="rId8"/>
      <w:pgSz w:w="11906" w:h="16838" w:orient="portrait"/>
      <w:pgMar w:top="1418" w:right="1418" w:bottom="1418" w:left="1418"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51" w:hanging="284"/>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80" w:before="36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keepNext/>
      <w:spacing w:after="120" w:before="240"/>
      <w:outlineLvl w:val="1"/>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Protocole de revue systématique de la littérature</dc:title>
  <dc:creator>Doctorant</dc:creator>
  <cp:lastModifiedBy>Un-named</cp:lastModifiedBy>
  <cp:revision>1</cp:revision>
  <dcterms:created xsi:type="dcterms:W3CDTF">2026-10-23T09:07:51.139Z</dcterms:created>
  <dcterms:modified xsi:type="dcterms:W3CDTF">2026-10-23T09:07:51.139Z</dcterms:modified>
</cp:coreProperties>
</file>

<file path=docProps/custom.xml><?xml version="1.0" encoding="utf-8"?>
<Properties xmlns="http://schemas.openxmlformats.org/officeDocument/2006/custom-properties" xmlns:vt="http://schemas.openxmlformats.org/officeDocument/2006/docPropsVTypes"/>
</file>