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B2545"/>
          <w:sz w:val="36"/>
        </w:rPr>
        <w:t>LSTM vs Transformer Encoder for AG News Classification</w:t>
      </w:r>
    </w:p>
    <w:p>
      <w:pPr>
        <w:pStyle w:val="Heading1"/>
      </w:pPr>
      <w:r>
        <w:t>1. Introduction</w:t>
      </w:r>
    </w:p>
    <w:p>
      <w:pPr>
        <w:spacing w:after="100" w:line="259" w:lineRule="auto"/>
      </w:pPr>
      <w:r>
        <w:t>This project compares two neural text classifiers trained from scratch on the AG News four-class classification task: a bidirectional LSTM classifier and a Transformer Encoder classifier. The goal is not simply to maximize accuracy. The project evaluates how recurrent sequence modeling and self-attention differ in classification performance, training behavior, convergence patterns, data efficiency, and failure cases.</w:t>
      </w:r>
    </w:p>
    <w:p>
      <w:pPr>
        <w:spacing w:after="100" w:line="259" w:lineRule="auto"/>
      </w:pPr>
      <w:r>
        <w:t>Both models use the same dataset source, split procedure, tokenizer, vocabulary, maximum sequence length, optimizer family, training budget, and evaluation metrics. This controlled setup makes the comparison more informative than a raw leaderboard-style accuracy result. The main research question is: under a shared preprocessing and training pipeline, how do the LSTM and Transformer Encoder differ on AG News classification?</w:t>
      </w:r>
    </w:p>
    <w:p>
      <w:pPr>
        <w:pStyle w:val="Heading1"/>
      </w:pPr>
      <w:r>
        <w:t>2. Dataset And Preprocessing</w:t>
      </w:r>
    </w:p>
    <w:p>
      <w:pPr>
        <w:spacing w:after="100" w:line="259" w:lineRule="auto"/>
      </w:pPr>
      <w:r>
        <w:t>The project uses Hugging Face `fancyzhx/ag_news` as the only dataset source. The official training split was divided into 108,000 training examples and 12,000 validation examples using `train_test_split(test_size=0.1, seed=42)`. The official test split contains 7,600 examples and was reserved for final evaluation only.</w:t>
      </w:r>
    </w:p>
    <w:p>
      <w:pPr>
        <w:spacing w:after="100" w:line="259" w:lineRule="auto"/>
      </w:pPr>
      <w:r>
        <w:t>The four labels are `World`, `Sports`, `Business`, and `Sci/Tech`. The official test split is balanced, with 1,900 examples per class. The training split is also nearly balanced: 26,991 World, 26,966 Sports, 27,100 Business, and 26,943 Sci/Tech examples. Labels were verified as integer class indices `0, 1, 2, 3`, which matches the requirement for `torch.nn.CrossEntropyLoss`.</w:t>
      </w:r>
    </w:p>
    <w:p>
      <w:pPr>
        <w:spacing w:after="100" w:line="259" w:lineRule="auto"/>
      </w:pPr>
      <w:r>
        <w:t>Texts were tokenized with a reproducible regular-expression tokenizer. The vocabulary was built only from the training split to avoid vocabulary leakage. The vocabulary size was capped at 20,000 tokens, with reserved indices for padding and unknown tokens. The main comparison used a maximum sequence length of 128 tokens. Both models received the same padded and truncated token IDs, and padding masks were used during LSTM pooling and Transformer attention.</w:t>
      </w:r>
    </w:p>
    <w:p>
      <w:pPr>
        <w:pStyle w:val="Heading1"/>
      </w:pPr>
      <w:r>
        <w:t>3. Models</w:t>
      </w:r>
    </w:p>
    <w:p>
      <w:pPr>
        <w:spacing w:after="100" w:line="259" w:lineRule="auto"/>
      </w:pPr>
      <w:r>
        <w:t>The LSTM uses an embedding layer, one-layer bidirectional LSTM, masked mean pooling, dropout, and a linear classifier. The Transformer Encoder uses embeddings, learned positional embeddings, two encoder layers, four heads, masked mean pooling, dropout, and a classifier.</w:t>
      </w:r>
    </w:p>
    <w:tbl>
      <w:tblPr>
        <w:tblStyle w:val="TableGrid"/>
        <w:tblW w:type="auto" w:w="0"/>
        <w:jc w:val="center"/>
        <w:tblLook w:firstColumn="1" w:firstRow="1" w:lastColumn="0" w:lastRow="0" w:noHBand="0" w:noVBand="1" w:val="04A0"/>
      </w:tblPr>
      <w:tblGrid>
        <w:gridCol w:w="4968"/>
        <w:gridCol w:w="4968"/>
      </w:tblGrid>
      <w:tr>
        <w:tc>
          <w:tcPr>
            <w:tcW w:type="dxa" w:w="4320"/>
            <w:vAlign w:val="center"/>
            <w:shd w:fill="F2F4F7"/>
          </w:tcPr>
          <w:p>
            <w:r/>
            <w:r>
              <w:rPr>
                <w:rFonts w:ascii="Calibri" w:hAnsi="Calibri"/>
                <w:b/>
                <w:sz w:val="18"/>
              </w:rPr>
              <w:t>Model</w:t>
            </w:r>
          </w:p>
        </w:tc>
        <w:tc>
          <w:tcPr>
            <w:tcW w:type="dxa" w:w="2880"/>
            <w:vAlign w:val="center"/>
            <w:shd w:fill="F2F4F7"/>
          </w:tcPr>
          <w:p>
            <w:r/>
            <w:r>
              <w:rPr>
                <w:rFonts w:ascii="Calibri" w:hAnsi="Calibri"/>
                <w:b/>
                <w:sz w:val="18"/>
              </w:rPr>
              <w:t>Trainable parameters</w:t>
            </w:r>
          </w:p>
        </w:tc>
      </w:tr>
      <w:tr>
        <w:tc>
          <w:tcPr>
            <w:tcW w:type="dxa" w:w="4320"/>
            <w:vAlign w:val="center"/>
          </w:tcPr>
          <w:p>
            <w:r/>
            <w:r>
              <w:rPr>
                <w:rFonts w:ascii="Calibri" w:hAnsi="Calibri"/>
                <w:b w:val="0"/>
                <w:sz w:val="18"/>
              </w:rPr>
              <w:t>LSTM</w:t>
            </w:r>
          </w:p>
        </w:tc>
        <w:tc>
          <w:tcPr>
            <w:tcW w:type="dxa" w:w="2880"/>
            <w:vAlign w:val="center"/>
          </w:tcPr>
          <w:p>
            <w:r/>
            <w:r>
              <w:rPr>
                <w:rFonts w:ascii="Calibri" w:hAnsi="Calibri"/>
                <w:b w:val="0"/>
                <w:sz w:val="18"/>
              </w:rPr>
              <w:t>2,825,220</w:t>
            </w:r>
          </w:p>
        </w:tc>
      </w:tr>
      <w:tr>
        <w:tc>
          <w:tcPr>
            <w:tcW w:type="dxa" w:w="4320"/>
            <w:vAlign w:val="center"/>
          </w:tcPr>
          <w:p>
            <w:r/>
            <w:r>
              <w:rPr>
                <w:rFonts w:ascii="Calibri" w:hAnsi="Calibri"/>
                <w:b w:val="0"/>
                <w:sz w:val="18"/>
              </w:rPr>
              <w:t>Transformer Encoder</w:t>
            </w:r>
          </w:p>
        </w:tc>
        <w:tc>
          <w:tcPr>
            <w:tcW w:type="dxa" w:w="2880"/>
            <w:vAlign w:val="center"/>
          </w:tcPr>
          <w:p>
            <w:r/>
            <w:r>
              <w:rPr>
                <w:rFonts w:ascii="Calibri" w:hAnsi="Calibri"/>
                <w:b w:val="0"/>
                <w:sz w:val="18"/>
              </w:rPr>
              <w:t>2,973,444</w:t>
            </w:r>
          </w:p>
        </w:tc>
      </w:tr>
    </w:tbl>
    <w:p/>
    <w:tbl>
      <w:tblPr>
        <w:tblStyle w:val="TableGrid"/>
        <w:tblW w:type="auto" w:w="0"/>
        <w:jc w:val="center"/>
        <w:tblLook w:firstColumn="1" w:firstRow="1" w:lastColumn="0" w:lastRow="0" w:noHBand="0" w:noVBand="1" w:val="04A0"/>
      </w:tblPr>
      <w:tblGrid>
        <w:gridCol w:w="3312"/>
        <w:gridCol w:w="3312"/>
        <w:gridCol w:w="3312"/>
      </w:tblGrid>
      <w:tr>
        <w:tc>
          <w:tcPr>
            <w:tcW w:type="dxa" w:w="2448"/>
            <w:vAlign w:val="center"/>
            <w:shd w:fill="F2F4F7"/>
          </w:tcPr>
          <w:p>
            <w:r/>
            <w:r>
              <w:rPr>
                <w:rFonts w:ascii="Calibri" w:hAnsi="Calibri"/>
                <w:b/>
                <w:sz w:val="18"/>
              </w:rPr>
              <w:t>Setting</w:t>
            </w:r>
          </w:p>
        </w:tc>
        <w:tc>
          <w:tcPr>
            <w:tcW w:type="dxa" w:w="3168"/>
            <w:vAlign w:val="center"/>
            <w:shd w:fill="F2F4F7"/>
          </w:tcPr>
          <w:p>
            <w:r/>
            <w:r>
              <w:rPr>
                <w:rFonts w:ascii="Calibri" w:hAnsi="Calibri"/>
                <w:b/>
                <w:sz w:val="18"/>
              </w:rPr>
              <w:t>LSTM</w:t>
            </w:r>
          </w:p>
        </w:tc>
        <w:tc>
          <w:tcPr>
            <w:tcW w:type="dxa" w:w="3312"/>
            <w:vAlign w:val="center"/>
            <w:shd w:fill="F2F4F7"/>
          </w:tcPr>
          <w:p>
            <w:r/>
            <w:r>
              <w:rPr>
                <w:rFonts w:ascii="Calibri" w:hAnsi="Calibri"/>
                <w:b/>
                <w:sz w:val="18"/>
              </w:rPr>
              <w:t>Transformer Encoder</w:t>
            </w:r>
          </w:p>
        </w:tc>
      </w:tr>
      <w:tr>
        <w:tc>
          <w:tcPr>
            <w:tcW w:type="dxa" w:w="2448"/>
            <w:vAlign w:val="center"/>
          </w:tcPr>
          <w:p>
            <w:r/>
            <w:r>
              <w:rPr>
                <w:rFonts w:ascii="Calibri" w:hAnsi="Calibri"/>
                <w:b w:val="0"/>
                <w:sz w:val="18"/>
              </w:rPr>
              <w:t>Vocabulary size</w:t>
            </w:r>
          </w:p>
        </w:tc>
        <w:tc>
          <w:tcPr>
            <w:tcW w:type="dxa" w:w="3168"/>
            <w:vAlign w:val="center"/>
          </w:tcPr>
          <w:p>
            <w:r/>
            <w:r>
              <w:rPr>
                <w:rFonts w:ascii="Calibri" w:hAnsi="Calibri"/>
                <w:b w:val="0"/>
                <w:sz w:val="18"/>
              </w:rPr>
              <w:t>20,000</w:t>
            </w:r>
          </w:p>
        </w:tc>
        <w:tc>
          <w:tcPr>
            <w:tcW w:type="dxa" w:w="3312"/>
            <w:vAlign w:val="center"/>
          </w:tcPr>
          <w:p>
            <w:r/>
            <w:r>
              <w:rPr>
                <w:rFonts w:ascii="Calibri" w:hAnsi="Calibri"/>
                <w:b w:val="0"/>
                <w:sz w:val="18"/>
              </w:rPr>
              <w:t>20,000</w:t>
            </w:r>
          </w:p>
        </w:tc>
      </w:tr>
      <w:tr>
        <w:tc>
          <w:tcPr>
            <w:tcW w:type="dxa" w:w="2448"/>
            <w:vAlign w:val="center"/>
          </w:tcPr>
          <w:p>
            <w:r/>
            <w:r>
              <w:rPr>
                <w:rFonts w:ascii="Calibri" w:hAnsi="Calibri"/>
                <w:b w:val="0"/>
                <w:sz w:val="18"/>
              </w:rPr>
              <w:t>Embedding dimension</w:t>
            </w:r>
          </w:p>
        </w:tc>
        <w:tc>
          <w:tcPr>
            <w:tcW w:type="dxa" w:w="3168"/>
            <w:vAlign w:val="center"/>
          </w:tcPr>
          <w:p>
            <w:r/>
            <w:r>
              <w:rPr>
                <w:rFonts w:ascii="Calibri" w:hAnsi="Calibri"/>
                <w:b w:val="0"/>
                <w:sz w:val="18"/>
              </w:rPr>
              <w:t>128</w:t>
            </w:r>
          </w:p>
        </w:tc>
        <w:tc>
          <w:tcPr>
            <w:tcW w:type="dxa" w:w="3312"/>
            <w:vAlign w:val="center"/>
          </w:tcPr>
          <w:p>
            <w:r/>
            <w:r>
              <w:rPr>
                <w:rFonts w:ascii="Calibri" w:hAnsi="Calibri"/>
                <w:b w:val="0"/>
                <w:sz w:val="18"/>
              </w:rPr>
              <w:t>128</w:t>
            </w:r>
          </w:p>
        </w:tc>
      </w:tr>
      <w:tr>
        <w:tc>
          <w:tcPr>
            <w:tcW w:type="dxa" w:w="2448"/>
            <w:vAlign w:val="center"/>
          </w:tcPr>
          <w:p>
            <w:r/>
            <w:r>
              <w:rPr>
                <w:rFonts w:ascii="Calibri" w:hAnsi="Calibri"/>
                <w:b w:val="0"/>
                <w:sz w:val="18"/>
              </w:rPr>
              <w:t>Encoder depth</w:t>
            </w:r>
          </w:p>
        </w:tc>
        <w:tc>
          <w:tcPr>
            <w:tcW w:type="dxa" w:w="3168"/>
            <w:vAlign w:val="center"/>
          </w:tcPr>
          <w:p>
            <w:r/>
            <w:r>
              <w:rPr>
                <w:rFonts w:ascii="Calibri" w:hAnsi="Calibri"/>
                <w:b w:val="0"/>
                <w:sz w:val="18"/>
              </w:rPr>
              <w:t>1 bidirectional LSTM layer</w:t>
            </w:r>
          </w:p>
        </w:tc>
        <w:tc>
          <w:tcPr>
            <w:tcW w:type="dxa" w:w="3312"/>
            <w:vAlign w:val="center"/>
          </w:tcPr>
          <w:p>
            <w:r/>
            <w:r>
              <w:rPr>
                <w:rFonts w:ascii="Calibri" w:hAnsi="Calibri"/>
                <w:b w:val="0"/>
                <w:sz w:val="18"/>
              </w:rPr>
              <w:t>2 Transformer Encoder layers</w:t>
            </w:r>
          </w:p>
        </w:tc>
      </w:tr>
      <w:tr>
        <w:tc>
          <w:tcPr>
            <w:tcW w:type="dxa" w:w="2448"/>
            <w:vAlign w:val="center"/>
          </w:tcPr>
          <w:p>
            <w:r/>
            <w:r>
              <w:rPr>
                <w:rFonts w:ascii="Calibri" w:hAnsi="Calibri"/>
                <w:b w:val="0"/>
                <w:sz w:val="18"/>
              </w:rPr>
              <w:t>Hidden / feedforward</w:t>
            </w:r>
          </w:p>
        </w:tc>
        <w:tc>
          <w:tcPr>
            <w:tcW w:type="dxa" w:w="3168"/>
            <w:vAlign w:val="center"/>
          </w:tcPr>
          <w:p>
            <w:r/>
            <w:r>
              <w:rPr>
                <w:rFonts w:ascii="Calibri" w:hAnsi="Calibri"/>
                <w:b w:val="0"/>
                <w:sz w:val="18"/>
              </w:rPr>
              <w:t>128 per direction</w:t>
            </w:r>
          </w:p>
        </w:tc>
        <w:tc>
          <w:tcPr>
            <w:tcW w:type="dxa" w:w="3312"/>
            <w:vAlign w:val="center"/>
          </w:tcPr>
          <w:p>
            <w:r/>
            <w:r>
              <w:rPr>
                <w:rFonts w:ascii="Calibri" w:hAnsi="Calibri"/>
                <w:b w:val="0"/>
                <w:sz w:val="18"/>
              </w:rPr>
              <w:t>512 feedforward</w:t>
            </w:r>
          </w:p>
        </w:tc>
      </w:tr>
      <w:tr>
        <w:tc>
          <w:tcPr>
            <w:tcW w:type="dxa" w:w="2448"/>
            <w:vAlign w:val="center"/>
          </w:tcPr>
          <w:p>
            <w:r/>
            <w:r>
              <w:rPr>
                <w:rFonts w:ascii="Calibri" w:hAnsi="Calibri"/>
                <w:b w:val="0"/>
                <w:sz w:val="18"/>
              </w:rPr>
              <w:t>Attention heads</w:t>
            </w:r>
          </w:p>
        </w:tc>
        <w:tc>
          <w:tcPr>
            <w:tcW w:type="dxa" w:w="3168"/>
            <w:vAlign w:val="center"/>
          </w:tcPr>
          <w:p>
            <w:r/>
            <w:r>
              <w:rPr>
                <w:rFonts w:ascii="Calibri" w:hAnsi="Calibri"/>
                <w:b w:val="0"/>
                <w:sz w:val="18"/>
              </w:rPr>
              <w:t>Not applicable</w:t>
            </w:r>
          </w:p>
        </w:tc>
        <w:tc>
          <w:tcPr>
            <w:tcW w:type="dxa" w:w="3312"/>
            <w:vAlign w:val="center"/>
          </w:tcPr>
          <w:p>
            <w:r/>
            <w:r>
              <w:rPr>
                <w:rFonts w:ascii="Calibri" w:hAnsi="Calibri"/>
                <w:b w:val="0"/>
                <w:sz w:val="18"/>
              </w:rPr>
              <w:t>4</w:t>
            </w:r>
          </w:p>
        </w:tc>
      </w:tr>
      <w:tr>
        <w:tc>
          <w:tcPr>
            <w:tcW w:type="dxa" w:w="2448"/>
            <w:vAlign w:val="center"/>
          </w:tcPr>
          <w:p>
            <w:r/>
            <w:r>
              <w:rPr>
                <w:rFonts w:ascii="Calibri" w:hAnsi="Calibri"/>
                <w:b w:val="0"/>
                <w:sz w:val="18"/>
              </w:rPr>
              <w:t>Pooling</w:t>
            </w:r>
          </w:p>
        </w:tc>
        <w:tc>
          <w:tcPr>
            <w:tcW w:type="dxa" w:w="3168"/>
            <w:vAlign w:val="center"/>
          </w:tcPr>
          <w:p>
            <w:r/>
            <w:r>
              <w:rPr>
                <w:rFonts w:ascii="Calibri" w:hAnsi="Calibri"/>
                <w:b w:val="0"/>
                <w:sz w:val="18"/>
              </w:rPr>
              <w:t>Masked mean pooling</w:t>
            </w:r>
          </w:p>
        </w:tc>
        <w:tc>
          <w:tcPr>
            <w:tcW w:type="dxa" w:w="3312"/>
            <w:vAlign w:val="center"/>
          </w:tcPr>
          <w:p>
            <w:r/>
            <w:r>
              <w:rPr>
                <w:rFonts w:ascii="Calibri" w:hAnsi="Calibri"/>
                <w:b w:val="0"/>
                <w:sz w:val="18"/>
              </w:rPr>
              <w:t>Masked mean pooling</w:t>
            </w:r>
          </w:p>
        </w:tc>
      </w:tr>
      <w:tr>
        <w:tc>
          <w:tcPr>
            <w:tcW w:type="dxa" w:w="2448"/>
            <w:vAlign w:val="center"/>
          </w:tcPr>
          <w:p>
            <w:r/>
            <w:r>
              <w:rPr>
                <w:rFonts w:ascii="Calibri" w:hAnsi="Calibri"/>
                <w:b w:val="0"/>
                <w:sz w:val="18"/>
              </w:rPr>
              <w:t>Dropout</w:t>
            </w:r>
          </w:p>
        </w:tc>
        <w:tc>
          <w:tcPr>
            <w:tcW w:type="dxa" w:w="3168"/>
            <w:vAlign w:val="center"/>
          </w:tcPr>
          <w:p>
            <w:r/>
            <w:r>
              <w:rPr>
                <w:rFonts w:ascii="Calibri" w:hAnsi="Calibri"/>
                <w:b w:val="0"/>
                <w:sz w:val="18"/>
              </w:rPr>
              <w:t>0.2</w:t>
            </w:r>
          </w:p>
        </w:tc>
        <w:tc>
          <w:tcPr>
            <w:tcW w:type="dxa" w:w="3312"/>
            <w:vAlign w:val="center"/>
          </w:tcPr>
          <w:p>
            <w:r/>
            <w:r>
              <w:rPr>
                <w:rFonts w:ascii="Calibri" w:hAnsi="Calibri"/>
                <w:b w:val="0"/>
                <w:sz w:val="18"/>
              </w:rPr>
              <w:t>0.2</w:t>
            </w:r>
          </w:p>
        </w:tc>
      </w:tr>
      <w:tr>
        <w:tc>
          <w:tcPr>
            <w:tcW w:type="dxa" w:w="2448"/>
            <w:vAlign w:val="center"/>
          </w:tcPr>
          <w:p>
            <w:r/>
            <w:r>
              <w:rPr>
                <w:rFonts w:ascii="Calibri" w:hAnsi="Calibri"/>
                <w:b w:val="0"/>
                <w:sz w:val="18"/>
              </w:rPr>
              <w:t>Optimizer / LR</w:t>
            </w:r>
          </w:p>
        </w:tc>
        <w:tc>
          <w:tcPr>
            <w:tcW w:type="dxa" w:w="3168"/>
            <w:vAlign w:val="center"/>
          </w:tcPr>
          <w:p>
            <w:r/>
            <w:r>
              <w:rPr>
                <w:rFonts w:ascii="Calibri" w:hAnsi="Calibri"/>
                <w:b w:val="0"/>
                <w:sz w:val="18"/>
              </w:rPr>
              <w:t>Adam / 1e-3</w:t>
            </w:r>
          </w:p>
        </w:tc>
        <w:tc>
          <w:tcPr>
            <w:tcW w:type="dxa" w:w="3312"/>
            <w:vAlign w:val="center"/>
          </w:tcPr>
          <w:p>
            <w:r/>
            <w:r>
              <w:rPr>
                <w:rFonts w:ascii="Calibri" w:hAnsi="Calibri"/>
                <w:b w:val="0"/>
                <w:sz w:val="18"/>
              </w:rPr>
              <w:t>Adam / 1e-3</w:t>
            </w:r>
          </w:p>
        </w:tc>
      </w:tr>
      <w:tr>
        <w:tc>
          <w:tcPr>
            <w:tcW w:type="dxa" w:w="2448"/>
            <w:vAlign w:val="center"/>
          </w:tcPr>
          <w:p>
            <w:r/>
            <w:r>
              <w:rPr>
                <w:rFonts w:ascii="Calibri" w:hAnsi="Calibri"/>
                <w:b w:val="0"/>
                <w:sz w:val="18"/>
              </w:rPr>
              <w:t>Epochs / batch</w:t>
            </w:r>
          </w:p>
        </w:tc>
        <w:tc>
          <w:tcPr>
            <w:tcW w:type="dxa" w:w="3168"/>
            <w:vAlign w:val="center"/>
          </w:tcPr>
          <w:p>
            <w:r/>
            <w:r>
              <w:rPr>
                <w:rFonts w:ascii="Calibri" w:hAnsi="Calibri"/>
                <w:b w:val="0"/>
                <w:sz w:val="18"/>
              </w:rPr>
              <w:t>6 / 64</w:t>
            </w:r>
          </w:p>
        </w:tc>
        <w:tc>
          <w:tcPr>
            <w:tcW w:type="dxa" w:w="3312"/>
            <w:vAlign w:val="center"/>
          </w:tcPr>
          <w:p>
            <w:r/>
            <w:r>
              <w:rPr>
                <w:rFonts w:ascii="Calibri" w:hAnsi="Calibri"/>
                <w:b w:val="0"/>
                <w:sz w:val="18"/>
              </w:rPr>
              <w:t>6 / 64</w:t>
            </w:r>
          </w:p>
        </w:tc>
      </w:tr>
    </w:tbl>
    <w:p/>
    <w:p>
      <w:pPr>
        <w:spacing w:after="100" w:line="259" w:lineRule="auto"/>
      </w:pPr>
      <w:r>
        <w:t>Both models were trained from scratch with no pretrained embeddings or pretrained language models.</w:t>
      </w:r>
    </w:p>
    <w:p>
      <w:pPr>
        <w:pStyle w:val="Heading1"/>
      </w:pPr>
      <w:r>
        <w:t>4. Experiments</w:t>
      </w:r>
    </w:p>
    <w:p>
      <w:pPr>
        <w:spacing w:after="100" w:line="259" w:lineRule="auto"/>
      </w:pPr>
      <w:r>
        <w:t>The main comparison trained both models for 6 epochs using Adam, learning rate `1e-3`, batch size 64, dropout 0.2, seed 42, and CPU execution. The evaluation metrics were accuracy and macro F1-score. Macro F1 was included because AG News has multiple classes and the assignment requires class-sensitive evaluation, even though the dataset is nearly balanced.</w:t>
      </w:r>
    </w:p>
    <w:p>
      <w:pPr>
        <w:spacing w:after="100" w:line="259" w:lineRule="auto"/>
      </w:pPr>
      <w:r>
        <w:t>The required ablation changed one major factor: the fraction of training data. The tested fractions were 25%, 50%, and 100% of the training split. The hypothesis was that the LSTM would be more stable with less data, while the Transformer Encoder would benefit more from the full dataset because self-attention has greater capacity.</w:t>
      </w:r>
    </w:p>
    <w:p>
      <w:pPr>
        <w:spacing w:after="100" w:line="259" w:lineRule="auto"/>
      </w:pPr>
      <w:r>
        <w:t>An optional extension compared maximum sequence lengths of 128 and 256 tokens. This tested whether longer context improved validation performance enough to justify the additional training cost.</w:t>
      </w:r>
    </w:p>
    <w:p>
      <w:pPr>
        <w:pStyle w:val="Heading1"/>
      </w:pPr>
      <w:r>
        <w:t>5. Results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168"/>
            <w:vAlign w:val="center"/>
            <w:shd w:fill="F2F4F7"/>
          </w:tcPr>
          <w:p>
            <w:r/>
            <w:r>
              <w:rPr>
                <w:rFonts w:ascii="Calibri" w:hAnsi="Calibri"/>
                <w:b/>
                <w:sz w:val="18"/>
              </w:rPr>
              <w:t>Model</w:t>
            </w:r>
          </w:p>
        </w:tc>
        <w:tc>
          <w:tcPr>
            <w:tcW w:type="dxa" w:w="1152"/>
            <w:vAlign w:val="center"/>
            <w:shd w:fill="F2F4F7"/>
          </w:tcPr>
          <w:p>
            <w:r/>
            <w:r>
              <w:rPr>
                <w:rFonts w:ascii="Calibri" w:hAnsi="Calibri"/>
                <w:b/>
                <w:sz w:val="18"/>
              </w:rPr>
              <w:t>Split</w:t>
            </w:r>
          </w:p>
        </w:tc>
        <w:tc>
          <w:tcPr>
            <w:tcW w:type="dxa" w:w="1152"/>
            <w:vAlign w:val="center"/>
            <w:shd w:fill="F2F4F7"/>
          </w:tcPr>
          <w:p>
            <w:r/>
            <w:r>
              <w:rPr>
                <w:rFonts w:ascii="Calibri" w:hAnsi="Calibri"/>
                <w:b/>
                <w:sz w:val="18"/>
              </w:rPr>
              <w:t>Loss</w:t>
            </w:r>
          </w:p>
        </w:tc>
        <w:tc>
          <w:tcPr>
            <w:tcW w:type="dxa" w:w="1296"/>
            <w:vAlign w:val="center"/>
            <w:shd w:fill="F2F4F7"/>
          </w:tcPr>
          <w:p>
            <w:r/>
            <w:r>
              <w:rPr>
                <w:rFonts w:ascii="Calibri" w:hAnsi="Calibri"/>
                <w:b/>
                <w:sz w:val="18"/>
              </w:rPr>
              <w:t>Accuracy</w:t>
            </w:r>
          </w:p>
        </w:tc>
        <w:tc>
          <w:tcPr>
            <w:tcW w:type="dxa" w:w="1296"/>
            <w:vAlign w:val="center"/>
            <w:shd w:fill="F2F4F7"/>
          </w:tcPr>
          <w:p>
            <w:r/>
            <w:r>
              <w:rPr>
                <w:rFonts w:ascii="Calibri" w:hAnsi="Calibri"/>
                <w:b/>
                <w:sz w:val="18"/>
              </w:rPr>
              <w:t>Macro F1</w:t>
            </w:r>
          </w:p>
        </w:tc>
      </w:tr>
      <w:tr>
        <w:tc>
          <w:tcPr>
            <w:tcW w:type="dxa" w:w="3168"/>
            <w:vAlign w:val="center"/>
          </w:tcPr>
          <w:p>
            <w:r/>
            <w:r>
              <w:rPr>
                <w:rFonts w:ascii="Calibri" w:hAnsi="Calibri"/>
                <w:b w:val="0"/>
                <w:sz w:val="18"/>
              </w:rPr>
              <w:t>LSTM</w:t>
            </w:r>
          </w:p>
        </w:tc>
        <w:tc>
          <w:tcPr>
            <w:tcW w:type="dxa" w:w="1152"/>
            <w:vAlign w:val="center"/>
          </w:tcPr>
          <w:p>
            <w:r/>
            <w:r>
              <w:rPr>
                <w:rFonts w:ascii="Calibri" w:hAnsi="Calibri"/>
                <w:b w:val="0"/>
                <w:sz w:val="18"/>
              </w:rPr>
              <w:t>valid</w:t>
            </w:r>
          </w:p>
        </w:tc>
        <w:tc>
          <w:tcPr>
            <w:tcW w:type="dxa" w:w="1152"/>
            <w:vAlign w:val="center"/>
          </w:tcPr>
          <w:p>
            <w:r/>
            <w:r>
              <w:rPr>
                <w:rFonts w:ascii="Calibri" w:hAnsi="Calibri"/>
                <w:b w:val="0"/>
                <w:sz w:val="18"/>
              </w:rPr>
              <w:t>0.3402</w:t>
            </w:r>
          </w:p>
        </w:tc>
        <w:tc>
          <w:tcPr>
            <w:tcW w:type="dxa" w:w="1296"/>
            <w:vAlign w:val="center"/>
          </w:tcPr>
          <w:p>
            <w:r/>
            <w:r>
              <w:rPr>
                <w:rFonts w:ascii="Calibri" w:hAnsi="Calibri"/>
                <w:b w:val="0"/>
                <w:sz w:val="18"/>
              </w:rPr>
              <w:t>0.9113</w:t>
            </w:r>
          </w:p>
        </w:tc>
        <w:tc>
          <w:tcPr>
            <w:tcW w:type="dxa" w:w="1296"/>
            <w:vAlign w:val="center"/>
          </w:tcPr>
          <w:p>
            <w:r/>
            <w:r>
              <w:rPr>
                <w:rFonts w:ascii="Calibri" w:hAnsi="Calibri"/>
                <w:b w:val="0"/>
                <w:sz w:val="18"/>
              </w:rPr>
              <w:t>0.9108</w:t>
            </w:r>
          </w:p>
        </w:tc>
      </w:tr>
      <w:tr>
        <w:tc>
          <w:tcPr>
            <w:tcW w:type="dxa" w:w="3168"/>
            <w:vAlign w:val="center"/>
          </w:tcPr>
          <w:p>
            <w:r/>
            <w:r>
              <w:rPr>
                <w:rFonts w:ascii="Calibri" w:hAnsi="Calibri"/>
                <w:b w:val="0"/>
                <w:sz w:val="18"/>
              </w:rPr>
              <w:t>Transformer Encoder</w:t>
            </w:r>
          </w:p>
        </w:tc>
        <w:tc>
          <w:tcPr>
            <w:tcW w:type="dxa" w:w="1152"/>
            <w:vAlign w:val="center"/>
          </w:tcPr>
          <w:p>
            <w:r/>
            <w:r>
              <w:rPr>
                <w:rFonts w:ascii="Calibri" w:hAnsi="Calibri"/>
                <w:b w:val="0"/>
                <w:sz w:val="18"/>
              </w:rPr>
              <w:t>valid</w:t>
            </w:r>
          </w:p>
        </w:tc>
        <w:tc>
          <w:tcPr>
            <w:tcW w:type="dxa" w:w="1152"/>
            <w:vAlign w:val="center"/>
          </w:tcPr>
          <w:p>
            <w:r/>
            <w:r>
              <w:rPr>
                <w:rFonts w:ascii="Calibri" w:hAnsi="Calibri"/>
                <w:b w:val="0"/>
                <w:sz w:val="18"/>
              </w:rPr>
              <w:t>0.3103</w:t>
            </w:r>
          </w:p>
        </w:tc>
        <w:tc>
          <w:tcPr>
            <w:tcW w:type="dxa" w:w="1296"/>
            <w:vAlign w:val="center"/>
          </w:tcPr>
          <w:p>
            <w:r/>
            <w:r>
              <w:rPr>
                <w:rFonts w:ascii="Calibri" w:hAnsi="Calibri"/>
                <w:b w:val="0"/>
                <w:sz w:val="18"/>
              </w:rPr>
              <w:t>0.9118</w:t>
            </w:r>
          </w:p>
        </w:tc>
        <w:tc>
          <w:tcPr>
            <w:tcW w:type="dxa" w:w="1296"/>
            <w:vAlign w:val="center"/>
          </w:tcPr>
          <w:p>
            <w:r/>
            <w:r>
              <w:rPr>
                <w:rFonts w:ascii="Calibri" w:hAnsi="Calibri"/>
                <w:b w:val="0"/>
                <w:sz w:val="18"/>
              </w:rPr>
              <w:t>0.9115</w:t>
            </w:r>
          </w:p>
        </w:tc>
      </w:tr>
      <w:tr>
        <w:tc>
          <w:tcPr>
            <w:tcW w:type="dxa" w:w="3168"/>
            <w:vAlign w:val="center"/>
          </w:tcPr>
          <w:p>
            <w:r/>
            <w:r>
              <w:rPr>
                <w:rFonts w:ascii="Calibri" w:hAnsi="Calibri"/>
                <w:b w:val="0"/>
                <w:sz w:val="18"/>
              </w:rPr>
              <w:t>LSTM</w:t>
            </w:r>
          </w:p>
        </w:tc>
        <w:tc>
          <w:tcPr>
            <w:tcW w:type="dxa" w:w="1152"/>
            <w:vAlign w:val="center"/>
          </w:tcPr>
          <w:p>
            <w:r/>
            <w:r>
              <w:rPr>
                <w:rFonts w:ascii="Calibri" w:hAnsi="Calibri"/>
                <w:b w:val="0"/>
                <w:sz w:val="18"/>
              </w:rPr>
              <w:t>test</w:t>
            </w:r>
          </w:p>
        </w:tc>
        <w:tc>
          <w:tcPr>
            <w:tcW w:type="dxa" w:w="1152"/>
            <w:vAlign w:val="center"/>
          </w:tcPr>
          <w:p>
            <w:r/>
            <w:r>
              <w:rPr>
                <w:rFonts w:ascii="Calibri" w:hAnsi="Calibri"/>
                <w:b w:val="0"/>
                <w:sz w:val="18"/>
              </w:rPr>
              <w:t>0.3459</w:t>
            </w:r>
          </w:p>
        </w:tc>
        <w:tc>
          <w:tcPr>
            <w:tcW w:type="dxa" w:w="1296"/>
            <w:vAlign w:val="center"/>
          </w:tcPr>
          <w:p>
            <w:r/>
            <w:r>
              <w:rPr>
                <w:rFonts w:ascii="Calibri" w:hAnsi="Calibri"/>
                <w:b w:val="0"/>
                <w:sz w:val="18"/>
              </w:rPr>
              <w:t>0.9120</w:t>
            </w:r>
          </w:p>
        </w:tc>
        <w:tc>
          <w:tcPr>
            <w:tcW w:type="dxa" w:w="1296"/>
            <w:vAlign w:val="center"/>
          </w:tcPr>
          <w:p>
            <w:r/>
            <w:r>
              <w:rPr>
                <w:rFonts w:ascii="Calibri" w:hAnsi="Calibri"/>
                <w:b w:val="0"/>
                <w:sz w:val="18"/>
              </w:rPr>
              <w:t>0.9118</w:t>
            </w:r>
          </w:p>
        </w:tc>
      </w:tr>
      <w:tr>
        <w:tc>
          <w:tcPr>
            <w:tcW w:type="dxa" w:w="3168"/>
            <w:vAlign w:val="center"/>
          </w:tcPr>
          <w:p>
            <w:r/>
            <w:r>
              <w:rPr>
                <w:rFonts w:ascii="Calibri" w:hAnsi="Calibri"/>
                <w:b w:val="0"/>
                <w:sz w:val="18"/>
              </w:rPr>
              <w:t>Transformer Encoder</w:t>
            </w:r>
          </w:p>
        </w:tc>
        <w:tc>
          <w:tcPr>
            <w:tcW w:type="dxa" w:w="1152"/>
            <w:vAlign w:val="center"/>
          </w:tcPr>
          <w:p>
            <w:r/>
            <w:r>
              <w:rPr>
                <w:rFonts w:ascii="Calibri" w:hAnsi="Calibri"/>
                <w:b w:val="0"/>
                <w:sz w:val="18"/>
              </w:rPr>
              <w:t>test</w:t>
            </w:r>
          </w:p>
        </w:tc>
        <w:tc>
          <w:tcPr>
            <w:tcW w:type="dxa" w:w="1152"/>
            <w:vAlign w:val="center"/>
          </w:tcPr>
          <w:p>
            <w:r/>
            <w:r>
              <w:rPr>
                <w:rFonts w:ascii="Calibri" w:hAnsi="Calibri"/>
                <w:b w:val="0"/>
                <w:sz w:val="18"/>
              </w:rPr>
              <w:t>0.3066</w:t>
            </w:r>
          </w:p>
        </w:tc>
        <w:tc>
          <w:tcPr>
            <w:tcW w:type="dxa" w:w="1296"/>
            <w:vAlign w:val="center"/>
          </w:tcPr>
          <w:p>
            <w:r/>
            <w:r>
              <w:rPr>
                <w:rFonts w:ascii="Calibri" w:hAnsi="Calibri"/>
                <w:b w:val="0"/>
                <w:sz w:val="18"/>
              </w:rPr>
              <w:t>0.9125</w:t>
            </w:r>
          </w:p>
        </w:tc>
        <w:tc>
          <w:tcPr>
            <w:tcW w:type="dxa" w:w="1296"/>
            <w:vAlign w:val="center"/>
          </w:tcPr>
          <w:p>
            <w:r/>
            <w:r>
              <w:rPr>
                <w:rFonts w:ascii="Calibri" w:hAnsi="Calibri"/>
                <w:b w:val="0"/>
                <w:sz w:val="18"/>
              </w:rPr>
              <w:t>0.9126</w:t>
            </w:r>
          </w:p>
        </w:tc>
      </w:tr>
    </w:tbl>
    <w:p/>
    <w:p>
      <w:pPr>
        <w:spacing w:after="100" w:line="259" w:lineRule="auto"/>
      </w:pPr>
      <w:r>
        <w:t>Both models reached similar final performance. The Transformer Encoder was slightly better on final test metrics, but the gap was small.</w:t>
      </w:r>
    </w:p>
    <w:p>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main_loss_curves.png"/>
                    <pic:cNvPicPr/>
                  </pic:nvPicPr>
                  <pic:blipFill>
                    <a:blip r:embed="rId9"/>
                    <a:stretch>
                      <a:fillRect/>
                    </a:stretch>
                  </pic:blipFill>
                  <pic:spPr>
                    <a:xfrm>
                      <a:off x="0" y="0"/>
                      <a:ext cx="5577840" cy="3486150"/>
                    </a:xfrm>
                    <a:prstGeom prst="rect"/>
                  </pic:spPr>
                </pic:pic>
              </a:graphicData>
            </a:graphic>
          </wp:inline>
        </w:drawing>
      </w:r>
    </w:p>
    <w:p>
      <w:pPr>
        <w:spacing w:after="100"/>
        <w:jc w:val="center"/>
      </w:pPr>
      <w:r>
        <w:rPr>
          <w:i/>
          <w:sz w:val="17"/>
        </w:rPr>
        <w:t>Figure 1. Training and validation loss curves.</w:t>
      </w:r>
    </w:p>
    <w:p>
      <w:r>
        <w:drawing>
          <wp:inline xmlns:a="http://schemas.openxmlformats.org/drawingml/2006/main" xmlns:pic="http://schemas.openxmlformats.org/drawingml/2006/picture">
            <wp:extent cx="4846320" cy="4038600"/>
            <wp:docPr id="2" name="Picture 2"/>
            <wp:cNvGraphicFramePr>
              <a:graphicFrameLocks noChangeAspect="1"/>
            </wp:cNvGraphicFramePr>
            <a:graphic>
              <a:graphicData uri="http://schemas.openxmlformats.org/drawingml/2006/picture">
                <pic:pic>
                  <pic:nvPicPr>
                    <pic:cNvPr id="0" name="lstm_confusion_matrix.png"/>
                    <pic:cNvPicPr/>
                  </pic:nvPicPr>
                  <pic:blipFill>
                    <a:blip r:embed="rId10"/>
                    <a:stretch>
                      <a:fillRect/>
                    </a:stretch>
                  </pic:blipFill>
                  <pic:spPr>
                    <a:xfrm>
                      <a:off x="0" y="0"/>
                      <a:ext cx="4846320" cy="4038600"/>
                    </a:xfrm>
                    <a:prstGeom prst="rect"/>
                  </pic:spPr>
                </pic:pic>
              </a:graphicData>
            </a:graphic>
          </wp:inline>
        </w:drawing>
      </w:r>
    </w:p>
    <w:p>
      <w:pPr>
        <w:spacing w:after="100"/>
        <w:jc w:val="center"/>
      </w:pPr>
      <w:r>
        <w:rPr>
          <w:i/>
          <w:sz w:val="17"/>
        </w:rPr>
        <w:t>Figure 2. LSTM final test confusion matrix.</w:t>
      </w:r>
    </w:p>
    <w:p>
      <w:r>
        <w:drawing>
          <wp:inline xmlns:a="http://schemas.openxmlformats.org/drawingml/2006/main" xmlns:pic="http://schemas.openxmlformats.org/drawingml/2006/picture">
            <wp:extent cx="4846320" cy="4038600"/>
            <wp:docPr id="3" name="Picture 3"/>
            <wp:cNvGraphicFramePr>
              <a:graphicFrameLocks noChangeAspect="1"/>
            </wp:cNvGraphicFramePr>
            <a:graphic>
              <a:graphicData uri="http://schemas.openxmlformats.org/drawingml/2006/picture">
                <pic:pic>
                  <pic:nvPicPr>
                    <pic:cNvPr id="0" name="transformer_confusion_matrix.png"/>
                    <pic:cNvPicPr/>
                  </pic:nvPicPr>
                  <pic:blipFill>
                    <a:blip r:embed="rId11"/>
                    <a:stretch>
                      <a:fillRect/>
                    </a:stretch>
                  </pic:blipFill>
                  <pic:spPr>
                    <a:xfrm>
                      <a:off x="0" y="0"/>
                      <a:ext cx="4846320" cy="4038600"/>
                    </a:xfrm>
                    <a:prstGeom prst="rect"/>
                  </pic:spPr>
                </pic:pic>
              </a:graphicData>
            </a:graphic>
          </wp:inline>
        </w:drawing>
      </w:r>
    </w:p>
    <w:p>
      <w:pPr>
        <w:spacing w:after="100"/>
        <w:jc w:val="center"/>
      </w:pPr>
      <w:r>
        <w:rPr>
          <w:i/>
          <w:sz w:val="17"/>
        </w:rPr>
        <w:t>Figure 3. Transformer Encoder final test confusion matrix.</w:t>
      </w:r>
    </w:p>
    <w:p>
      <w:pPr>
        <w:spacing w:after="100" w:line="259" w:lineRule="auto"/>
      </w:pPr>
      <w:r>
        <w:t>Both models overfit by epoch 6. Sports was easiest for both models, and Business/Sci/Tech confusion was the main class-level error pattern.</w:t>
      </w:r>
    </w:p>
    <w:p>
      <w:pPr>
        <w:pStyle w:val="Heading1"/>
      </w:pPr>
      <w:r>
        <w:t>6. Ablation Study</w:t>
      </w:r>
    </w:p>
    <w:p>
      <w:pPr>
        <w:spacing w:after="100" w:line="259" w:lineRule="auto"/>
      </w:pPr>
      <w:r>
        <w:t>Hypothesis: LSTM is more stable with limited data, while Transformer Encoder benefits more from full data. The changed variable was training-set fraction; all other major settings were controlled.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3456"/>
            <w:vAlign w:val="center"/>
            <w:shd w:fill="F2F4F7"/>
          </w:tcPr>
          <w:p>
            <w:r/>
            <w:r>
              <w:rPr>
                <w:rFonts w:ascii="Calibri" w:hAnsi="Calibri"/>
                <w:b/>
                <w:sz w:val="18"/>
              </w:rPr>
              <w:t>Model</w:t>
            </w:r>
          </w:p>
        </w:tc>
        <w:tc>
          <w:tcPr>
            <w:tcW w:type="dxa" w:w="1440"/>
            <w:vAlign w:val="center"/>
            <w:shd w:fill="F2F4F7"/>
          </w:tcPr>
          <w:p>
            <w:r/>
            <w:r>
              <w:rPr>
                <w:rFonts w:ascii="Calibri" w:hAnsi="Calibri"/>
                <w:b/>
                <w:sz w:val="18"/>
              </w:rPr>
              <w:t>Train fraction</w:t>
            </w:r>
          </w:p>
        </w:tc>
        <w:tc>
          <w:tcPr>
            <w:tcW w:type="dxa" w:w="1440"/>
            <w:vAlign w:val="center"/>
            <w:shd w:fill="F2F4F7"/>
          </w:tcPr>
          <w:p>
            <w:r/>
            <w:r>
              <w:rPr>
                <w:rFonts w:ascii="Calibri" w:hAnsi="Calibri"/>
                <w:b/>
                <w:sz w:val="18"/>
              </w:rPr>
              <w:t>Accuracy</w:t>
            </w:r>
          </w:p>
        </w:tc>
        <w:tc>
          <w:tcPr>
            <w:tcW w:type="dxa" w:w="1440"/>
            <w:vAlign w:val="center"/>
            <w:shd w:fill="F2F4F7"/>
          </w:tcPr>
          <w:p>
            <w:r/>
            <w:r>
              <w:rPr>
                <w:rFonts w:ascii="Calibri" w:hAnsi="Calibri"/>
                <w:b/>
                <w:sz w:val="18"/>
              </w:rPr>
              <w:t>Macro F1</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25%</w:t>
            </w:r>
          </w:p>
        </w:tc>
        <w:tc>
          <w:tcPr>
            <w:tcW w:type="dxa" w:w="1440"/>
            <w:vAlign w:val="center"/>
          </w:tcPr>
          <w:p>
            <w:r/>
            <w:r>
              <w:rPr>
                <w:rFonts w:ascii="Calibri" w:hAnsi="Calibri"/>
                <w:b w:val="0"/>
                <w:sz w:val="18"/>
              </w:rPr>
              <w:t>0.8719</w:t>
            </w:r>
          </w:p>
        </w:tc>
        <w:tc>
          <w:tcPr>
            <w:tcW w:type="dxa" w:w="1440"/>
            <w:vAlign w:val="center"/>
          </w:tcPr>
          <w:p>
            <w:r/>
            <w:r>
              <w:rPr>
                <w:rFonts w:ascii="Calibri" w:hAnsi="Calibri"/>
                <w:b w:val="0"/>
                <w:sz w:val="18"/>
              </w:rPr>
              <w:t>0.8713</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25%</w:t>
            </w:r>
          </w:p>
        </w:tc>
        <w:tc>
          <w:tcPr>
            <w:tcW w:type="dxa" w:w="1440"/>
            <w:vAlign w:val="center"/>
          </w:tcPr>
          <w:p>
            <w:r/>
            <w:r>
              <w:rPr>
                <w:rFonts w:ascii="Calibri" w:hAnsi="Calibri"/>
                <w:b w:val="0"/>
                <w:sz w:val="18"/>
              </w:rPr>
              <w:t>0.8699</w:t>
            </w:r>
          </w:p>
        </w:tc>
        <w:tc>
          <w:tcPr>
            <w:tcW w:type="dxa" w:w="1440"/>
            <w:vAlign w:val="center"/>
          </w:tcPr>
          <w:p>
            <w:r/>
            <w:r>
              <w:rPr>
                <w:rFonts w:ascii="Calibri" w:hAnsi="Calibri"/>
                <w:b w:val="0"/>
                <w:sz w:val="18"/>
              </w:rPr>
              <w:t>0.8696</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50%</w:t>
            </w:r>
          </w:p>
        </w:tc>
        <w:tc>
          <w:tcPr>
            <w:tcW w:type="dxa" w:w="1440"/>
            <w:vAlign w:val="center"/>
          </w:tcPr>
          <w:p>
            <w:r/>
            <w:r>
              <w:rPr>
                <w:rFonts w:ascii="Calibri" w:hAnsi="Calibri"/>
                <w:b w:val="0"/>
                <w:sz w:val="18"/>
              </w:rPr>
              <w:t>0.8944</w:t>
            </w:r>
          </w:p>
        </w:tc>
        <w:tc>
          <w:tcPr>
            <w:tcW w:type="dxa" w:w="1440"/>
            <w:vAlign w:val="center"/>
          </w:tcPr>
          <w:p>
            <w:r/>
            <w:r>
              <w:rPr>
                <w:rFonts w:ascii="Calibri" w:hAnsi="Calibri"/>
                <w:b w:val="0"/>
                <w:sz w:val="18"/>
              </w:rPr>
              <w:t>0.8940</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50%</w:t>
            </w:r>
          </w:p>
        </w:tc>
        <w:tc>
          <w:tcPr>
            <w:tcW w:type="dxa" w:w="1440"/>
            <w:vAlign w:val="center"/>
          </w:tcPr>
          <w:p>
            <w:r/>
            <w:r>
              <w:rPr>
                <w:rFonts w:ascii="Calibri" w:hAnsi="Calibri"/>
                <w:b w:val="0"/>
                <w:sz w:val="18"/>
              </w:rPr>
              <w:t>0.8901</w:t>
            </w:r>
          </w:p>
        </w:tc>
        <w:tc>
          <w:tcPr>
            <w:tcW w:type="dxa" w:w="1440"/>
            <w:vAlign w:val="center"/>
          </w:tcPr>
          <w:p>
            <w:r/>
            <w:r>
              <w:rPr>
                <w:rFonts w:ascii="Calibri" w:hAnsi="Calibri"/>
                <w:b w:val="0"/>
                <w:sz w:val="18"/>
              </w:rPr>
              <w:t>0.8895</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100%</w:t>
            </w:r>
          </w:p>
        </w:tc>
        <w:tc>
          <w:tcPr>
            <w:tcW w:type="dxa" w:w="1440"/>
            <w:vAlign w:val="center"/>
          </w:tcPr>
          <w:p>
            <w:r/>
            <w:r>
              <w:rPr>
                <w:rFonts w:ascii="Calibri" w:hAnsi="Calibri"/>
                <w:b w:val="0"/>
                <w:sz w:val="18"/>
              </w:rPr>
              <w:t>0.9089</w:t>
            </w:r>
          </w:p>
        </w:tc>
        <w:tc>
          <w:tcPr>
            <w:tcW w:type="dxa" w:w="1440"/>
            <w:vAlign w:val="center"/>
          </w:tcPr>
          <w:p>
            <w:r/>
            <w:r>
              <w:rPr>
                <w:rFonts w:ascii="Calibri" w:hAnsi="Calibri"/>
                <w:b w:val="0"/>
                <w:sz w:val="18"/>
              </w:rPr>
              <w:t>0.9082</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100%</w:t>
            </w:r>
          </w:p>
        </w:tc>
        <w:tc>
          <w:tcPr>
            <w:tcW w:type="dxa" w:w="1440"/>
            <w:vAlign w:val="center"/>
          </w:tcPr>
          <w:p>
            <w:r/>
            <w:r>
              <w:rPr>
                <w:rFonts w:ascii="Calibri" w:hAnsi="Calibri"/>
                <w:b w:val="0"/>
                <w:sz w:val="18"/>
              </w:rPr>
              <w:t>0.9146</w:t>
            </w:r>
          </w:p>
        </w:tc>
        <w:tc>
          <w:tcPr>
            <w:tcW w:type="dxa" w:w="1440"/>
            <w:vAlign w:val="center"/>
          </w:tcPr>
          <w:p>
            <w:r/>
            <w:r>
              <w:rPr>
                <w:rFonts w:ascii="Calibri" w:hAnsi="Calibri"/>
                <w:b w:val="0"/>
                <w:sz w:val="18"/>
              </w:rPr>
              <w:t>0.9142</w:t>
            </w:r>
          </w:p>
        </w:tc>
      </w:tr>
    </w:tbl>
    <w:p/>
    <w:p>
      <w:pPr>
        <w:spacing w:after="100" w:line="259" w:lineRule="auto"/>
      </w:pPr>
      <w:r>
        <w:t>The ablation supports the hypothesis: LSTM led at 25% and 50%, while Transformer Encoder led at 100%.</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168"/>
            <w:vAlign w:val="center"/>
            <w:shd w:fill="F2F4F7"/>
          </w:tcPr>
          <w:p>
            <w:r/>
            <w:r>
              <w:rPr>
                <w:rFonts w:ascii="Calibri" w:hAnsi="Calibri"/>
                <w:b/>
                <w:sz w:val="18"/>
              </w:rPr>
              <w:t>Model</w:t>
            </w:r>
          </w:p>
        </w:tc>
        <w:tc>
          <w:tcPr>
            <w:tcW w:type="dxa" w:w="1296"/>
            <w:vAlign w:val="center"/>
            <w:shd w:fill="F2F4F7"/>
          </w:tcPr>
          <w:p>
            <w:r/>
            <w:r>
              <w:rPr>
                <w:rFonts w:ascii="Calibri" w:hAnsi="Calibri"/>
                <w:b/>
                <w:sz w:val="18"/>
              </w:rPr>
              <w:t>Max length</w:t>
            </w:r>
          </w:p>
        </w:tc>
        <w:tc>
          <w:tcPr>
            <w:tcW w:type="dxa" w:w="1152"/>
            <w:vAlign w:val="center"/>
            <w:shd w:fill="F2F4F7"/>
          </w:tcPr>
          <w:p>
            <w:r/>
            <w:r>
              <w:rPr>
                <w:rFonts w:ascii="Calibri" w:hAnsi="Calibri"/>
                <w:b/>
                <w:sz w:val="18"/>
              </w:rPr>
              <w:t>Loss</w:t>
            </w:r>
          </w:p>
        </w:tc>
        <w:tc>
          <w:tcPr>
            <w:tcW w:type="dxa" w:w="1296"/>
            <w:vAlign w:val="center"/>
            <w:shd w:fill="F2F4F7"/>
          </w:tcPr>
          <w:p>
            <w:r/>
            <w:r>
              <w:rPr>
                <w:rFonts w:ascii="Calibri" w:hAnsi="Calibri"/>
                <w:b/>
                <w:sz w:val="18"/>
              </w:rPr>
              <w:t>Accuracy</w:t>
            </w:r>
          </w:p>
        </w:tc>
        <w:tc>
          <w:tcPr>
            <w:tcW w:type="dxa" w:w="1296"/>
            <w:vAlign w:val="center"/>
            <w:shd w:fill="F2F4F7"/>
          </w:tcPr>
          <w:p>
            <w:r/>
            <w:r>
              <w:rPr>
                <w:rFonts w:ascii="Calibri" w:hAnsi="Calibri"/>
                <w:b/>
                <w:sz w:val="18"/>
              </w:rPr>
              <w:t>Macro F1</w:t>
            </w:r>
          </w:p>
        </w:tc>
      </w:tr>
      <w:tr>
        <w:tc>
          <w:tcPr>
            <w:tcW w:type="dxa" w:w="3168"/>
            <w:vAlign w:val="center"/>
          </w:tcPr>
          <w:p>
            <w:r/>
            <w:r>
              <w:rPr>
                <w:rFonts w:ascii="Calibri" w:hAnsi="Calibri"/>
                <w:b w:val="0"/>
                <w:sz w:val="18"/>
              </w:rPr>
              <w:t>LSTM</w:t>
            </w:r>
          </w:p>
        </w:tc>
        <w:tc>
          <w:tcPr>
            <w:tcW w:type="dxa" w:w="1296"/>
            <w:vAlign w:val="center"/>
          </w:tcPr>
          <w:p>
            <w:r/>
            <w:r>
              <w:rPr>
                <w:rFonts w:ascii="Calibri" w:hAnsi="Calibri"/>
                <w:b w:val="0"/>
                <w:sz w:val="18"/>
              </w:rPr>
              <w:t>128</w:t>
            </w:r>
          </w:p>
        </w:tc>
        <w:tc>
          <w:tcPr>
            <w:tcW w:type="dxa" w:w="1152"/>
            <w:vAlign w:val="center"/>
          </w:tcPr>
          <w:p>
            <w:r/>
            <w:r>
              <w:rPr>
                <w:rFonts w:ascii="Calibri" w:hAnsi="Calibri"/>
                <w:b w:val="0"/>
                <w:sz w:val="18"/>
              </w:rPr>
              <w:t>0.3402</w:t>
            </w:r>
          </w:p>
        </w:tc>
        <w:tc>
          <w:tcPr>
            <w:tcW w:type="dxa" w:w="1296"/>
            <w:vAlign w:val="center"/>
          </w:tcPr>
          <w:p>
            <w:r/>
            <w:r>
              <w:rPr>
                <w:rFonts w:ascii="Calibri" w:hAnsi="Calibri"/>
                <w:b w:val="0"/>
                <w:sz w:val="18"/>
              </w:rPr>
              <w:t>0.9113</w:t>
            </w:r>
          </w:p>
        </w:tc>
        <w:tc>
          <w:tcPr>
            <w:tcW w:type="dxa" w:w="1296"/>
            <w:vAlign w:val="center"/>
          </w:tcPr>
          <w:p>
            <w:r/>
            <w:r>
              <w:rPr>
                <w:rFonts w:ascii="Calibri" w:hAnsi="Calibri"/>
                <w:b w:val="0"/>
                <w:sz w:val="18"/>
              </w:rPr>
              <w:t>0.9108</w:t>
            </w:r>
          </w:p>
        </w:tc>
      </w:tr>
      <w:tr>
        <w:tc>
          <w:tcPr>
            <w:tcW w:type="dxa" w:w="3168"/>
            <w:vAlign w:val="center"/>
          </w:tcPr>
          <w:p>
            <w:r/>
            <w:r>
              <w:rPr>
                <w:rFonts w:ascii="Calibri" w:hAnsi="Calibri"/>
                <w:b w:val="0"/>
                <w:sz w:val="18"/>
              </w:rPr>
              <w:t>Transformer Encoder</w:t>
            </w:r>
          </w:p>
        </w:tc>
        <w:tc>
          <w:tcPr>
            <w:tcW w:type="dxa" w:w="1296"/>
            <w:vAlign w:val="center"/>
          </w:tcPr>
          <w:p>
            <w:r/>
            <w:r>
              <w:rPr>
                <w:rFonts w:ascii="Calibri" w:hAnsi="Calibri"/>
                <w:b w:val="0"/>
                <w:sz w:val="18"/>
              </w:rPr>
              <w:t>128</w:t>
            </w:r>
          </w:p>
        </w:tc>
        <w:tc>
          <w:tcPr>
            <w:tcW w:type="dxa" w:w="1152"/>
            <w:vAlign w:val="center"/>
          </w:tcPr>
          <w:p>
            <w:r/>
            <w:r>
              <w:rPr>
                <w:rFonts w:ascii="Calibri" w:hAnsi="Calibri"/>
                <w:b w:val="0"/>
                <w:sz w:val="18"/>
              </w:rPr>
              <w:t>0.3103</w:t>
            </w:r>
          </w:p>
        </w:tc>
        <w:tc>
          <w:tcPr>
            <w:tcW w:type="dxa" w:w="1296"/>
            <w:vAlign w:val="center"/>
          </w:tcPr>
          <w:p>
            <w:r/>
            <w:r>
              <w:rPr>
                <w:rFonts w:ascii="Calibri" w:hAnsi="Calibri"/>
                <w:b w:val="0"/>
                <w:sz w:val="18"/>
              </w:rPr>
              <w:t>0.9118</w:t>
            </w:r>
          </w:p>
        </w:tc>
        <w:tc>
          <w:tcPr>
            <w:tcW w:type="dxa" w:w="1296"/>
            <w:vAlign w:val="center"/>
          </w:tcPr>
          <w:p>
            <w:r/>
            <w:r>
              <w:rPr>
                <w:rFonts w:ascii="Calibri" w:hAnsi="Calibri"/>
                <w:b w:val="0"/>
                <w:sz w:val="18"/>
              </w:rPr>
              <w:t>0.9115</w:t>
            </w:r>
          </w:p>
        </w:tc>
      </w:tr>
      <w:tr>
        <w:tc>
          <w:tcPr>
            <w:tcW w:type="dxa" w:w="3168"/>
            <w:vAlign w:val="center"/>
          </w:tcPr>
          <w:p>
            <w:r/>
            <w:r>
              <w:rPr>
                <w:rFonts w:ascii="Calibri" w:hAnsi="Calibri"/>
                <w:b w:val="0"/>
                <w:sz w:val="18"/>
              </w:rPr>
              <w:t>LSTM</w:t>
            </w:r>
          </w:p>
        </w:tc>
        <w:tc>
          <w:tcPr>
            <w:tcW w:type="dxa" w:w="1296"/>
            <w:vAlign w:val="center"/>
          </w:tcPr>
          <w:p>
            <w:r/>
            <w:r>
              <w:rPr>
                <w:rFonts w:ascii="Calibri" w:hAnsi="Calibri"/>
                <w:b w:val="0"/>
                <w:sz w:val="18"/>
              </w:rPr>
              <w:t>256</w:t>
            </w:r>
          </w:p>
        </w:tc>
        <w:tc>
          <w:tcPr>
            <w:tcW w:type="dxa" w:w="1152"/>
            <w:vAlign w:val="center"/>
          </w:tcPr>
          <w:p>
            <w:r/>
            <w:r>
              <w:rPr>
                <w:rFonts w:ascii="Calibri" w:hAnsi="Calibri"/>
                <w:b w:val="0"/>
                <w:sz w:val="18"/>
              </w:rPr>
              <w:t>0.3535</w:t>
            </w:r>
          </w:p>
        </w:tc>
        <w:tc>
          <w:tcPr>
            <w:tcW w:type="dxa" w:w="1296"/>
            <w:vAlign w:val="center"/>
          </w:tcPr>
          <w:p>
            <w:r/>
            <w:r>
              <w:rPr>
                <w:rFonts w:ascii="Calibri" w:hAnsi="Calibri"/>
                <w:b w:val="0"/>
                <w:sz w:val="18"/>
              </w:rPr>
              <w:t>0.9065</w:t>
            </w:r>
          </w:p>
        </w:tc>
        <w:tc>
          <w:tcPr>
            <w:tcW w:type="dxa" w:w="1296"/>
            <w:vAlign w:val="center"/>
          </w:tcPr>
          <w:p>
            <w:r/>
            <w:r>
              <w:rPr>
                <w:rFonts w:ascii="Calibri" w:hAnsi="Calibri"/>
                <w:b w:val="0"/>
                <w:sz w:val="18"/>
              </w:rPr>
              <w:t>0.9058</w:t>
            </w:r>
          </w:p>
        </w:tc>
      </w:tr>
      <w:tr>
        <w:tc>
          <w:tcPr>
            <w:tcW w:type="dxa" w:w="3168"/>
            <w:vAlign w:val="center"/>
          </w:tcPr>
          <w:p>
            <w:r/>
            <w:r>
              <w:rPr>
                <w:rFonts w:ascii="Calibri" w:hAnsi="Calibri"/>
                <w:b w:val="0"/>
                <w:sz w:val="18"/>
              </w:rPr>
              <w:t>Transformer Encoder</w:t>
            </w:r>
          </w:p>
        </w:tc>
        <w:tc>
          <w:tcPr>
            <w:tcW w:type="dxa" w:w="1296"/>
            <w:vAlign w:val="center"/>
          </w:tcPr>
          <w:p>
            <w:r/>
            <w:r>
              <w:rPr>
                <w:rFonts w:ascii="Calibri" w:hAnsi="Calibri"/>
                <w:b w:val="0"/>
                <w:sz w:val="18"/>
              </w:rPr>
              <w:t>256</w:t>
            </w:r>
          </w:p>
        </w:tc>
        <w:tc>
          <w:tcPr>
            <w:tcW w:type="dxa" w:w="1152"/>
            <w:vAlign w:val="center"/>
          </w:tcPr>
          <w:p>
            <w:r/>
            <w:r>
              <w:rPr>
                <w:rFonts w:ascii="Calibri" w:hAnsi="Calibri"/>
                <w:b w:val="0"/>
                <w:sz w:val="18"/>
              </w:rPr>
              <w:t>0.3304</w:t>
            </w:r>
          </w:p>
        </w:tc>
        <w:tc>
          <w:tcPr>
            <w:tcW w:type="dxa" w:w="1296"/>
            <w:vAlign w:val="center"/>
          </w:tcPr>
          <w:p>
            <w:r/>
            <w:r>
              <w:rPr>
                <w:rFonts w:ascii="Calibri" w:hAnsi="Calibri"/>
                <w:b w:val="0"/>
                <w:sz w:val="18"/>
              </w:rPr>
              <w:t>0.9062</w:t>
            </w:r>
          </w:p>
        </w:tc>
        <w:tc>
          <w:tcPr>
            <w:tcW w:type="dxa" w:w="1296"/>
            <w:vAlign w:val="center"/>
          </w:tcPr>
          <w:p>
            <w:r/>
            <w:r>
              <w:rPr>
                <w:rFonts w:ascii="Calibri" w:hAnsi="Calibri"/>
                <w:b w:val="0"/>
                <w:sz w:val="18"/>
              </w:rPr>
              <w:t>0.9059</w:t>
            </w:r>
          </w:p>
        </w:tc>
      </w:tr>
    </w:tbl>
    <w:p/>
    <w:p>
      <w:pPr>
        <w:spacing w:after="100" w:line="259" w:lineRule="auto"/>
      </w:pPr>
      <w:r>
        <w:t>The optional sequence-length extension showed that 256-token inputs reduced validation performance for both models.</w:t>
      </w:r>
    </w:p>
    <w:p>
      <w:pPr>
        <w:pStyle w:val="Heading1"/>
      </w:pPr>
      <w:r>
        <w:t>7. Failure Analysis</w:t>
      </w:r>
    </w:p>
    <w:p>
      <w:pPr>
        <w:spacing w:after="100" w:line="259" w:lineRule="auto"/>
      </w:pPr>
      <w:r>
        <w:t>The selected examples cover both-wrong, LSTM-only wrong, and Transformer-only wrong cases.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vAlign w:val="center"/>
            <w:shd w:fill="F2F4F7"/>
          </w:tcPr>
          <w:p>
            <w:r/>
            <w:r>
              <w:rPr>
                <w:rFonts w:ascii="Calibri" w:hAnsi="Calibri"/>
                <w:b/>
                <w:sz w:val="18"/>
              </w:rPr>
              <w:t>#</w:t>
            </w:r>
          </w:p>
        </w:tc>
        <w:tc>
          <w:tcPr>
            <w:tcW w:type="dxa" w:w="2088"/>
            <w:vAlign w:val="center"/>
            <w:shd w:fill="F2F4F7"/>
          </w:tcPr>
          <w:p>
            <w:r/>
            <w:r>
              <w:rPr>
                <w:rFonts w:ascii="Calibri" w:hAnsi="Calibri"/>
                <w:b/>
                <w:sz w:val="18"/>
              </w:rPr>
              <w:t>Input excerpt</w:t>
            </w:r>
          </w:p>
        </w:tc>
        <w:tc>
          <w:tcPr>
            <w:tcW w:type="dxa" w:w="864"/>
            <w:vAlign w:val="center"/>
            <w:shd w:fill="F2F4F7"/>
          </w:tcPr>
          <w:p>
            <w:r/>
            <w:r>
              <w:rPr>
                <w:rFonts w:ascii="Calibri" w:hAnsi="Calibri"/>
                <w:b/>
                <w:sz w:val="18"/>
              </w:rPr>
              <w:t>True</w:t>
            </w:r>
          </w:p>
        </w:tc>
        <w:tc>
          <w:tcPr>
            <w:tcW w:type="dxa" w:w="1008"/>
            <w:vAlign w:val="center"/>
            <w:shd w:fill="F2F4F7"/>
          </w:tcPr>
          <w:p>
            <w:r/>
            <w:r>
              <w:rPr>
                <w:rFonts w:ascii="Calibri" w:hAnsi="Calibri"/>
                <w:b/>
                <w:sz w:val="18"/>
              </w:rPr>
              <w:t>LSTM</w:t>
            </w:r>
          </w:p>
        </w:tc>
        <w:tc>
          <w:tcPr>
            <w:tcW w:type="dxa" w:w="1080"/>
            <w:vAlign w:val="center"/>
            <w:shd w:fill="F2F4F7"/>
          </w:tcPr>
          <w:p>
            <w:r/>
            <w:r>
              <w:rPr>
                <w:rFonts w:ascii="Calibri" w:hAnsi="Calibri"/>
                <w:b/>
                <w:sz w:val="18"/>
              </w:rPr>
              <w:t>Transformer</w:t>
            </w:r>
          </w:p>
        </w:tc>
        <w:tc>
          <w:tcPr>
            <w:tcW w:type="dxa" w:w="648"/>
            <w:vAlign w:val="center"/>
            <w:shd w:fill="F2F4F7"/>
          </w:tcPr>
          <w:p>
            <w:r/>
            <w:r>
              <w:rPr>
                <w:rFonts w:ascii="Calibri" w:hAnsi="Calibri"/>
                <w:b/>
                <w:sz w:val="18"/>
              </w:rPr>
              <w:t>LSTM c.</w:t>
            </w:r>
          </w:p>
        </w:tc>
        <w:tc>
          <w:tcPr>
            <w:tcW w:type="dxa" w:w="720"/>
            <w:vAlign w:val="center"/>
            <w:shd w:fill="F2F4F7"/>
          </w:tcPr>
          <w:p>
            <w:r/>
            <w:r>
              <w:rPr>
                <w:rFonts w:ascii="Calibri" w:hAnsi="Calibri"/>
                <w:b/>
                <w:sz w:val="18"/>
              </w:rPr>
              <w:t>Trans. c.</w:t>
            </w:r>
          </w:p>
        </w:tc>
        <w:tc>
          <w:tcPr>
            <w:tcW w:type="dxa" w:w="2880"/>
            <w:vAlign w:val="center"/>
            <w:shd w:fill="F2F4F7"/>
          </w:tcPr>
          <w:p>
            <w:r/>
            <w:r>
              <w:rPr>
                <w:rFonts w:ascii="Calibri" w:hAnsi="Calibri"/>
                <w:b/>
                <w:sz w:val="18"/>
              </w:rPr>
              <w:t>Likely reason</w:t>
            </w:r>
          </w:p>
        </w:tc>
      </w:tr>
      <w:tr>
        <w:tc>
          <w:tcPr>
            <w:tcW w:type="dxa" w:w="360"/>
            <w:vAlign w:val="center"/>
          </w:tcPr>
          <w:p>
            <w:r/>
            <w:r>
              <w:rPr>
                <w:rFonts w:ascii="Calibri" w:hAnsi="Calibri"/>
                <w:b w:val="0"/>
                <w:sz w:val="18"/>
              </w:rPr>
              <w:t>1</w:t>
            </w:r>
          </w:p>
        </w:tc>
        <w:tc>
          <w:tcPr>
            <w:tcW w:type="dxa" w:w="2088"/>
            <w:vAlign w:val="center"/>
          </w:tcPr>
          <w:p>
            <w:r/>
            <w:r>
              <w:rPr>
                <w:rFonts w:ascii="Calibri" w:hAnsi="Calibri"/>
                <w:b w:val="0"/>
                <w:sz w:val="18"/>
              </w:rPr>
              <w:t>Live: Olympics day four Richard Faulds and Stephen Parry are going fo...</w:t>
            </w:r>
          </w:p>
        </w:tc>
        <w:tc>
          <w:tcPr>
            <w:tcW w:type="dxa" w:w="864"/>
            <w:vAlign w:val="center"/>
          </w:tcPr>
          <w:p>
            <w:r/>
            <w:r>
              <w:rPr>
                <w:rFonts w:ascii="Calibri" w:hAnsi="Calibri"/>
                <w:b w:val="0"/>
                <w:sz w:val="18"/>
              </w:rPr>
              <w:t>World</w:t>
            </w:r>
          </w:p>
        </w:tc>
        <w:tc>
          <w:tcPr>
            <w:tcW w:type="dxa" w:w="1008"/>
            <w:vAlign w:val="center"/>
          </w:tcPr>
          <w:p>
            <w:r/>
            <w:r>
              <w:rPr>
                <w:rFonts w:ascii="Calibri" w:hAnsi="Calibri"/>
                <w:b w:val="0"/>
                <w:sz w:val="18"/>
              </w:rPr>
              <w:t>Sports</w:t>
            </w:r>
          </w:p>
        </w:tc>
        <w:tc>
          <w:tcPr>
            <w:tcW w:type="dxa" w:w="1080"/>
            <w:vAlign w:val="center"/>
          </w:tcPr>
          <w:p>
            <w:r/>
            <w:r>
              <w:rPr>
                <w:rFonts w:ascii="Calibri" w:hAnsi="Calibri"/>
                <w:b w:val="0"/>
                <w:sz w:val="18"/>
              </w:rPr>
              <w:t>Sports</w:t>
            </w:r>
          </w:p>
        </w:tc>
        <w:tc>
          <w:tcPr>
            <w:tcW w:type="dxa" w:w="648"/>
            <w:vAlign w:val="center"/>
          </w:tcPr>
          <w:p>
            <w:r/>
            <w:r>
              <w:rPr>
                <w:rFonts w:ascii="Calibri" w:hAnsi="Calibri"/>
                <w:b w:val="0"/>
                <w:sz w:val="18"/>
              </w:rPr>
              <w:t>0.94</w:t>
            </w:r>
          </w:p>
        </w:tc>
        <w:tc>
          <w:tcPr>
            <w:tcW w:type="dxa" w:w="720"/>
            <w:vAlign w:val="center"/>
          </w:tcPr>
          <w:p>
            <w:r/>
            <w:r>
              <w:rPr>
                <w:rFonts w:ascii="Calibri" w:hAnsi="Calibri"/>
                <w:b w:val="0"/>
                <w:sz w:val="18"/>
              </w:rPr>
              <w:t>1.00</w:t>
            </w:r>
          </w:p>
        </w:tc>
        <w:tc>
          <w:tcPr>
            <w:tcW w:type="dxa" w:w="2880"/>
            <w:vAlign w:val="center"/>
          </w:tcPr>
          <w:p>
            <w:r/>
            <w:r>
              <w:rPr>
                <w:rFonts w:ascii="Calibri" w:hAnsi="Calibri"/>
                <w:b w:val="0"/>
                <w:sz w:val="18"/>
              </w:rPr>
              <w:t>Sports terms dominate the short text even though the dataset section is World.</w:t>
            </w:r>
          </w:p>
        </w:tc>
      </w:tr>
      <w:tr>
        <w:tc>
          <w:tcPr>
            <w:tcW w:type="dxa" w:w="360"/>
            <w:vAlign w:val="center"/>
          </w:tcPr>
          <w:p>
            <w:r/>
            <w:r>
              <w:rPr>
                <w:rFonts w:ascii="Calibri" w:hAnsi="Calibri"/>
                <w:b w:val="0"/>
                <w:sz w:val="18"/>
              </w:rPr>
              <w:t>2</w:t>
            </w:r>
          </w:p>
        </w:tc>
        <w:tc>
          <w:tcPr>
            <w:tcW w:type="dxa" w:w="2088"/>
            <w:vAlign w:val="center"/>
          </w:tcPr>
          <w:p>
            <w:r/>
            <w:r>
              <w:rPr>
                <w:rFonts w:ascii="Calibri" w:hAnsi="Calibri"/>
                <w:b w:val="0"/>
                <w:sz w:val="18"/>
              </w:rPr>
              <w:t>Intel to delay product aimed for high-definition TVs SAN FRANCISCO --...</w:t>
            </w:r>
          </w:p>
        </w:tc>
        <w:tc>
          <w:tcPr>
            <w:tcW w:type="dxa" w:w="864"/>
            <w:vAlign w:val="center"/>
          </w:tcPr>
          <w:p>
            <w:r/>
            <w:r>
              <w:rPr>
                <w:rFonts w:ascii="Calibri" w:hAnsi="Calibri"/>
                <w:b w:val="0"/>
                <w:sz w:val="18"/>
              </w:rPr>
              <w:t>Business</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0.99</w:t>
            </w:r>
          </w:p>
        </w:tc>
        <w:tc>
          <w:tcPr>
            <w:tcW w:type="dxa" w:w="720"/>
            <w:vAlign w:val="center"/>
          </w:tcPr>
          <w:p>
            <w:r/>
            <w:r>
              <w:rPr>
                <w:rFonts w:ascii="Calibri" w:hAnsi="Calibri"/>
                <w:b w:val="0"/>
                <w:sz w:val="18"/>
              </w:rPr>
              <w:t>1.00</w:t>
            </w:r>
          </w:p>
        </w:tc>
        <w:tc>
          <w:tcPr>
            <w:tcW w:type="dxa" w:w="2880"/>
            <w:vAlign w:val="center"/>
          </w:tcPr>
          <w:p>
            <w:r/>
            <w:r>
              <w:rPr>
                <w:rFonts w:ascii="Calibri" w:hAnsi="Calibri"/>
                <w:b w:val="0"/>
                <w:sz w:val="18"/>
              </w:rPr>
              <w:t>A technology company story overlaps Business and Sci/Tech vocabulary.</w:t>
            </w:r>
          </w:p>
        </w:tc>
      </w:tr>
      <w:tr>
        <w:tc>
          <w:tcPr>
            <w:tcW w:type="dxa" w:w="360"/>
            <w:vAlign w:val="center"/>
          </w:tcPr>
          <w:p>
            <w:r/>
            <w:r>
              <w:rPr>
                <w:rFonts w:ascii="Calibri" w:hAnsi="Calibri"/>
                <w:b w:val="0"/>
                <w:sz w:val="18"/>
              </w:rPr>
              <w:t>3</w:t>
            </w:r>
          </w:p>
        </w:tc>
        <w:tc>
          <w:tcPr>
            <w:tcW w:type="dxa" w:w="2088"/>
            <w:vAlign w:val="center"/>
          </w:tcPr>
          <w:p>
            <w:r/>
            <w:r>
              <w:rPr>
                <w:rFonts w:ascii="Calibri" w:hAnsi="Calibri"/>
                <w:b w:val="0"/>
                <w:sz w:val="18"/>
              </w:rPr>
              <w:t>Prediction Unit Helps Forecast Wildfires (AP) AP - It's barely dawn w...</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World</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0.48</w:t>
            </w:r>
          </w:p>
        </w:tc>
        <w:tc>
          <w:tcPr>
            <w:tcW w:type="dxa" w:w="720"/>
            <w:vAlign w:val="center"/>
          </w:tcPr>
          <w:p>
            <w:r/>
            <w:r>
              <w:rPr>
                <w:rFonts w:ascii="Calibri" w:hAnsi="Calibri"/>
                <w:b w:val="0"/>
                <w:sz w:val="18"/>
              </w:rPr>
              <w:t>0.98</w:t>
            </w:r>
          </w:p>
        </w:tc>
        <w:tc>
          <w:tcPr>
            <w:tcW w:type="dxa" w:w="2880"/>
            <w:vAlign w:val="center"/>
          </w:tcPr>
          <w:p>
            <w:r/>
            <w:r>
              <w:rPr>
                <w:rFonts w:ascii="Calibri" w:hAnsi="Calibri"/>
                <w:b w:val="0"/>
                <w:sz w:val="18"/>
              </w:rPr>
              <w:t>Weather prediction language mixes science terms with world-event framing.</w:t>
            </w:r>
          </w:p>
        </w:tc>
      </w:tr>
      <w:tr>
        <w:tc>
          <w:tcPr>
            <w:tcW w:type="dxa" w:w="360"/>
            <w:vAlign w:val="center"/>
          </w:tcPr>
          <w:p>
            <w:r/>
            <w:r>
              <w:rPr>
                <w:rFonts w:ascii="Calibri" w:hAnsi="Calibri"/>
                <w:b w:val="0"/>
                <w:sz w:val="18"/>
              </w:rPr>
              <w:t>4</w:t>
            </w:r>
          </w:p>
        </w:tc>
        <w:tc>
          <w:tcPr>
            <w:tcW w:type="dxa" w:w="2088"/>
            <w:vAlign w:val="center"/>
          </w:tcPr>
          <w:p>
            <w:r/>
            <w:r>
              <w:rPr>
                <w:rFonts w:ascii="Calibri" w:hAnsi="Calibri"/>
                <w:b w:val="0"/>
                <w:sz w:val="18"/>
              </w:rPr>
              <w:t>Some People Not Eligible to Get in on Google IPO Google has billed it...</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Business</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0.82</w:t>
            </w:r>
          </w:p>
        </w:tc>
        <w:tc>
          <w:tcPr>
            <w:tcW w:type="dxa" w:w="720"/>
            <w:vAlign w:val="center"/>
          </w:tcPr>
          <w:p>
            <w:r/>
            <w:r>
              <w:rPr>
                <w:rFonts w:ascii="Calibri" w:hAnsi="Calibri"/>
                <w:b w:val="0"/>
                <w:sz w:val="18"/>
              </w:rPr>
              <w:t>0.83</w:t>
            </w:r>
          </w:p>
        </w:tc>
        <w:tc>
          <w:tcPr>
            <w:tcW w:type="dxa" w:w="2880"/>
            <w:vAlign w:val="center"/>
          </w:tcPr>
          <w:p>
            <w:r/>
            <w:r>
              <w:rPr>
                <w:rFonts w:ascii="Calibri" w:hAnsi="Calibri"/>
                <w:b w:val="0"/>
                <w:sz w:val="18"/>
              </w:rPr>
              <w:t>Finance and technology cues conflict; the IPO framing points toward Business.</w:t>
            </w:r>
          </w:p>
        </w:tc>
      </w:tr>
      <w:tr>
        <w:tc>
          <w:tcPr>
            <w:tcW w:type="dxa" w:w="360"/>
            <w:vAlign w:val="center"/>
          </w:tcPr>
          <w:p>
            <w:r/>
            <w:r>
              <w:rPr>
                <w:rFonts w:ascii="Calibri" w:hAnsi="Calibri"/>
                <w:b w:val="0"/>
                <w:sz w:val="18"/>
              </w:rPr>
              <w:t>5</w:t>
            </w:r>
          </w:p>
        </w:tc>
        <w:tc>
          <w:tcPr>
            <w:tcW w:type="dxa" w:w="2088"/>
            <w:vAlign w:val="center"/>
          </w:tcPr>
          <w:p>
            <w:r/>
            <w:r>
              <w:rPr>
                <w:rFonts w:ascii="Calibri" w:hAnsi="Calibri"/>
                <w:b w:val="0"/>
                <w:sz w:val="18"/>
              </w:rPr>
              <w:t>Teenage T. rex's monster growth Tyrannosaurus rex achieved its massiv...</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Business</w:t>
            </w:r>
          </w:p>
        </w:tc>
        <w:tc>
          <w:tcPr>
            <w:tcW w:type="dxa" w:w="648"/>
            <w:vAlign w:val="center"/>
          </w:tcPr>
          <w:p>
            <w:r/>
            <w:r>
              <w:rPr>
                <w:rFonts w:ascii="Calibri" w:hAnsi="Calibri"/>
                <w:b w:val="0"/>
                <w:sz w:val="18"/>
              </w:rPr>
              <w:t>0.44</w:t>
            </w:r>
          </w:p>
        </w:tc>
        <w:tc>
          <w:tcPr>
            <w:tcW w:type="dxa" w:w="720"/>
            <w:vAlign w:val="center"/>
          </w:tcPr>
          <w:p>
            <w:r/>
            <w:r>
              <w:rPr>
                <w:rFonts w:ascii="Calibri" w:hAnsi="Calibri"/>
                <w:b w:val="0"/>
                <w:sz w:val="18"/>
              </w:rPr>
              <w:t>0.56</w:t>
            </w:r>
          </w:p>
        </w:tc>
        <w:tc>
          <w:tcPr>
            <w:tcW w:type="dxa" w:w="2880"/>
            <w:vAlign w:val="center"/>
          </w:tcPr>
          <w:p>
            <w:r/>
            <w:r>
              <w:rPr>
                <w:rFonts w:ascii="Calibri" w:hAnsi="Calibri"/>
                <w:b w:val="0"/>
                <w:sz w:val="18"/>
              </w:rPr>
              <w:t>Very short science item gives limited context; the Transformer overweights business-like wording.</w:t>
            </w:r>
          </w:p>
        </w:tc>
      </w:tr>
      <w:tr>
        <w:tc>
          <w:tcPr>
            <w:tcW w:type="dxa" w:w="360"/>
            <w:vAlign w:val="center"/>
          </w:tcPr>
          <w:p>
            <w:r/>
            <w:r>
              <w:rPr>
                <w:rFonts w:ascii="Calibri" w:hAnsi="Calibri"/>
                <w:b w:val="0"/>
                <w:sz w:val="18"/>
              </w:rPr>
              <w:t>6</w:t>
            </w:r>
          </w:p>
        </w:tc>
        <w:tc>
          <w:tcPr>
            <w:tcW w:type="dxa" w:w="2088"/>
            <w:vAlign w:val="center"/>
          </w:tcPr>
          <w:p>
            <w:r/>
            <w:r>
              <w:rPr>
                <w:rFonts w:ascii="Calibri" w:hAnsi="Calibri"/>
                <w:b w:val="0"/>
                <w:sz w:val="18"/>
              </w:rPr>
              <w:t>IBM to hire even more new workers By the end of the year, the computi...</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Business</w:t>
            </w:r>
          </w:p>
        </w:tc>
        <w:tc>
          <w:tcPr>
            <w:tcW w:type="dxa" w:w="648"/>
            <w:vAlign w:val="center"/>
          </w:tcPr>
          <w:p>
            <w:r/>
            <w:r>
              <w:rPr>
                <w:rFonts w:ascii="Calibri" w:hAnsi="Calibri"/>
                <w:b w:val="0"/>
                <w:sz w:val="18"/>
              </w:rPr>
              <w:t>0.84</w:t>
            </w:r>
          </w:p>
        </w:tc>
        <w:tc>
          <w:tcPr>
            <w:tcW w:type="dxa" w:w="720"/>
            <w:vAlign w:val="center"/>
          </w:tcPr>
          <w:p>
            <w:r/>
            <w:r>
              <w:rPr>
                <w:rFonts w:ascii="Calibri" w:hAnsi="Calibri"/>
                <w:b w:val="0"/>
                <w:sz w:val="18"/>
              </w:rPr>
              <w:t>0.62</w:t>
            </w:r>
          </w:p>
        </w:tc>
        <w:tc>
          <w:tcPr>
            <w:tcW w:type="dxa" w:w="2880"/>
            <w:vAlign w:val="center"/>
          </w:tcPr>
          <w:p>
            <w:r/>
            <w:r>
              <w:rPr>
                <w:rFonts w:ascii="Calibri" w:hAnsi="Calibri"/>
                <w:b w:val="0"/>
                <w:sz w:val="18"/>
              </w:rPr>
              <w:t>Company hiring story overlaps labor/business cues and computing-company Sci/Tech label.</w:t>
            </w:r>
          </w:p>
        </w:tc>
      </w:tr>
    </w:tbl>
    <w:p/>
    <w:p>
      <w:pPr>
        <w:spacing w:after="100" w:line="259" w:lineRule="auto"/>
      </w:pPr>
      <w:r>
        <w:t>Most remaining errors are semantic boundary cases involving class overlap or misleading surface cues, not label-format or preprocessing failures.</w:t>
      </w:r>
    </w:p>
    <w:p>
      <w:pPr>
        <w:pStyle w:val="Heading1"/>
      </w:pPr>
      <w:r>
        <w:t>8. Conclusion</w:t>
      </w:r>
    </w:p>
    <w:p>
      <w:pPr>
        <w:spacing w:after="100" w:line="259" w:lineRule="auto"/>
      </w:pPr>
      <w:r>
        <w:t>Both from-scratch models performed well on AG News under the controlled setup, reaching about 91.2% final test accuracy. The Transformer Encoder achieved the best final test metrics, but only by a small margin. The LSTM was stronger in lower-data ablation settings, while the Transformer Encoder benefited more from the full training set.</w:t>
      </w:r>
    </w:p>
    <w:p>
      <w:pPr>
        <w:spacing w:after="100" w:line="259" w:lineRule="auto"/>
      </w:pPr>
      <w:r>
        <w:t>The required dataset-size ablation supports the original data-efficiency hypothesis. The optional sequence-length ablation showed that simply increasing maximum sequence length from 128 to 256 did not improve validation metrics. The most reasonable next experiment would be to tune early stopping or regularization, because both models show overfitting by the final epoch.</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