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8"/>
        </w:rPr>
        <w:t>Performance Analysis Report</w:t>
      </w:r>
    </w:p>
    <w:p>
      <w:pPr>
        <w:spacing w:after="280"/>
        <w:jc w:val="center"/>
      </w:pPr>
      <w:r>
        <w:rPr>
          <w:b/>
          <w:color w:val="2E86AB"/>
          <w:sz w:val="26"/>
        </w:rPr>
        <w:t>Vehicle Analytics Platform — Benchmark Session</w:t>
      </w:r>
    </w:p>
    <w:p>
      <w:pPr>
        <w:spacing w:after="160"/>
      </w:pPr>
      <w:r>
        <w:rPr>
          <w:i w:val="0"/>
          <w:sz w:val="21"/>
        </w:rPr>
        <w:t>This report documents a live benchmark of the detection + tracking pipeline (YOLOv8n + ByteTrack, CPU inference), captured with the platform's built-in performance logger. The session ran for 42.5 seconds across 566 logged frames and covered two different video sources loaded back-to-back within the same run — a lighter scene (few vehicles) followed by a denser scene (many vehicles) after the source was switched at the 23.24s mark. Both segments are reported separately below, since scene density materially changes several of the numbers.</w:t>
      </w:r>
    </w:p>
    <w:p>
      <w:pPr>
        <w:spacing w:before="120" w:after="120"/>
      </w:pPr>
      <w:r>
        <w:rPr>
          <w:b/>
          <w:color w:val="1F3864"/>
          <w:sz w:val="28"/>
        </w:rPr>
        <w:t>Headline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8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Light scene</w:t>
            </w:r>
          </w:p>
        </w:tc>
        <w:tc>
          <w:tcPr>
            <w:tcW w:type="dxa" w:w="248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Dense scene</w:t>
            </w:r>
          </w:p>
        </w:tc>
        <w:tc>
          <w:tcPr>
            <w:tcW w:type="dxa" w:w="248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Full session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Avg FPS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sz w:val="20"/>
              </w:rPr>
              <w:t>23.59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sz w:val="20"/>
              </w:rPr>
              <w:t>17.05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sz w:val="20"/>
              </w:rPr>
              <w:t>20.51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sz w:val="21"/>
        </w:rPr>
        <w:t>Inference (YOLOv8n) averaged 41.6 ms/frame and stayed essentially flat across both scenes (40.16 ms light vs. 43.2 ms dense) — the model cost does not scale with object count.</w:t>
      </w:r>
    </w:p>
    <w:p>
      <w:pPr>
        <w:pStyle w:val="ListBullet"/>
        <w:spacing w:after="60"/>
      </w:pPr>
      <w:r>
        <w:rPr>
          <w:sz w:val="21"/>
        </w:rPr>
        <w:t>Tracking (ByteTrack) is cheap: 0.58–1.45 ms/frame even as active objects grew from ~4 to ~18.</w:t>
      </w:r>
    </w:p>
    <w:p>
      <w:pPr>
        <w:pStyle w:val="ListBullet"/>
        <w:spacing w:after="60"/>
      </w:pPr>
      <w:r>
        <w:rPr>
          <w:sz w:val="21"/>
        </w:rPr>
        <w:t>Overhead (drawing/encoding/IO) is what scales with scene density — 1.69 ms light vs. 14.22 ms dense, an ~8x increase — and is the main reason FPS drops in busy scenes.</w:t>
      </w:r>
    </w:p>
    <w:p>
      <w:pPr>
        <w:pStyle w:val="ListBullet"/>
        <w:spacing w:after="60"/>
      </w:pPr>
      <w:r>
        <w:rPr>
          <w:sz w:val="21"/>
        </w:rPr>
        <w:t>CPU usage sat around 203% throughout, i.e. roughly two cores fully occupied — consistent with CPU-only inference.</w:t>
      </w:r>
    </w:p>
    <w:p>
      <w:pPr>
        <w:pStyle w:val="ListBullet"/>
        <w:spacing w:after="60"/>
      </w:pPr>
      <w:r>
        <w:rPr>
          <w:sz w:val="21"/>
        </w:rPr>
        <w:t>Memory grew from 538.1 MB to 824.6 MB over the session (+286 MB, +53%) — flagged below as worth a longer-run check.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0"/>
        </w:rPr>
        <w:t>Throughput Over Time</w:t>
      </w:r>
    </w:p>
    <w:p>
      <w:pPr>
        <w:spacing w:after="120"/>
      </w:pPr>
      <w:r>
        <w:rPr>
          <w:i w:val="0"/>
          <w:sz w:val="21"/>
        </w:rPr>
        <w:t>FPS tracks scene density closely: it holds in the low-to-mid 20s during the light first segment, then settles around 17 fps once the denser second source loads, with brief dips as low as 8.6 fps during the busiest moments.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45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D6D7E"/>
          <w:sz w:val="18"/>
        </w:rPr>
        <w:t>Figure 1: FPS over the full benchmark session. Dashed line marks the source switch.</w:t>
      </w:r>
    </w:p>
    <w:p>
      <w:pPr>
        <w:spacing w:before="280" w:after="120"/>
      </w:pPr>
      <w:r>
        <w:rPr>
          <w:b/>
          <w:color w:val="1F3864"/>
          <w:sz w:val="30"/>
        </w:rPr>
        <w:t>Resource Usage Over Time</w:t>
      </w:r>
    </w:p>
    <w:p>
      <w:pPr>
        <w:spacing w:after="120"/>
      </w:pPr>
      <w:r>
        <w:rPr>
          <w:i w:val="0"/>
          <w:sz w:val="21"/>
        </w:rPr>
        <w:t>CPU usage is stable around 190–214% (roughly two cores) for almost the entire run. Memory rises in two visible steps — once during the light segment's warmup, and again sharply after the source switch — rather than climbing gradually, which points to per-source buffer allocation (e.g. trajectory history, frame buffers) rather than a slow per-frame leak.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45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pu_m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D6D7E"/>
          <w:sz w:val="18"/>
        </w:rPr>
        <w:t>Figure 2: CPU% (red, left axis) and resident memory in MB (purple, right axis).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0"/>
        </w:rPr>
        <w:t>Where Frame Time Goes</w:t>
      </w:r>
    </w:p>
    <w:p>
      <w:pPr>
        <w:spacing w:after="120"/>
      </w:pPr>
      <w:r>
        <w:rPr>
          <w:i w:val="0"/>
          <w:sz w:val="21"/>
        </w:rPr>
        <w:t>Breaking total frame time into its three stages shows inference dominates in the light scene, but overhead (annotation drawing, JPEG encoding, per-object label text) becomes comparably large once object count rises — confirming that further optimization should target the drawing/encoding path for dense scenes, not the model itself.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45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D6D7E"/>
          <w:sz w:val="18"/>
        </w:rPr>
        <w:t>Figure 3: Stacked per-frame time — inference (blue), tracking (green), overhead (amber).</w:t>
      </w:r>
    </w:p>
    <w:p>
      <w:pPr>
        <w:spacing w:before="280" w:after="120"/>
      </w:pPr>
      <w:r>
        <w:rPr>
          <w:b/>
          <w:color w:val="1F3864"/>
          <w:sz w:val="30"/>
        </w:rPr>
        <w:t>Scene Load vs. Throughput</w:t>
      </w:r>
    </w:p>
    <w:p>
      <w:pPr>
        <w:spacing w:after="120"/>
      </w:pPr>
      <w:r>
        <w:rPr>
          <w:i w:val="0"/>
          <w:sz w:val="21"/>
        </w:rPr>
        <w:t>Overlaying active object count on FPS makes the relationship explicit: FPS falls as active objects rise, and recovers as the count drops back down — the pipeline is scene-load-bound in dense conditions, not source/decode-bound.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45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bjects_f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D6D7E"/>
          <w:sz w:val="18"/>
        </w:rPr>
        <w:t>Figure 4: Active tracked objects (navy, left axis) vs. FPS (blue, right axis).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0"/>
        </w:rPr>
        <w:t>Detailed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val="clear" w:fill="1F3864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864"/>
            <w:shd w:val="clear" w:fill="1F3864"/>
          </w:tcPr>
          <w:p>
            <w:r>
              <w:rPr>
                <w:b/>
                <w:color w:val="FFFFFF"/>
                <w:sz w:val="17"/>
              </w:rPr>
              <w:t>Seg.</w:t>
            </w:r>
          </w:p>
        </w:tc>
        <w:tc>
          <w:tcPr>
            <w:tcW w:type="dxa" w:w="936"/>
            <w:shd w:val="clear" w:fill="1F3864"/>
          </w:tcPr>
          <w:p>
            <w:r>
              <w:rPr>
                <w:b/>
                <w:color w:val="FFFFFF"/>
                <w:sz w:val="17"/>
              </w:rPr>
              <w:t>Mean</w:t>
            </w:r>
          </w:p>
        </w:tc>
        <w:tc>
          <w:tcPr>
            <w:tcW w:type="dxa" w:w="936"/>
            <w:shd w:val="clear" w:fill="1F3864"/>
          </w:tcPr>
          <w:p>
            <w:r>
              <w:rPr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864"/>
            <w:shd w:val="clear" w:fill="1F3864"/>
          </w:tcPr>
          <w:p>
            <w:r>
              <w:rPr>
                <w:b/>
                <w:color w:val="FFFFFF"/>
                <w:sz w:val="17"/>
              </w:rPr>
              <w:t>Min</w:t>
            </w:r>
          </w:p>
        </w:tc>
        <w:tc>
          <w:tcPr>
            <w:tcW w:type="dxa" w:w="864"/>
            <w:shd w:val="clear" w:fill="1F3864"/>
          </w:tcPr>
          <w:p>
            <w:r>
              <w:rPr>
                <w:b/>
                <w:color w:val="FFFFFF"/>
                <w:sz w:val="17"/>
              </w:rPr>
              <w:t>Max</w:t>
            </w:r>
          </w:p>
        </w:tc>
        <w:tc>
          <w:tcPr>
            <w:tcW w:type="dxa" w:w="864"/>
            <w:shd w:val="clear" w:fill="1F3864"/>
          </w:tcPr>
          <w:p>
            <w:r>
              <w:rPr>
                <w:b/>
                <w:color w:val="FFFFFF"/>
                <w:sz w:val="17"/>
              </w:rPr>
              <w:t>P95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FPS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23.59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23.67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20.63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25.66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24.58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17.05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17.05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8.6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19.25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18.23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20.51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22.31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8.6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25.66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24.37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  <w:t>Inference time (ms)</w:t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40.16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40.0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36.81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46.01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42.47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43.2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43.09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37.18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53.03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46.81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41.6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40.92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36.81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53.03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45.67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Tracking time (ms)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0.83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0.72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1.45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1.42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0.78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3.97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1.73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0.99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0.71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0.4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3.97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1.65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  <w:t>Overhead (ms)</w:t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1.69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1.66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1.5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6.75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1.81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14.22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13.89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12.12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72.03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15.03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7.59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1.81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1.5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72.03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14.65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Total frame time (ms)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42.44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42.25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38.98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48.48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44.83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58.87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58.66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51.94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116.34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63.02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50.18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44.81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38.98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116.34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61.39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  <w:t>CPU usage (%)</w:t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211.14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211.1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206.4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214.1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213.8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194.24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195.9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124.6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206.7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206.3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203.18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208.8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124.6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214.1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213.4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Memory (MB)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521.57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518.4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507.9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541.9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540.8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792.81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806.1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562.9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824.6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822.0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649.36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7"/>
              </w:rPr>
              <w:t>540.8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507.9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824.6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7"/>
              </w:rPr>
              <w:t>822.0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sz w:val="17"/>
              </w:rPr>
              <w:t>Active objects</w:t>
            </w:r>
          </w:p>
        </w:tc>
        <w:tc>
          <w:tcPr>
            <w:tcW w:type="dxa" w:w="864"/>
            <w:shd w:val="clear" w:fill="EAF1F8"/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4.21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2.0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7.0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sz w:val="17"/>
              </w:rPr>
              <w:t>6.0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Dense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18.45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sz w:val="17"/>
              </w:rPr>
              <w:t>19.0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23.0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22.0</w:t>
            </w:r>
          </w:p>
        </w:tc>
      </w:tr>
      <w:tr>
        <w:tc>
          <w:tcPr>
            <w:tcW w:type="dxa" w:w="1872"/>
            <w:shd w:val="clear" w:fill="EAF1F8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64"/>
            <w:shd w:val="clear" w:fill="EAF1F8"/>
          </w:tcPr>
          <w:p>
            <w:r>
              <w:rPr>
                <w:b/>
                <w:sz w:val="17"/>
              </w:rPr>
              <w:t>Full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10.92</w:t>
            </w:r>
          </w:p>
        </w:tc>
        <w:tc>
          <w:tcPr>
            <w:tcW w:type="dxa" w:w="936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6.0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0.0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23.0</w:t>
            </w:r>
          </w:p>
        </w:tc>
        <w:tc>
          <w:tcPr>
            <w:tcW w:type="dxa" w:w="864"/>
            <w:shd w:val="clear" w:fill="EAF1F8"/>
          </w:tcPr>
          <w:p>
            <w:pPr>
              <w:jc w:val="center"/>
            </w:pPr>
            <w:r>
              <w:rPr>
                <w:b/>
                <w:sz w:val="17"/>
              </w:rPr>
              <w:t>20.0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color w:val="5D6D7E"/>
          <w:sz w:val="18"/>
        </w:rPr>
        <w:t>Light = first source (0–23.2s, low vehicle count). Dense = second source (23.2–43.0s, high vehicle count). Full = entire session combined.</w:t>
      </w:r>
    </w:p>
    <w:p>
      <w:pPr>
        <w:spacing w:before="280" w:after="120"/>
      </w:pPr>
      <w:r>
        <w:rPr>
          <w:b/>
          <w:color w:val="1F3864"/>
          <w:sz w:val="30"/>
        </w:rPr>
        <w:t>Tracking Accuracy</w:t>
      </w:r>
    </w:p>
    <w:p>
      <w:pPr>
        <w:spacing w:after="160"/>
      </w:pPr>
      <w:r>
        <w:rPr>
          <w:i w:val="0"/>
          <w:sz w:val="21"/>
        </w:rPr>
        <w:t>No manually-annotated ground truth was available for this session, so standard tracking metrics (MOTA / IDF1 / identity-switch rate) could not be computed directly. In their place, the logger's own counters give a consistency check on tracking quality: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1F3864"/>
          </w:tcPr>
          <w:p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3312"/>
            <w:shd w:val="clear" w:fill="1F3864"/>
          </w:tcPr>
          <w:p>
            <w:r>
              <w:rPr>
                <w:b/>
                <w:color w:val="FFFFFF"/>
                <w:sz w:val="18"/>
              </w:rPr>
              <w:t>Light scene</w:t>
            </w:r>
          </w:p>
        </w:tc>
        <w:tc>
          <w:tcPr>
            <w:tcW w:type="dxa" w:w="3312"/>
            <w:shd w:val="clear" w:fill="1F3864"/>
          </w:tcPr>
          <w:p>
            <w:r>
              <w:rPr>
                <w:b/>
                <w:color w:val="FFFFFF"/>
                <w:sz w:val="18"/>
              </w:rPr>
              <w:t>Dense scene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Vehicles entered (new IDs created)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37</w:t>
            </w:r>
          </w:p>
        </w:tc>
      </w:tr>
      <w:tr>
        <w:tc>
          <w:tcPr>
            <w:tcW w:type="dxa" w:w="3312"/>
            <w:shd w:val="clear" w:fill="EAF1F8"/>
          </w:tcPr>
          <w:p>
            <w:r>
              <w:rPr>
                <w:sz w:val="19"/>
              </w:rPr>
              <w:t>Vehicles exited (IDs dropped)</w:t>
            </w:r>
          </w:p>
        </w:tc>
        <w:tc>
          <w:tcPr>
            <w:tcW w:type="dxa" w:w="3312"/>
            <w:shd w:val="clear" w:fill="EAF1F8"/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3312"/>
            <w:shd w:val="clear" w:fill="EAF1F8"/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Total unique IDs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37</w:t>
            </w:r>
          </w:p>
        </w:tc>
      </w:tr>
      <w:tr>
        <w:tc>
          <w:tcPr>
            <w:tcW w:type="dxa" w:w="3312"/>
            <w:shd w:val="clear" w:fill="EAF1F8"/>
          </w:tcPr>
          <w:p>
            <w:r>
              <w:rPr>
                <w:sz w:val="19"/>
              </w:rPr>
              <w:t>Active at segment end</w:t>
            </w:r>
          </w:p>
        </w:tc>
        <w:tc>
          <w:tcPr>
            <w:tcW w:type="dxa" w:w="3312"/>
            <w:shd w:val="clear" w:fill="EAF1F8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312"/>
            <w:shd w:val="clear" w:fill="EAF1F8"/>
          </w:tcPr>
          <w:p>
            <w:pPr>
              <w:jc w:val="center"/>
            </w:pPr>
            <w:r>
              <w:rPr>
                <w:sz w:val="19"/>
              </w:rPr>
              <w:t>18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Avg. detection confidence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0.809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9"/>
              </w:rPr>
              <w:t>0.611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Sanity check: unique IDs minus exited IDs should approximate the active-object count at session end. Light scene: 19 − 14 = 5 vs. an observed 4 active — a difference of 1, within the tracker's lost-track buffer tolerance. Dense scene: 37 − 17 = 20 vs. an observed 18 active — also consistent. No runaway ID inflation (IDs growing far faster than the scene's actual vehicle count) was observed in either segment, which is a good sign against excessive ID-switching, though it is not a substitute for measured IDF1.</w:t>
      </w:r>
    </w:p>
    <w:p>
      <w:pPr>
        <w:spacing w:after="200"/>
      </w:pPr>
      <w:r>
        <w:rPr>
          <w:i w:val="0"/>
          <w:sz w:val="21"/>
        </w:rPr>
        <w:t>Average detection confidence dropped from 0.81 (light scene) to 0.61 (dense scene). This is expected — more vehicles means more partial occlusion and smaller/further boxes — but it's close to the tracker's activation threshold (0.30) plus the base detection confidence floor (0.10), so it's worth spot-checking the dense-scene footage for missed or flickering IDs.</w:t>
      </w:r>
    </w:p>
    <w:p>
      <w:pPr>
        <w:spacing w:before="280" w:after="120"/>
      </w:pPr>
      <w:r>
        <w:rPr>
          <w:b/>
          <w:color w:val="1F3864"/>
          <w:sz w:val="30"/>
        </w:rPr>
        <w:t>Findings &amp; Recommendations</w:t>
      </w:r>
    </w:p>
    <w:p>
      <w:pPr>
        <w:spacing w:before="160" w:after="60"/>
      </w:pPr>
      <w:r>
        <w:rPr>
          <w:b/>
          <w:color w:val="2E86AB"/>
          <w:sz w:val="22"/>
        </w:rPr>
        <w:t>Bottleneck is scene-dependent, not model-dependent</w:t>
      </w:r>
    </w:p>
    <w:p>
      <w:pPr>
        <w:spacing w:after="160"/>
      </w:pPr>
      <w:r>
        <w:rPr>
          <w:i w:val="0"/>
          <w:sz w:val="20"/>
        </w:rPr>
        <w:t>Inference time is flat (~40–43 ms) regardless of object count; overhead (drawing + JPEG encoding) is what balloons in dense scenes (1.7 ms → 14.2 ms avg, spiking to 72 ms). If higher FPS is needed under load, optimize the annotation/encoding path first — e.g. lower JPEG quality further, skip trace/heatmap drawing when object count is high, or throttle label text rendering — before considering a smaller/faster model.</w:t>
      </w:r>
    </w:p>
    <w:p>
      <w:pPr>
        <w:spacing w:before="160" w:after="60"/>
      </w:pPr>
      <w:r>
        <w:rPr>
          <w:b/>
          <w:color w:val="2E86AB"/>
          <w:sz w:val="22"/>
        </w:rPr>
        <w:t>CPU-bound at ~2 cores</w:t>
      </w:r>
    </w:p>
    <w:p>
      <w:pPr>
        <w:spacing w:after="160"/>
      </w:pPr>
      <w:r>
        <w:rPr>
          <w:i w:val="0"/>
          <w:sz w:val="20"/>
        </w:rPr>
        <w:t>Sustained 190–214% CPU indicates the process is fully using roughly two cores with no headroom. A GPU-accelerated inference path (or a lighter model variant) would be the more reliable route to higher sustained FPS than further CPU optimization alone.</w:t>
      </w:r>
    </w:p>
    <w:p>
      <w:pPr>
        <w:spacing w:before="160" w:after="60"/>
      </w:pPr>
      <w:r>
        <w:rPr>
          <w:b/>
          <w:color w:val="2E86AB"/>
          <w:sz w:val="22"/>
        </w:rPr>
        <w:t>Memory growth warrants a longer-run check</w:t>
      </w:r>
    </w:p>
    <w:p>
      <w:pPr>
        <w:spacing w:after="160"/>
      </w:pPr>
      <w:r>
        <w:rPr>
          <w:i w:val="0"/>
          <w:sz w:val="20"/>
        </w:rPr>
        <w:t>RSS grew 286 MB over just 43 seconds. The step-pattern (rather than smooth climb) suggests it's tied to loading a new source rather than a per-frame leak, but this session was too short to be conclusive — a 10–15 minute continuous run with memory sampled throughout would confirm whether it plateaus or keeps climbing.</w:t>
      </w:r>
    </w:p>
    <w:p>
      <w:pPr>
        <w:spacing w:before="160" w:after="60"/>
      </w:pPr>
      <w:r>
        <w:rPr>
          <w:b/>
          <w:color w:val="2E86AB"/>
          <w:sz w:val="22"/>
        </w:rPr>
        <w:t>Tracking looks stable but is unverified against ground truth</w:t>
      </w:r>
    </w:p>
    <w:p>
      <w:pPr>
        <w:spacing w:after="160"/>
      </w:pPr>
      <w:r>
        <w:rPr>
          <w:i w:val="0"/>
          <w:sz w:val="20"/>
        </w:rPr>
        <w:t>ID/entered/exited counters are internally consistent in both segments. For a rigorous accuracy number (MOTA/IDF1) for the report, a short (~10s) manually-annotated clip run through motmetrics would close this gap.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