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VISUAL INSPECTION ENGINEERING REPORT</w:t>
      </w:r>
    </w:p>
    <w:p>
      <w:pPr>
        <w:spacing w:after="180"/>
        <w:jc w:val="center"/>
      </w:pPr>
      <w:r>
        <w:rPr>
          <w:rFonts w:ascii="Calibri" w:cs="Calibri" w:eastAsia="Calibri" w:hAnsi="Calibri"/>
          <w:i/>
          <w:iCs/>
          <w:color w:val="44546A"/>
          <w:sz w:val="21"/>
          <w:szCs w:val="21"/>
        </w:rPr>
        <w:t xml:space="preserve">AI-Based Industrial Visual Quality Inspection Platform — Fabric / Textile Defect Detection</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2200"/>
        <w:gridCol w:w="2200"/>
        <w:gridCol w:w="2000"/>
        <w:gridCol w:w="1806"/>
        <w:gridCol w:w="2000"/>
      </w:tblGrid>
      <w:tr>
        <w:trPr>
          <w:tblHeader/>
        </w:trPr>
        <w:tc>
          <w:tcPr>
            <w:tcW w:type="dxa" w:w="22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Prepared by</w:t>
            </w:r>
          </w:p>
        </w:tc>
        <w:tc>
          <w:tcPr>
            <w:tcW w:type="dxa" w:w="22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Program</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Organization</w:t>
            </w:r>
          </w:p>
        </w:tc>
        <w:tc>
          <w:tcPr>
            <w:tcW w:type="dxa" w:w="18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Date</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Model version</w:t>
            </w:r>
          </w:p>
        </w:tc>
      </w:tr>
      <w:tr>
        <w:tc>
          <w:tcPr>
            <w:tcW w:type="dxa" w:w="22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Ahsan (Reg. 2023-BS-AI-093), BS Artificial Intelligence, The University of Faisalabad</w:t>
            </w:r>
          </w:p>
        </w:tc>
        <w:tc>
          <w:tcPr>
            <w:tcW w:type="dxa" w:w="22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AI Summer Fellowship 2026 — Computer Vision Engineering Track, Week 6 Challenge</w:t>
            </w:r>
          </w:p>
        </w:tc>
        <w:tc>
          <w:tcPr>
            <w:tcW w:type="dxa" w:w="2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Visibility Bots Innovation Lab</w:t>
            </w:r>
          </w:p>
        </w:tc>
        <w:tc>
          <w:tcPr>
            <w:tcW w:type="dxa" w:w="18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August 30, 2026</w:t>
            </w:r>
          </w:p>
        </w:tc>
        <w:tc>
          <w:tcPr>
            <w:tcW w:type="dxa" w:w="2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classifier_v1 + anomaly_v1</w:t>
            </w:r>
          </w:p>
        </w:tc>
      </w:tr>
    </w:tbl>
    <w:p>
      <w:pPr>
        <w:spacing w:after="220"/>
      </w:pPr>
    </w:p>
    <w:p>
      <w:pPr>
        <w:pStyle w:val="Heading1"/>
        <w:pBdr>
          <w:bottom w:val="single" w:color="1F3864" w:sz="6" w:space="4"/>
        </w:pBdr>
        <w:spacing w:after="100" w:before="260"/>
      </w:pPr>
      <w:r>
        <w:rPr>
          <w:rFonts w:ascii="Calibri" w:cs="Calibri" w:eastAsia="Calibri" w:hAnsi="Calibri"/>
          <w:b/>
          <w:bCs/>
          <w:color w:val="1F3864"/>
          <w:sz w:val="25"/>
          <w:szCs w:val="25"/>
        </w:rPr>
        <w:t xml:space="preserve">1. Problem</w:t>
      </w:r>
    </w:p>
    <w:p>
      <w:pPr>
        <w:spacing w:after="120" w:line="264"/>
        <w:jc w:val="both"/>
      </w:pPr>
      <w:r>
        <w:rPr>
          <w:rFonts w:ascii="Calibri" w:cs="Calibri" w:eastAsia="Calibri" w:hAnsi="Calibri"/>
          <w:sz w:val="20"/>
          <w:szCs w:val="20"/>
        </w:rPr>
        <w:t xml:space="preserve">What is being inspected. </w:t>
      </w:r>
      <w:r>
        <w:rPr>
          <w:rFonts w:ascii="Calibri" w:cs="Calibri" w:eastAsia="Calibri" w:hAnsi="Calibri"/>
          <w:sz w:val="20"/>
          <w:szCs w:val="20"/>
        </w:rPr>
        <w:t xml:space="preserve">The platform inspects fabric and textile samples — tracked in the system as three product types, </w:t>
      </w:r>
      <w:r>
        <w:rPr>
          <w:rFonts w:ascii="Calibri" w:cs="Calibri" w:eastAsia="Calibri" w:hAnsi="Calibri"/>
          <w:b/>
          <w:bCs/>
          <w:sz w:val="20"/>
          <w:szCs w:val="20"/>
        </w:rPr>
        <w:t xml:space="preserve">fabric_patch, woven_roll, and knit_sample</w:t>
      </w:r>
      <w:r>
        <w:rPr>
          <w:rFonts w:ascii="Calibri" w:cs="Calibri" w:eastAsia="Calibri" w:hAnsi="Calibri"/>
          <w:sz w:val="20"/>
          <w:szCs w:val="20"/>
        </w:rPr>
        <w:t xml:space="preserve"> — for surface defects, using a single still image per sample captured from any UVC-compatible source (industrial USB camera, webcam, a recorded conveyor feed, or an uploaded video frame). Each sample is assigned one of six outcomes: </w:t>
      </w:r>
      <w:r>
        <w:rPr>
          <w:rFonts w:ascii="Calibri" w:cs="Calibri" w:eastAsia="Calibri" w:hAnsi="Calibri"/>
          <w:b/>
          <w:bCs/>
          <w:sz w:val="20"/>
          <w:szCs w:val="20"/>
        </w:rPr>
        <w:t xml:space="preserve">good, color, cut, hole, metal_contamination, or thread</w:t>
      </w:r>
      <w:r>
        <w:rPr>
          <w:rFonts w:ascii="Calibri" w:cs="Calibri" w:eastAsia="Calibri" w:hAnsi="Calibri"/>
          <w:sz w:val="20"/>
          <w:szCs w:val="20"/>
        </w:rPr>
        <w:t xml:space="preserve">, which is the exact class set the shipped classifier was trained against.</w:t>
      </w:r>
    </w:p>
    <w:p>
      <w:pPr>
        <w:spacing w:after="120" w:line="264"/>
        <w:jc w:val="both"/>
      </w:pPr>
      <w:r>
        <w:rPr>
          <w:rFonts w:ascii="Calibri" w:cs="Calibri" w:eastAsia="Calibri" w:hAnsi="Calibri"/>
          <w:sz w:val="20"/>
          <w:szCs w:val="20"/>
        </w:rPr>
        <w:t xml:space="preserve">Why it matters. Manual visual QC on a textile line is slow, subjective, and fatigue-prone at production speed, and different inspectors apply the pass/fail line inconsistently. An automated station gives every sample the same criteria, timestamps and stores evidence for every decision (useful for audits and supplier disputes), and — critically — pairs a supervised classifier for defect types it was trained on with an unsupervised anomaly detector that can flag samples that look wrong even when they don't match a known defect class. That second path is deliberate: a classifier-only system is blind to novel or rare defect types it never saw in training, which is exactly the failure mode that hurts a QC line in practice.</w:t>
      </w:r>
    </w:p>
    <w:p>
      <w:pPr>
        <w:spacing w:after="120" w:line="264"/>
        <w:jc w:val="both"/>
      </w:pPr>
      <w:r>
        <w:rPr>
          <w:rFonts w:ascii="Calibri" w:cs="Calibri" w:eastAsia="Calibri" w:hAnsi="Calibri"/>
          <w:sz w:val="20"/>
          <w:szCs w:val="20"/>
        </w:rPr>
        <w:t xml:space="preserve">In scope for this report: single-image defect classification, unsupervised anomaly scoring, a rule-based PASS/FAIL/INVALID decision engine, evidence capture, and the supporting inspection console (history, analytics, live settings). Out of scope: multi-camera synchronization, physical line integration (PLC/encoder triggering), and defect segmentation/bounding boxes (the current localization is a thresholded reconstruction-error heatmap, not a trained detector — see Section 3 and Section 7).</w:t>
      </w:r>
    </w:p>
    <w:p>
      <w:pPr>
        <w:pStyle w:val="Heading1"/>
        <w:pBdr>
          <w:bottom w:val="single" w:color="1F3864" w:sz="6" w:space="4"/>
        </w:pBdr>
        <w:spacing w:after="100" w:before="260"/>
      </w:pPr>
      <w:r>
        <w:rPr>
          <w:rFonts w:ascii="Calibri" w:cs="Calibri" w:eastAsia="Calibri" w:hAnsi="Calibri"/>
          <w:b/>
          <w:bCs/>
          <w:color w:val="1F3864"/>
          <w:sz w:val="25"/>
          <w:szCs w:val="25"/>
        </w:rPr>
        <w:t xml:space="preserve">2. Dataset</w:t>
      </w:r>
    </w:p>
    <w:p>
      <w:pPr>
        <w:spacing w:after="60" w:before="160"/>
      </w:pPr>
      <w:r>
        <w:rPr>
          <w:rFonts w:ascii="Calibri" w:cs="Calibri" w:eastAsia="Calibri" w:hAnsi="Calibri"/>
          <w:b/>
          <w:bCs/>
          <w:color w:val="44546A"/>
          <w:sz w:val="21"/>
          <w:szCs w:val="21"/>
        </w:rPr>
        <w:t xml:space="preserve">Sources</w:t>
      </w:r>
    </w:p>
    <w:p>
      <w:pPr>
        <w:spacing w:after="120" w:line="264"/>
        <w:jc w:val="both"/>
      </w:pPr>
      <w:r>
        <w:rPr>
          <w:rFonts w:ascii="Calibri" w:cs="Calibri" w:eastAsia="Calibri" w:hAnsi="Calibri"/>
          <w:sz w:val="20"/>
          <w:szCs w:val="20"/>
        </w:rPr>
        <w:t xml:space="preserve">Three Roboflow-hosted YOLO-format textile defect datasets were combined for this project: </w:t>
      </w:r>
      <w:r>
        <w:rPr>
          <w:rFonts w:ascii="Calibri" w:cs="Calibri" w:eastAsia="Calibri" w:hAnsi="Calibri"/>
          <w:b/>
          <w:bCs/>
          <w:sz w:val="20"/>
          <w:szCs w:val="20"/>
        </w:rPr>
        <w:t xml:space="preserve">aitex-textile-defects-v2</w:t>
      </w:r>
      <w:r>
        <w:rPr>
          <w:rFonts w:ascii="Calibri" w:cs="Calibri" w:eastAsia="Calibri" w:hAnsi="Calibri"/>
          <w:sz w:val="20"/>
          <w:szCs w:val="20"/>
        </w:rPr>
        <w:t xml:space="preserve">, </w:t>
      </w:r>
      <w:r>
        <w:rPr>
          <w:rFonts w:ascii="Calibri" w:cs="Calibri" w:eastAsia="Calibri" w:hAnsi="Calibri"/>
          <w:b/>
          <w:bCs/>
          <w:sz w:val="20"/>
          <w:szCs w:val="20"/>
        </w:rPr>
        <w:t xml:space="preserve">TILDA 400</w:t>
      </w:r>
      <w:r>
        <w:rPr>
          <w:rFonts w:ascii="Calibri" w:cs="Calibri" w:eastAsia="Calibri" w:hAnsi="Calibri"/>
          <w:sz w:val="20"/>
          <w:szCs w:val="20"/>
        </w:rPr>
        <w:t xml:space="preserve">, and a </w:t>
      </w:r>
      <w:r>
        <w:rPr>
          <w:rFonts w:ascii="Calibri" w:cs="Calibri" w:eastAsia="Calibri" w:hAnsi="Calibri"/>
          <w:b/>
          <w:bCs/>
          <w:sz w:val="20"/>
          <w:szCs w:val="20"/>
        </w:rPr>
        <w:t xml:space="preserve">Large Fabric Defect YOLO dataset</w:t>
      </w:r>
      <w:r>
        <w:rPr>
          <w:rFonts w:ascii="Calibri" w:cs="Calibri" w:eastAsia="Calibri" w:hAnsi="Calibri"/>
          <w:sz w:val="20"/>
          <w:szCs w:val="20"/>
        </w:rPr>
        <w:t xml:space="preserve"> (originally 20 defect classes). The richer 20-class label space from the source datasets was consolidated down to the 6-class set the shipped model actually predicts on: good, color, cut, hole, metal_contamination, thread.</w:t>
      </w:r>
    </w:p>
    <w:p>
      <w:pPr>
        <w:spacing w:after="60" w:before="160"/>
      </w:pPr>
      <w:r>
        <w:rPr>
          <w:rFonts w:ascii="Calibri" w:cs="Calibri" w:eastAsia="Calibri" w:hAnsi="Calibri"/>
          <w:b/>
          <w:bCs/>
          <w:color w:val="44546A"/>
          <w:sz w:val="21"/>
          <w:szCs w:val="21"/>
        </w:rPr>
        <w:t xml:space="preserve">Preprocessing pipeline (as implemented in app/preprocessing/)</w:t>
      </w:r>
    </w:p>
    <w:p>
      <w:pPr>
        <w:pStyle w:val="ListParagraph"/>
        <w:numPr>
          <w:ilvl w:val="0"/>
          <w:numId w:val="2"/>
        </w:numPr>
        <w:spacing w:after="60" w:line="258"/>
      </w:pPr>
      <w:r>
        <w:rPr>
          <w:rFonts w:ascii="Calibri" w:cs="Calibri" w:eastAsia="Calibri" w:hAnsi="Calibri"/>
          <w:sz w:val="20"/>
          <w:szCs w:val="20"/>
        </w:rPr>
        <w:t xml:space="preserve">Images are decoded and converted to single-channel grayscale — color information is discarded before either model sees the image (see Section 7 for why this matters given "color" is one of the target classes).</w:t>
      </w:r>
    </w:p>
    <w:p>
      <w:pPr>
        <w:pStyle w:val="ListParagraph"/>
        <w:numPr>
          <w:ilvl w:val="0"/>
          <w:numId w:val="2"/>
        </w:numPr>
        <w:spacing w:after="60" w:line="258"/>
      </w:pPr>
      <w:r>
        <w:rPr>
          <w:rFonts w:ascii="Calibri" w:cs="Calibri" w:eastAsia="Calibri" w:hAnsi="Calibri"/>
          <w:sz w:val="20"/>
          <w:szCs w:val="20"/>
        </w:rPr>
        <w:t xml:space="preserve">Full-resolution images are quality-gated before any resizing: mean brightness must fall in [25, 230] and Laplacian-variance blur score must be ≥ 30, or the sample is short-circuited to INVALID and never reaches a model (Requirement 18 in the codebase).</w:t>
      </w:r>
    </w:p>
    <w:p>
      <w:pPr>
        <w:pStyle w:val="ListParagraph"/>
        <w:numPr>
          <w:ilvl w:val="0"/>
          <w:numId w:val="2"/>
        </w:numPr>
        <w:spacing w:after="60" w:line="258"/>
      </w:pPr>
      <w:r>
        <w:rPr>
          <w:rFonts w:ascii="Calibri" w:cs="Calibri" w:eastAsia="Calibri" w:hAnsi="Calibri"/>
          <w:sz w:val="20"/>
          <w:szCs w:val="20"/>
        </w:rPr>
        <w:t xml:space="preserve">Images that pass quality gating are resized to 64×64 with INTER_AREA interpolation and normalized to [0, 1] before being handed to both the classifier and the autoencoder.</w:t>
      </w:r>
    </w:p>
    <w:p>
      <w:pPr>
        <w:pStyle w:val="ListParagraph"/>
        <w:numPr>
          <w:ilvl w:val="0"/>
          <w:numId w:val="2"/>
        </w:numPr>
        <w:spacing w:after="60" w:line="258"/>
      </w:pPr>
      <w:r>
        <w:rPr>
          <w:rFonts w:ascii="Calibri" w:cs="Calibri" w:eastAsia="Calibri" w:hAnsi="Calibri"/>
          <w:sz w:val="20"/>
          <w:szCs w:val="20"/>
        </w:rPr>
        <w:t xml:space="preserve">The anomaly autoencoder is trained primarily on "good" (normal) samples, per its own module docstring — standard practice for reconstruction-based one-class anomaly detection.</w:t>
      </w:r>
    </w:p>
    <w:p>
      <w:pPr>
        <w:pBdr>
          <w:left w:val="single" w:color="B8860B" w:sz="18" w:space="8"/>
        </w:pBdr>
        <w:shd w:fill="FBF3DA" w:val="clear"/>
        <w:spacing w:after="140" w:before="40"/>
        <w:ind w:left="60"/>
      </w:pPr>
      <w:r>
        <w:rPr>
          <w:rFonts w:ascii="Calibri" w:cs="Calibri" w:eastAsia="Calibri" w:hAnsi="Calibri"/>
          <w:b/>
          <w:bCs/>
          <w:color w:val="7A5C00"/>
          <w:sz w:val="18"/>
          <w:szCs w:val="18"/>
        </w:rPr>
        <w:t xml:space="preserve">PENDING INPUT — </w:t>
      </w:r>
      <w:r>
        <w:rPr>
          <w:rFonts w:ascii="Calibri" w:cs="Calibri" w:eastAsia="Calibri" w:hAnsi="Calibri"/>
          <w:i/>
          <w:iCs/>
          <w:color w:val="7A5C00"/>
          <w:sz w:val="18"/>
          <w:szCs w:val="18"/>
        </w:rPr>
        <w:t xml:space="preserve">Exact per-class image counts, the train/validation/test split sizes and ratios, and any class-balancing or augmentation applied during training live in the Week 6 training notebook, not in the served application repository this report was generated from. Insert the dataset composition table (images per class × split) here from that notebook before this report is finalized.</w:t>
      </w:r>
    </w:p>
    <w:p>
      <w:pPr>
        <w:pStyle w:val="Heading1"/>
        <w:pBdr>
          <w:bottom w:val="single" w:color="1F3864" w:sz="6" w:space="4"/>
        </w:pBdr>
        <w:spacing w:after="100" w:before="260"/>
      </w:pPr>
      <w:r>
        <w:rPr>
          <w:rFonts w:ascii="Calibri" w:cs="Calibri" w:eastAsia="Calibri" w:hAnsi="Calibri"/>
          <w:b/>
          <w:bCs/>
          <w:color w:val="1F3864"/>
          <w:sz w:val="25"/>
          <w:szCs w:val="25"/>
        </w:rPr>
        <w:t xml:space="preserve">3. Methodology</w:t>
      </w:r>
    </w:p>
    <w:p>
      <w:pPr>
        <w:spacing w:after="120" w:line="264"/>
        <w:jc w:val="both"/>
      </w:pPr>
      <w:r>
        <w:rPr>
          <w:rFonts w:ascii="Calibri" w:cs="Calibri" w:eastAsia="Calibri" w:hAnsi="Calibri"/>
          <w:sz w:val="20"/>
          <w:szCs w:val="20"/>
        </w:rPr>
        <w:t xml:space="preserve">The system deliberately uses two independently trained models plus a separate, human-editable decision engine, rather than one end-to-end model that outputs PASS/FAIL directly. This trades a small amount of raw accuracy ceiling for interpretability and auditability: every verdict can be traced to a named number (a confidence, a reconstruction error, an area ratio) and a named rule, and QC engineers can retune sensitivity from the Settings page without retraining anything.</w:t>
      </w:r>
    </w:p>
    <w:p>
      <w:pPr>
        <w:spacing w:after="60" w:before="160"/>
      </w:pPr>
      <w:r>
        <w:rPr>
          <w:rFonts w:ascii="Calibri" w:cs="Calibri" w:eastAsia="Calibri" w:hAnsi="Calibri"/>
          <w:b/>
          <w:bCs/>
          <w:color w:val="44546A"/>
          <w:sz w:val="21"/>
          <w:szCs w:val="21"/>
        </w:rPr>
        <w:t xml:space="preserve">(a) Supervised path — DefectCNN (classifier_v1)</w:t>
      </w:r>
    </w:p>
    <w:p>
      <w:pPr>
        <w:spacing w:after="120" w:line="264"/>
        <w:jc w:val="both"/>
      </w:pPr>
      <w:r>
        <w:rPr>
          <w:rFonts w:ascii="Calibri" w:cs="Calibri" w:eastAsia="Calibri" w:hAnsi="Calibri"/>
          <w:sz w:val="20"/>
          <w:szCs w:val="20"/>
        </w:rPr>
        <w:t xml:space="preserve">A compact 3-block convolutional classifier: three Conv(3×3)–BatchNorm–ReLU–MaxPool(2×2) stages (32 → 64 → 128 channels) followed by global average pooling and a single Linear(128 → 6) head with softmax over the six class names above. Reconstructed and loaded directly from the shipped checkpoint, this network has 93,894 trainable parameters and a 376.6 KB weight file — intentionally lightweight rather than an ImageNet-scale backbone, which is the right tradeoff for a 64×64 grayscale patch classification task running beside a camera rather than in a datacenter (see Section 8 for measured latency).</w:t>
      </w:r>
    </w:p>
    <w:p>
      <w:pPr>
        <w:spacing w:after="60" w:before="160"/>
      </w:pPr>
      <w:r>
        <w:rPr>
          <w:rFonts w:ascii="Calibri" w:cs="Calibri" w:eastAsia="Calibri" w:hAnsi="Calibri"/>
          <w:b/>
          <w:bCs/>
          <w:color w:val="44546A"/>
          <w:sz w:val="21"/>
          <w:szCs w:val="21"/>
        </w:rPr>
        <w:t xml:space="preserve">(b) Unsupervised path — ConvAutoencoder (anomaly_v1)</w:t>
      </w:r>
    </w:p>
    <w:p>
      <w:pPr>
        <w:spacing w:after="120" w:line="264"/>
        <w:jc w:val="both"/>
      </w:pPr>
      <w:r>
        <w:rPr>
          <w:rFonts w:ascii="Calibri" w:cs="Calibri" w:eastAsia="Calibri" w:hAnsi="Calibri"/>
          <w:sz w:val="20"/>
          <w:szCs w:val="20"/>
        </w:rPr>
        <w:t xml:space="preserve">A convolutional autoencoder: a 3-layer stride-2 convolutional encoder (16 → 32 → 64 channels) compresses the 64×64×1 input to an 8×8×64 feature map, which is bottlenecked through a 16-dimensional latent vector and reconstructed by a mirrored transposed-convolution decoder back to 64×64×1. It has 181,713 trainable parameters and a 716.2 KB weight file. The mean absolute pixel reconstruction error becomes the image-level anomaly score; pixels whose local error exceeds (map mean + map standard deviation) are marked in a thresholded mask, which both drives the visual heatmap and yields a defect_area_ratio (fraction of anomalous pixels) even without a trained segmentation head.</w:t>
      </w:r>
    </w:p>
    <w:p>
      <w:pPr>
        <w:spacing w:after="60" w:before="160"/>
      </w:pPr>
      <w:r>
        <w:rPr>
          <w:rFonts w:ascii="Calibri" w:cs="Calibri" w:eastAsia="Calibri" w:hAnsi="Calibri"/>
          <w:b/>
          <w:bCs/>
          <w:color w:val="44546A"/>
          <w:sz w:val="21"/>
          <w:szCs w:val="21"/>
        </w:rPr>
        <w:t xml:space="preserve">(c) Fusion and the decision engine</w:t>
      </w:r>
    </w:p>
    <w:p>
      <w:pPr>
        <w:spacing w:after="120" w:line="264"/>
        <w:jc w:val="both"/>
      </w:pPr>
      <w:r>
        <w:rPr>
          <w:rFonts w:ascii="Calibri" w:cs="Calibri" w:eastAsia="Calibri" w:hAnsi="Calibri"/>
          <w:sz w:val="20"/>
          <w:szCs w:val="20"/>
        </w:rPr>
        <w:t xml:space="preserve">A separate, config-driven module combines both signals: the classifier's vote only counts if its confidence clears a threshold (default 0.50); the anomaly model's vote fires if its score clears a second threshold (default 0.62); "hole" and "cut" are configured as always-fail critical classes regardless of measured area; and any sample is otherwise failed if its defect_area_ratio exceeds 0.02 or its confirmed defect count exceeds 0. All four thresholds are live-editable from the Settings page and persisted to SQLite, so the operating point can be retuned in production without a redeploy.</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3600"/>
        <w:gridCol w:w="1600"/>
        <w:gridCol w:w="5006"/>
      </w:tblGrid>
      <w:tr>
        <w:trPr>
          <w:tblHeader/>
        </w:trPr>
        <w:tc>
          <w:tcPr>
            <w:tcW w:type="dxa" w:w="3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Decision threshold</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Default value</w:t>
            </w:r>
          </w:p>
        </w:tc>
        <w:tc>
          <w:tcPr>
            <w:tcW w:type="dxa" w:w="50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Effect</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classifier_confidence_threshold</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0.50</w:t>
            </w:r>
          </w:p>
        </w:tc>
        <w:tc>
          <w:tcPr>
            <w:tcW w:type="dxa" w:w="50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Classifier vote ignored below this confidence</w:t>
            </w:r>
          </w:p>
        </w:tc>
      </w:tr>
      <w:tr>
        <w:tc>
          <w:tcPr>
            <w:tcW w:type="dxa" w:w="36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anomaly_score_threshold</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0.62</w:t>
            </w:r>
          </w:p>
        </w:tc>
        <w:tc>
          <w:tcPr>
            <w:tcW w:type="dxa" w:w="50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Reconstruction error ≥ this ⇒ flagged anomalous</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max_allowed_area_ratio</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0.02</w:t>
            </w:r>
          </w:p>
        </w:tc>
        <w:tc>
          <w:tcPr>
            <w:tcW w:type="dxa" w:w="50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Defect area above 2% of the frame ⇒ FAIL</w:t>
            </w:r>
          </w:p>
        </w:tc>
      </w:tr>
      <w:tr>
        <w:tc>
          <w:tcPr>
            <w:tcW w:type="dxa" w:w="36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max_allowed_defect_count</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0</w:t>
            </w:r>
          </w:p>
        </w:tc>
        <w:tc>
          <w:tcPr>
            <w:tcW w:type="dxa" w:w="50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Any confirmed defect fails the part</w:t>
            </w:r>
          </w:p>
        </w:tc>
      </w:tr>
      <w:tr>
        <w:tc>
          <w:tcPr>
            <w:tcW w:type="dxa" w:w="36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critical_classes</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hole, cut</w:t>
            </w:r>
          </w:p>
        </w:tc>
        <w:tc>
          <w:tcPr>
            <w:tcW w:type="dxa" w:w="50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Always FAIL when the classifier votes these, any area</w:t>
            </w:r>
          </w:p>
        </w:tc>
      </w:tr>
    </w:tbl>
    <w:p>
      <w:pPr>
        <w:spacing w:after="160" w:before="40"/>
      </w:pPr>
      <w:r>
        <w:rPr>
          <w:rFonts w:ascii="Calibri" w:cs="Calibri" w:eastAsia="Calibri" w:hAnsi="Calibri"/>
          <w:i/>
          <w:iCs/>
          <w:color w:val="44546A"/>
          <w:sz w:val="16"/>
          <w:szCs w:val="16"/>
        </w:rPr>
        <w:t xml:space="preserve">Table 1 — Decision-engine operating point as shipped (app/config.py DEFAULT_DECISION_THRESHOLDS).</w:t>
      </w:r>
    </w:p>
    <w:p>
      <w:pPr>
        <w:spacing w:after="60" w:before="160"/>
      </w:pPr>
      <w:r>
        <w:rPr>
          <w:rFonts w:ascii="Calibri" w:cs="Calibri" w:eastAsia="Calibri" w:hAnsi="Calibri"/>
          <w:b/>
          <w:bCs/>
          <w:color w:val="44546A"/>
          <w:sz w:val="21"/>
          <w:szCs w:val="21"/>
        </w:rPr>
        <w:t xml:space="preserve">(d) Alternatives evaluated</w:t>
      </w:r>
    </w:p>
    <w:p>
      <w:pPr>
        <w:pBdr>
          <w:left w:val="single" w:color="B8860B" w:sz="18" w:space="8"/>
        </w:pBdr>
        <w:shd w:fill="FBF3DA" w:val="clear"/>
        <w:spacing w:after="140" w:before="40"/>
        <w:ind w:left="60"/>
      </w:pPr>
      <w:r>
        <w:rPr>
          <w:rFonts w:ascii="Calibri" w:cs="Calibri" w:eastAsia="Calibri" w:hAnsi="Calibri"/>
          <w:b/>
          <w:bCs/>
          <w:color w:val="7A5C00"/>
          <w:sz w:val="18"/>
          <w:szCs w:val="18"/>
        </w:rPr>
        <w:t xml:space="preserve">PENDING INPUT — </w:t>
      </w:r>
      <w:r>
        <w:rPr>
          <w:rFonts w:ascii="Calibri" w:cs="Calibri" w:eastAsia="Calibri" w:hAnsi="Calibri"/>
          <w:i/>
          <w:iCs/>
          <w:color w:val="7A5C00"/>
          <w:sz w:val="18"/>
          <w:szCs w:val="18"/>
        </w:rPr>
        <w:t xml:space="preserve">This report is generated from the served inference application, which only contains the final chosen architectures. It does not contain the experiment history from the training notebook. List here what was actually compared before settling on this design — e.g. whether a direct YOLO detector/segmenter was tried against the full 20-class label set before collapsing to 6-way classification, which classifier backbone sizes or augmentation strategies were tried, and which anomaly-detection technique(s) (autoencoder vs. PatchCore/other) were compared and why the autoencoder was chosen.</w:t>
      </w:r>
    </w:p>
    <w:p>
      <w:pPr>
        <w:pStyle w:val="Heading1"/>
        <w:pBdr>
          <w:bottom w:val="single" w:color="1F3864" w:sz="6" w:space="4"/>
        </w:pBdr>
        <w:spacing w:after="100" w:before="260"/>
      </w:pPr>
      <w:r>
        <w:rPr>
          <w:rFonts w:ascii="Calibri" w:cs="Calibri" w:eastAsia="Calibri" w:hAnsi="Calibri"/>
          <w:b/>
          <w:bCs/>
          <w:color w:val="1F3864"/>
          <w:sz w:val="25"/>
          <w:szCs w:val="25"/>
        </w:rPr>
        <w:t xml:space="preserve">4. Supervised Inspection Results</w:t>
      </w:r>
    </w:p>
    <w:p>
      <w:pPr>
        <w:spacing w:after="120" w:line="264"/>
        <w:jc w:val="both"/>
      </w:pPr>
      <w:r>
        <w:rPr>
          <w:rFonts w:ascii="Calibri" w:cs="Calibri" w:eastAsia="Calibri" w:hAnsi="Calibri"/>
          <w:sz w:val="20"/>
          <w:szCs w:val="20"/>
        </w:rPr>
        <w:t xml:space="preserve">The classifier outputs a 6-way softmax (good / color / cut / hole / metal_contamination / thread) with a per-class probability and a top-1 confidence, computed as shown in Section 3(a). The table below is the standard reporting format for this model — insert the values computed against a held-out test split in the training notebook (classification_report / confusion_matrix outputs).</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3806"/>
        <w:gridCol w:w="1600"/>
        <w:gridCol w:w="1600"/>
        <w:gridCol w:w="1600"/>
        <w:gridCol w:w="1600"/>
      </w:tblGrid>
      <w:tr>
        <w:trPr>
          <w:tblHeader/>
        </w:trPr>
        <w:tc>
          <w:tcPr>
            <w:tcW w:type="dxa" w:w="38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Class</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Precision</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Recall</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F1-score</w:t>
            </w:r>
          </w:p>
        </w:tc>
        <w:tc>
          <w:tcPr>
            <w:tcW w:type="dxa" w:w="1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Support</w:t>
            </w:r>
          </w:p>
        </w:tc>
      </w:tr>
      <w:tr>
        <w:tc>
          <w:tcPr>
            <w:tcW w:type="dxa" w:w="38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good</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color</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cut</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hole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metal_contamination</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thread</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38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Overall (accuracy / macro avg / weighted avg)</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1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bl>
    <w:p>
      <w:pPr>
        <w:spacing w:after="160" w:before="40"/>
      </w:pPr>
      <w:r>
        <w:rPr>
          <w:rFonts w:ascii="Calibri" w:cs="Calibri" w:eastAsia="Calibri" w:hAnsi="Calibri"/>
          <w:i/>
          <w:iCs/>
          <w:color w:val="44546A"/>
          <w:sz w:val="16"/>
          <w:szCs w:val="16"/>
        </w:rPr>
        <w:t xml:space="preserve">Table 2 — Per-class classification metrics on the held-out test split (values pending).</w:t>
      </w:r>
    </w:p>
    <w:p>
      <w:pPr>
        <w:pBdr>
          <w:left w:val="single" w:color="B8860B" w:sz="18" w:space="8"/>
        </w:pBdr>
        <w:shd w:fill="FBF3DA" w:val="clear"/>
        <w:spacing w:after="140" w:before="40"/>
        <w:ind w:left="60"/>
      </w:pPr>
      <w:r>
        <w:rPr>
          <w:rFonts w:ascii="Calibri" w:cs="Calibri" w:eastAsia="Calibri" w:hAnsi="Calibri"/>
          <w:b/>
          <w:bCs/>
          <w:color w:val="7A5C00"/>
          <w:sz w:val="18"/>
          <w:szCs w:val="18"/>
        </w:rPr>
        <w:t xml:space="preserve">PENDING INPUT — </w:t>
      </w:r>
      <w:r>
        <w:rPr>
          <w:rFonts w:ascii="Calibri" w:cs="Calibri" w:eastAsia="Calibri" w:hAnsi="Calibri"/>
          <w:i/>
          <w:iCs/>
          <w:color w:val="7A5C00"/>
          <w:sz w:val="18"/>
          <w:szCs w:val="18"/>
        </w:rPr>
        <w:t xml:space="preserve">Insert: overall top-1 accuracy, the per-class precision/recall/F1 table above, and the 6×6 confusion matrix (as an appendix table or attached export) from the training notebook's final evaluation cell.</w:t>
      </w:r>
    </w:p>
    <w:p>
      <w:pPr>
        <w:spacing w:after="120" w:line="264"/>
        <w:jc w:val="both"/>
      </w:pPr>
      <w:r>
        <w:rPr>
          <w:rFonts w:ascii="Calibri" w:cs="Calibri" w:eastAsia="Calibri" w:hAnsi="Calibri"/>
          <w:sz w:val="20"/>
          <w:szCs w:val="20"/>
        </w:rPr>
        <w:t xml:space="preserve">Architecture-based expectation, not a measured result: at 64×64 grayscale, visually similar fine-grained classes (e.g. thread vs. a thin cut) are the likeliest confusion pairs, and the color class is the one most structurally at risk given the pipeline discards color information before classification (Section 7).</w:t>
      </w:r>
    </w:p>
    <w:p>
      <w:pPr>
        <w:pStyle w:val="Heading1"/>
        <w:pBdr>
          <w:bottom w:val="single" w:color="1F3864" w:sz="6" w:space="4"/>
        </w:pBdr>
        <w:spacing w:after="100" w:before="260"/>
      </w:pPr>
      <w:r>
        <w:rPr>
          <w:rFonts w:ascii="Calibri" w:cs="Calibri" w:eastAsia="Calibri" w:hAnsi="Calibri"/>
          <w:b/>
          <w:bCs/>
          <w:color w:val="1F3864"/>
          <w:sz w:val="25"/>
          <w:szCs w:val="25"/>
        </w:rPr>
        <w:t xml:space="preserve">5. Anomaly Detection</w:t>
      </w:r>
    </w:p>
    <w:p>
      <w:pPr>
        <w:spacing w:after="120" w:line="264"/>
        <w:jc w:val="both"/>
      </w:pPr>
      <w:r>
        <w:rPr>
          <w:rFonts w:ascii="Calibri" w:cs="Calibri" w:eastAsia="Calibri" w:hAnsi="Calibri"/>
          <w:sz w:val="20"/>
          <w:szCs w:val="20"/>
        </w:rPr>
        <w:t xml:space="preserve">The autoencoder is not asked to name a defect — it flags "this doesn't reconstruct like a normal sample," which is the intended safety net for defect types the classifier was never trained on. Its usefulness is measured by how well the reconstruction-error score separates good from defective samples, independent of the classifier.</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6606"/>
        <w:gridCol w:w="3600"/>
      </w:tblGrid>
      <w:tr>
        <w:trPr>
          <w:tblHeader/>
        </w:trPr>
        <w:tc>
          <w:tcPr>
            <w:tcW w:type="dxa" w:w="66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Metric</w:t>
            </w:r>
          </w:p>
        </w:tc>
        <w:tc>
          <w:tcPr>
            <w:tcW w:type="dxa" w:w="36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Value</w:t>
            </w:r>
          </w:p>
        </w:tc>
      </w:tr>
      <w:tr>
        <w:tc>
          <w:tcPr>
            <w:tcW w:type="dxa" w:w="66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Operating threshold (anomaly_score_threshold)</w:t>
            </w:r>
          </w:p>
        </w:tc>
        <w:tc>
          <w:tcPr>
            <w:tcW w:type="dxa" w:w="3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0.62 (shipped default, live-editable)</w:t>
            </w:r>
          </w:p>
        </w:tc>
      </w:tr>
      <w:tr>
        <w:tc>
          <w:tcPr>
            <w:tcW w:type="dxa" w:w="66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True positive rate on defective samples (recall)</w:t>
            </w:r>
          </w:p>
        </w:tc>
        <w:tc>
          <w:tcPr>
            <w:tcW w:type="dxa" w:w="3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66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False positive rate on good samples</w:t>
            </w:r>
          </w:p>
        </w:tc>
        <w:tc>
          <w:tcPr>
            <w:tcW w:type="dxa" w:w="3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66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Precision at operating threshold</w:t>
            </w:r>
          </w:p>
        </w:tc>
        <w:tc>
          <w:tcPr>
            <w:tcW w:type="dxa" w:w="3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66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AUROC (score vs. good/defective label)</w:t>
            </w:r>
          </w:p>
        </w:tc>
        <w:tc>
          <w:tcPr>
            <w:tcW w:type="dxa" w:w="36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r>
        <w:tc>
          <w:tcPr>
            <w:tcW w:type="dxa" w:w="66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AUPRC</w:t>
            </w:r>
          </w:p>
        </w:tc>
        <w:tc>
          <w:tcPr>
            <w:tcW w:type="dxa" w:w="36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r>
    </w:tbl>
    <w:p>
      <w:pPr>
        <w:spacing w:after="160" w:before="40"/>
      </w:pPr>
      <w:r>
        <w:rPr>
          <w:rFonts w:ascii="Calibri" w:cs="Calibri" w:eastAsia="Calibri" w:hAnsi="Calibri"/>
          <w:i/>
          <w:iCs/>
          <w:color w:val="44546A"/>
          <w:sz w:val="16"/>
          <w:szCs w:val="16"/>
        </w:rPr>
        <w:t xml:space="preserve">Table 3 — Anomaly-detector separation metrics (threshold is real/shipped; separation values pending).</w:t>
      </w:r>
    </w:p>
    <w:p>
      <w:pPr>
        <w:pBdr>
          <w:left w:val="single" w:color="B8860B" w:sz="18" w:space="8"/>
        </w:pBdr>
        <w:shd w:fill="FBF3DA" w:val="clear"/>
        <w:spacing w:after="140" w:before="40"/>
        <w:ind w:left="60"/>
      </w:pPr>
      <w:r>
        <w:rPr>
          <w:rFonts w:ascii="Calibri" w:cs="Calibri" w:eastAsia="Calibri" w:hAnsi="Calibri"/>
          <w:b/>
          <w:bCs/>
          <w:color w:val="7A5C00"/>
          <w:sz w:val="18"/>
          <w:szCs w:val="18"/>
        </w:rPr>
        <w:t xml:space="preserve">PENDING INPUT — </w:t>
      </w:r>
      <w:r>
        <w:rPr>
          <w:rFonts w:ascii="Calibri" w:cs="Calibri" w:eastAsia="Calibri" w:hAnsi="Calibri"/>
          <w:i/>
          <w:iCs/>
          <w:color w:val="7A5C00"/>
          <w:sz w:val="18"/>
          <w:szCs w:val="18"/>
        </w:rPr>
        <w:t xml:space="preserve">Insert the ROC/PR curve values and the reconstruction-error distributions for good vs. defective held-out samples from the notebook. Also worth reporting: how 0.62 was chosen (e.g. best-F1 on a validation split) versus left at an untuned default.</w:t>
      </w:r>
    </w:p>
    <w:p>
      <w:pPr>
        <w:spacing w:after="120" w:line="264"/>
        <w:jc w:val="both"/>
      </w:pPr>
      <w:r>
        <w:rPr>
          <w:rFonts w:ascii="Calibri" w:cs="Calibri" w:eastAsia="Calibri" w:hAnsi="Calibri"/>
          <w:sz w:val="20"/>
          <w:szCs w:val="20"/>
        </w:rPr>
        <w:t xml:space="preserve">One structural point worth testing explicitly: a single global anomaly threshold is applied across all three product types (fabric_patch, woven_roll, knit_sample), which have different base textures and therefore likely different "normal" reconstruction-error baselines. Per-product-type thresholds are a natural next experiment if the pooled ROC looks worse than the per-product-type ROC.</w:t>
      </w:r>
    </w:p>
    <w:p>
      <w:pPr>
        <w:pStyle w:val="Heading1"/>
        <w:pBdr>
          <w:bottom w:val="single" w:color="1F3864" w:sz="6" w:space="4"/>
        </w:pBdr>
        <w:spacing w:after="100" w:before="260"/>
      </w:pPr>
      <w:r>
        <w:rPr>
          <w:rFonts w:ascii="Calibri" w:cs="Calibri" w:eastAsia="Calibri" w:hAnsi="Calibri"/>
          <w:b/>
          <w:bCs/>
          <w:color w:val="1F3864"/>
          <w:sz w:val="25"/>
          <w:szCs w:val="25"/>
        </w:rPr>
        <w:t xml:space="preserve">6. Evaluation</w:t>
      </w:r>
    </w:p>
    <w:p>
      <w:pPr>
        <w:spacing w:after="120" w:line="264"/>
        <w:jc w:val="both"/>
      </w:pPr>
      <w:r>
        <w:rPr>
          <w:rFonts w:ascii="Calibri" w:cs="Calibri" w:eastAsia="Calibri" w:hAnsi="Calibri"/>
          <w:sz w:val="20"/>
          <w:szCs w:val="20"/>
        </w:rPr>
        <w:t xml:space="preserve">Beyond the model-level metrics in Sections 4–5, the metric that actually matters for a QC line is system-level: does the combined decision engine's PASS/FAIL agree with a human inspector's ground-truth call on the same samples, and — because the two error types have very different costs — how often does it wrongly pass a defective part (false accept, the expensive one) versus wrongly fail a good part (false reject, the wasteful one)?</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3400"/>
        <w:gridCol w:w="2400"/>
        <w:gridCol w:w="4406"/>
      </w:tblGrid>
      <w:tr>
        <w:trPr>
          <w:tblHeader/>
        </w:trPr>
        <w:tc>
          <w:tcPr>
            <w:tcW w:type="dxa" w:w="34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System-level metric</w:t>
            </w:r>
          </w:p>
        </w:tc>
        <w:tc>
          <w:tcPr>
            <w:tcW w:type="dxa" w:w="24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Value</w:t>
            </w:r>
          </w:p>
        </w:tc>
        <w:tc>
          <w:tcPr>
            <w:tcW w:type="dxa" w:w="44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Why it matters</w:t>
            </w:r>
          </w:p>
        </w:tc>
      </w:tr>
      <w:tr>
        <w:tc>
          <w:tcPr>
            <w:tcW w:type="dxa" w:w="3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PASS/FAIL agreement with human QC ground truth</w:t>
            </w:r>
          </w:p>
        </w:tc>
        <w:tc>
          <w:tcPr>
            <w:tcW w:type="dxa" w:w="24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44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Overall system correctness, not just the classifier's</w:t>
            </w:r>
          </w:p>
        </w:tc>
      </w:tr>
      <w:tr>
        <w:tc>
          <w:tcPr>
            <w:tcW w:type="dxa" w:w="34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False-accept rate (defective marked PASS)</w:t>
            </w:r>
          </w:p>
        </w:tc>
        <w:tc>
          <w:tcPr>
            <w:tcW w:type="dxa" w:w="24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44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Defective product reaches the next stage/customer</w:t>
            </w:r>
          </w:p>
        </w:tc>
      </w:tr>
      <w:tr>
        <w:tc>
          <w:tcPr>
            <w:tcW w:type="dxa" w:w="3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False-reject rate (good marked FAIL)</w:t>
            </w:r>
          </w:p>
        </w:tc>
        <w:tc>
          <w:tcPr>
            <w:tcW w:type="dxa" w:w="24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44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Good product scrapped or re-inspected — a cost, not a safety issue</w:t>
            </w:r>
          </w:p>
        </w:tc>
      </w:tr>
      <w:tr>
        <w:tc>
          <w:tcPr>
            <w:tcW w:type="dxa" w:w="34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INVALID rate (quality-gate rejections)</w:t>
            </w:r>
          </w:p>
        </w:tc>
        <w:tc>
          <w:tcPr>
            <w:tcW w:type="dxa" w:w="24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w:t>
            </w:r>
          </w:p>
        </w:tc>
        <w:tc>
          <w:tcPr>
            <w:tcW w:type="dxa" w:w="44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How often capture conditions themselves are the problem</w:t>
            </w:r>
          </w:p>
        </w:tc>
      </w:tr>
      <w:tr>
        <w:tc>
          <w:tcPr>
            <w:tcW w:type="dxa" w:w="3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End-to-end pipeline latency</w:t>
            </w:r>
          </w:p>
        </w:tc>
        <w:tc>
          <w:tcPr>
            <w:tcW w:type="dxa" w:w="24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See Table 5 (Section 8) — measured</w:t>
            </w:r>
          </w:p>
        </w:tc>
        <w:tc>
          <w:tcPr>
            <w:tcW w:type="dxa" w:w="44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Determines feasible line speed</w:t>
            </w:r>
          </w:p>
        </w:tc>
      </w:tr>
    </w:tbl>
    <w:p>
      <w:pPr>
        <w:spacing w:after="160" w:before="40"/>
      </w:pPr>
      <w:r>
        <w:rPr>
          <w:rFonts w:ascii="Calibri" w:cs="Calibri" w:eastAsia="Calibri" w:hAnsi="Calibri"/>
          <w:i/>
          <w:iCs/>
          <w:color w:val="44546A"/>
          <w:sz w:val="16"/>
          <w:szCs w:val="16"/>
        </w:rPr>
        <w:t xml:space="preserve">Table 4 — System-level evaluation metrics required before any pilot claim (Section 10).</w:t>
      </w:r>
    </w:p>
    <w:p>
      <w:pPr>
        <w:pBdr>
          <w:left w:val="single" w:color="B8860B" w:sz="18" w:space="8"/>
        </w:pBdr>
        <w:shd w:fill="FBF3DA" w:val="clear"/>
        <w:spacing w:after="140" w:before="40"/>
        <w:ind w:left="60"/>
      </w:pPr>
      <w:r>
        <w:rPr>
          <w:rFonts w:ascii="Calibri" w:cs="Calibri" w:eastAsia="Calibri" w:hAnsi="Calibri"/>
          <w:b/>
          <w:bCs/>
          <w:color w:val="7A5C00"/>
          <w:sz w:val="18"/>
          <w:szCs w:val="18"/>
        </w:rPr>
        <w:t xml:space="preserve">PENDING INPUT — </w:t>
      </w:r>
      <w:r>
        <w:rPr>
          <w:rFonts w:ascii="Calibri" w:cs="Calibri" w:eastAsia="Calibri" w:hAnsi="Calibri"/>
          <w:i/>
          <w:iCs/>
          <w:color w:val="7A5C00"/>
          <w:sz w:val="18"/>
          <w:szCs w:val="18"/>
        </w:rPr>
        <w:t xml:space="preserve">The false-accept and false-reject rates above must come from running the full pipeline against a labeled held-out set and comparing decision-engine output to ground truth — not from the classifier's per-class metrics alone, since the decision engine's extra rules (critical classes, area threshold, anomaly OR) change the final verdict.</w:t>
      </w:r>
    </w:p>
    <w:p>
      <w:pPr>
        <w:pStyle w:val="Heading1"/>
        <w:pBdr>
          <w:bottom w:val="single" w:color="1F3864" w:sz="6" w:space="4"/>
        </w:pBdr>
        <w:spacing w:after="100" w:before="260"/>
      </w:pPr>
      <w:r>
        <w:rPr>
          <w:rFonts w:ascii="Calibri" w:cs="Calibri" w:eastAsia="Calibri" w:hAnsi="Calibri"/>
          <w:b/>
          <w:bCs/>
          <w:color w:val="1F3864"/>
          <w:sz w:val="25"/>
          <w:szCs w:val="25"/>
        </w:rPr>
        <w:t xml:space="preserve">7. Error Analysis</w:t>
      </w:r>
    </w:p>
    <w:p>
      <w:pPr>
        <w:spacing w:after="120" w:line="264"/>
        <w:jc w:val="both"/>
      </w:pPr>
      <w:r>
        <w:rPr>
          <w:rFonts w:ascii="Calibri" w:cs="Calibri" w:eastAsia="Calibri" w:hAnsi="Calibri"/>
          <w:sz w:val="20"/>
          <w:szCs w:val="20"/>
        </w:rPr>
        <w:t xml:space="preserve">No labeled failure cases from an actual evaluation run were available when this report was generated (see Sections 4–6). The items below are architecture-grounded risk factors — plausible sources of error given how the pipeline is actually built — not confirmed causes. They should be checked against the real confusion matrix and false-accept/false-reject examples once those exist, and this section rewritten around the real cases.</w:t>
      </w:r>
    </w:p>
    <w:p>
      <w:pPr>
        <w:pStyle w:val="ListParagraph"/>
        <w:numPr>
          <w:ilvl w:val="0"/>
          <w:numId w:val="2"/>
        </w:numPr>
        <w:spacing w:after="60" w:line="258"/>
      </w:pPr>
      <w:r>
        <w:rPr>
          <w:rFonts w:ascii="Calibri" w:cs="Calibri" w:eastAsia="Calibri" w:hAnsi="Calibri"/>
          <w:b/>
          <w:bCs/>
          <w:sz w:val="20"/>
          <w:szCs w:val="20"/>
        </w:rPr>
        <w:t xml:space="preserve">Color discarded before classification.</w:t>
      </w:r>
      <w:r>
        <w:rPr>
          <w:rFonts w:ascii="Calibri" w:cs="Calibri" w:eastAsia="Calibri" w:hAnsi="Calibri"/>
          <w:sz w:val="20"/>
          <w:szCs w:val="20"/>
        </w:rPr>
        <w:t xml:space="preserve"> The pipeline converts every image to grayscale (IN_CHANNELS = 1) before either model runs, yet </w:t>
      </w:r>
      <w:r>
        <w:rPr>
          <w:rFonts w:ascii="Calibri" w:cs="Calibri" w:eastAsia="Calibri" w:hAnsi="Calibri"/>
          <w:i/>
          <w:iCs/>
          <w:sz w:val="20"/>
          <w:szCs w:val="20"/>
        </w:rPr>
        <w:t xml:space="preserve">color</w:t>
      </w:r>
      <w:r>
        <w:rPr>
          <w:rFonts w:ascii="Calibri" w:cs="Calibri" w:eastAsia="Calibri" w:hAnsi="Calibri"/>
          <w:sz w:val="20"/>
          <w:szCs w:val="20"/>
        </w:rPr>
        <w:t xml:space="preserve"> is one of the six target classes. Any color/dye defect that doesn't also change local texture or luminance is structurally invisible to this pipeline — this is the single highest-risk design tension found in the codebase and is worth a targeted check in the confusion matrix.</w:t>
      </w:r>
    </w:p>
    <w:p>
      <w:pPr>
        <w:pStyle w:val="ListParagraph"/>
        <w:numPr>
          <w:ilvl w:val="0"/>
          <w:numId w:val="2"/>
        </w:numPr>
        <w:spacing w:after="60" w:line="258"/>
      </w:pPr>
      <w:r>
        <w:rPr>
          <w:rFonts w:ascii="Calibri" w:cs="Calibri" w:eastAsia="Calibri" w:hAnsi="Calibri"/>
          <w:b/>
          <w:bCs/>
          <w:sz w:val="20"/>
          <w:szCs w:val="20"/>
        </w:rPr>
        <w:t xml:space="preserve">Aggressive downsampling.</w:t>
      </w:r>
      <w:r>
        <w:rPr>
          <w:rFonts w:ascii="Calibri" w:cs="Calibri" w:eastAsia="Calibri" w:hAnsi="Calibri"/>
          <w:sz w:val="20"/>
          <w:szCs w:val="20"/>
        </w:rPr>
        <w:t xml:space="preserve"> Full-resolution captures are resized to 64×64 before inference. Fine defects (light threads, small pinholes, faint contamination) that are visually obvious at capture resolution may be smoothed away or reduced to a handful of pixels by the time either model sees them.</w:t>
      </w:r>
    </w:p>
    <w:p>
      <w:pPr>
        <w:pStyle w:val="ListParagraph"/>
        <w:numPr>
          <w:ilvl w:val="0"/>
          <w:numId w:val="2"/>
        </w:numPr>
        <w:spacing w:after="60" w:line="258"/>
      </w:pPr>
      <w:r>
        <w:rPr>
          <w:rFonts w:ascii="Calibri" w:cs="Calibri" w:eastAsia="Calibri" w:hAnsi="Calibri"/>
          <w:b/>
          <w:bCs/>
          <w:sz w:val="20"/>
          <w:szCs w:val="20"/>
        </w:rPr>
        <w:t xml:space="preserve">Heatmap threshold is per-image adaptive, not calibrated.</w:t>
      </w:r>
      <w:r>
        <w:rPr>
          <w:rFonts w:ascii="Calibri" w:cs="Calibri" w:eastAsia="Calibri" w:hAnsi="Calibri"/>
          <w:sz w:val="20"/>
          <w:szCs w:val="20"/>
        </w:rPr>
        <w:t xml:space="preserve"> The localization mask uses (this image's own mean + std) as its cutoff, so defect_area_ratio — which feeds directly into the PASS/FAIL area rule — can shift with lighting/contrast even for a physically identical defect.</w:t>
      </w:r>
    </w:p>
    <w:p>
      <w:pPr>
        <w:pStyle w:val="ListParagraph"/>
        <w:numPr>
          <w:ilvl w:val="0"/>
          <w:numId w:val="2"/>
        </w:numPr>
        <w:spacing w:after="60" w:line="258"/>
      </w:pPr>
      <w:r>
        <w:rPr>
          <w:rFonts w:ascii="Calibri" w:cs="Calibri" w:eastAsia="Calibri" w:hAnsi="Calibri"/>
          <w:b/>
          <w:bCs/>
          <w:sz w:val="20"/>
          <w:szCs w:val="20"/>
        </w:rPr>
        <w:t xml:space="preserve">Fixed, uncalibrated quality-gate thresholds.</w:t>
      </w:r>
      <w:r>
        <w:rPr>
          <w:rFonts w:ascii="Calibri" w:cs="Calibri" w:eastAsia="Calibri" w:hAnsi="Calibri"/>
          <w:sz w:val="20"/>
          <w:szCs w:val="20"/>
        </w:rPr>
        <w:t xml:space="preserve"> Brightness [25, 230] and blur-variance ≥ 30 are global heuristics, not calibrated against the real camera/lighting setup of a specific line; they may reject usable frames or admit marginal ones depending on the actual capture hardware.</w:t>
      </w:r>
    </w:p>
    <w:p>
      <w:pPr>
        <w:pStyle w:val="ListParagraph"/>
        <w:numPr>
          <w:ilvl w:val="0"/>
          <w:numId w:val="2"/>
        </w:numPr>
        <w:spacing w:after="60" w:line="258"/>
      </w:pPr>
      <w:r>
        <w:rPr>
          <w:rFonts w:ascii="Calibri" w:cs="Calibri" w:eastAsia="Calibri" w:hAnsi="Calibri"/>
          <w:b/>
          <w:bCs/>
          <w:sz w:val="20"/>
          <w:szCs w:val="20"/>
        </w:rPr>
        <w:t xml:space="preserve">Single global anomaly threshold across product types.</w:t>
      </w:r>
      <w:r>
        <w:rPr>
          <w:rFonts w:ascii="Calibri" w:cs="Calibri" w:eastAsia="Calibri" w:hAnsi="Calibri"/>
          <w:sz w:val="20"/>
          <w:szCs w:val="20"/>
        </w:rPr>
        <w:t xml:space="preserve"> See Section 5 — fabric_patch, woven_roll, and knit_sample likely have different baseline reconstruction error, which a single 0.62 cutoff does not account for.</w:t>
      </w:r>
    </w:p>
    <w:p>
      <w:pPr>
        <w:pStyle w:val="ListParagraph"/>
        <w:numPr>
          <w:ilvl w:val="0"/>
          <w:numId w:val="2"/>
        </w:numPr>
        <w:spacing w:after="60" w:line="258"/>
      </w:pPr>
      <w:r>
        <w:rPr>
          <w:rFonts w:ascii="Calibri" w:cs="Calibri" w:eastAsia="Calibri" w:hAnsi="Calibri"/>
          <w:b/>
          <w:bCs/>
          <w:sz w:val="20"/>
          <w:szCs w:val="20"/>
        </w:rPr>
        <w:t xml:space="preserve">Unresolved checkpoint identity.</w:t>
      </w:r>
      <w:r>
        <w:rPr>
          <w:rFonts w:ascii="Calibri" w:cs="Calibri" w:eastAsia="Calibri" w:hAnsi="Calibri"/>
          <w:sz w:val="20"/>
          <w:szCs w:val="20"/>
        </w:rPr>
        <w:t xml:space="preserve"> The project's own README notes that anomaly_autoencoder.pt currently serves a checkpoint named best_autoencoderv5.pt, while a second file, anomaly_autoencoderv5.pt, has the identical architecture and was not confirmed to be the intended one — worth verifying before trusting any anomaly-detection results, since serving the wrong checkpoint would silently invalidate Section 5's numbers.</w:t>
      </w:r>
    </w:p>
    <w:p>
      <w:pPr>
        <w:pStyle w:val="Heading1"/>
        <w:pBdr>
          <w:bottom w:val="single" w:color="1F3864" w:sz="6" w:space="4"/>
        </w:pBdr>
        <w:spacing w:after="100" w:before="260"/>
      </w:pPr>
      <w:r>
        <w:rPr>
          <w:rFonts w:ascii="Calibri" w:cs="Calibri" w:eastAsia="Calibri" w:hAnsi="Calibri"/>
          <w:b/>
          <w:bCs/>
          <w:color w:val="1F3864"/>
          <w:sz w:val="25"/>
          <w:szCs w:val="25"/>
        </w:rPr>
        <w:t xml:space="preserve">8. Performance</w:t>
      </w:r>
    </w:p>
    <w:p>
      <w:pPr>
        <w:spacing w:after="120" w:line="264"/>
        <w:jc w:val="both"/>
      </w:pPr>
      <w:r>
        <w:rPr>
          <w:rFonts w:ascii="Calibri" w:cs="Calibri" w:eastAsia="Calibri" w:hAnsi="Calibri"/>
          <w:sz w:val="20"/>
          <w:szCs w:val="20"/>
        </w:rPr>
        <w:t xml:space="preserve">Real-time feasibility was benchmarked directly against the shipped model checkpoints in a development sandbox (generic cloud CPU core, no GPU — the code auto-selects CUDA if available and falls back to CPU otherwise, so a GPU-equipped edge PC would only improve these numbers). This is measured data, not an estimate, but it is not the target production hardware, so it should be re-run on the actual deployment device before being used as a capacity commitment.</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3800"/>
        <w:gridCol w:w="2200"/>
        <w:gridCol w:w="2206"/>
        <w:gridCol w:w="2000"/>
      </w:tblGrid>
      <w:tr>
        <w:trPr>
          <w:tblHeader/>
        </w:trPr>
        <w:tc>
          <w:tcPr>
            <w:tcW w:type="dxa" w:w="38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Stage</w:t>
            </w:r>
          </w:p>
        </w:tc>
        <w:tc>
          <w:tcPr>
            <w:tcW w:type="dxa" w:w="22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Parameters</w:t>
            </w:r>
          </w:p>
        </w:tc>
        <w:tc>
          <w:tcPr>
            <w:tcW w:type="dxa" w:w="22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Checkpoint size</w:t>
            </w:r>
          </w:p>
        </w:tc>
        <w:tc>
          <w:tcPr>
            <w:tcW w:type="dxa" w:w="20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Avg. latency (batch = 1, CPU)</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DefectCNN (classifier_v1)</w:t>
            </w:r>
          </w:p>
        </w:tc>
        <w:tc>
          <w:tcPr>
            <w:tcW w:type="dxa" w:w="22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93,894</w:t>
            </w:r>
          </w:p>
        </w:tc>
        <w:tc>
          <w:tcPr>
            <w:tcW w:type="dxa" w:w="22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376.6 KB</w:t>
            </w:r>
          </w:p>
        </w:tc>
        <w:tc>
          <w:tcPr>
            <w:tcW w:type="dxa" w:w="2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 2.68 ms</w:t>
            </w:r>
          </w:p>
        </w:tc>
      </w:tr>
      <w:tr>
        <w:tc>
          <w:tcPr>
            <w:tcW w:type="dxa" w:w="38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ConvAutoencoder (anomaly_v1)</w:t>
            </w:r>
          </w:p>
        </w:tc>
        <w:tc>
          <w:tcPr>
            <w:tcW w:type="dxa" w:w="22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181,713</w:t>
            </w:r>
          </w:p>
        </w:tc>
        <w:tc>
          <w:tcPr>
            <w:tcW w:type="dxa" w:w="22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716.2 KB</w:t>
            </w:r>
          </w:p>
        </w:tc>
        <w:tc>
          <w:tcPr>
            <w:tcW w:type="dxa" w:w="20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 0.65 ms</w:t>
            </w:r>
          </w:p>
        </w:tc>
      </w:tr>
      <w:tr>
        <w:tc>
          <w:tcPr>
            <w:tcW w:type="dxa" w:w="38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Both models combined</w:t>
            </w:r>
          </w:p>
        </w:tc>
        <w:tc>
          <w:tcPr>
            <w:tcW w:type="dxa" w:w="22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275,607</w:t>
            </w:r>
          </w:p>
        </w:tc>
        <w:tc>
          <w:tcPr>
            <w:tcW w:type="dxa" w:w="22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1.09 MB</w:t>
            </w:r>
          </w:p>
        </w:tc>
        <w:tc>
          <w:tcPr>
            <w:tcW w:type="dxa" w:w="2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 3.33 ms</w:t>
            </w:r>
          </w:p>
        </w:tc>
      </w:tr>
    </w:tbl>
    <w:p>
      <w:pPr>
        <w:spacing w:after="160" w:before="40"/>
      </w:pPr>
      <w:r>
        <w:rPr>
          <w:rFonts w:ascii="Calibri" w:cs="Calibri" w:eastAsia="Calibri" w:hAnsi="Calibri"/>
          <w:i/>
          <w:iCs/>
          <w:color w:val="44546A"/>
          <w:sz w:val="16"/>
          <w:szCs w:val="16"/>
        </w:rPr>
        <w:t xml:space="preserve">Table 5a — Measured model inference latency (200-iteration average, warm cache).</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7206"/>
        <w:gridCol w:w="3000"/>
      </w:tblGrid>
      <w:tr>
        <w:trPr>
          <w:tblHeader/>
        </w:trPr>
        <w:tc>
          <w:tcPr>
            <w:tcW w:type="dxa" w:w="72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Full pipeline (decode → quality gate → resize → both models → decision → 3 evidence PNGs written)</w:t>
            </w:r>
          </w:p>
        </w:tc>
        <w:tc>
          <w:tcPr>
            <w:tcW w:type="dxa" w:w="30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Value</w:t>
            </w:r>
          </w:p>
        </w:tc>
      </w:tr>
      <w:tr>
        <w:tc>
          <w:tcPr>
            <w:tcW w:type="dxa" w:w="72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Mean</w:t>
            </w:r>
          </w:p>
        </w:tc>
        <w:tc>
          <w:tcPr>
            <w:tcW w:type="dxa" w:w="3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52.6 ms</w:t>
            </w:r>
          </w:p>
        </w:tc>
      </w:tr>
      <w:tr>
        <w:tc>
          <w:tcPr>
            <w:tcW w:type="dxa" w:w="72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Median</w:t>
            </w:r>
          </w:p>
        </w:tc>
        <w:tc>
          <w:tcPr>
            <w:tcW w:type="dxa" w:w="30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50.9 ms</w:t>
            </w:r>
          </w:p>
        </w:tc>
      </w:tr>
      <w:tr>
        <w:tc>
          <w:tcPr>
            <w:tcW w:type="dxa" w:w="72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p95</w:t>
            </w:r>
          </w:p>
        </w:tc>
        <w:tc>
          <w:tcPr>
            <w:tcW w:type="dxa" w:w="3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64.8 ms</w:t>
            </w:r>
          </w:p>
        </w:tc>
      </w:tr>
      <w:tr>
        <w:tc>
          <w:tcPr>
            <w:tcW w:type="dxa" w:w="7206"/>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Min / Max</w:t>
            </w:r>
          </w:p>
        </w:tc>
        <w:tc>
          <w:tcPr>
            <w:tcW w:type="dxa" w:w="30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44.2 ms / 74.9 ms</w:t>
            </w:r>
          </w:p>
        </w:tc>
      </w:tr>
      <w:tr>
        <w:tc>
          <w:tcPr>
            <w:tcW w:type="dxa" w:w="7206"/>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Implied throughput, single worker</w:t>
            </w:r>
          </w:p>
        </w:tc>
        <w:tc>
          <w:tcPr>
            <w:tcW w:type="dxa" w:w="30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 19 samples/sec</w:t>
            </w:r>
          </w:p>
        </w:tc>
      </w:tr>
    </w:tbl>
    <w:p>
      <w:pPr>
        <w:spacing w:after="160" w:before="40"/>
      </w:pPr>
      <w:r>
        <w:rPr>
          <w:rFonts w:ascii="Calibri" w:cs="Calibri" w:eastAsia="Calibri" w:hAnsi="Calibri"/>
          <w:i/>
          <w:iCs/>
          <w:color w:val="44546A"/>
          <w:sz w:val="16"/>
          <w:szCs w:val="16"/>
        </w:rPr>
        <w:t xml:space="preserve">Table 5b — Measured end-to-end pipeline latency, 60 synthetic 512×512 grayscale samples, single-threaded, excludes HTTP transport and the SQLite insert (typically sub-millisecond for one row).</w:t>
      </w:r>
    </w:p>
    <w:p>
      <w:pPr>
        <w:spacing w:after="120" w:line="264"/>
        <w:jc w:val="both"/>
      </w:pPr>
      <w:r>
        <w:rPr>
          <w:rFonts w:ascii="Calibri" w:cs="Calibri" w:eastAsia="Calibri" w:hAnsi="Calibri"/>
          <w:sz w:val="20"/>
          <w:szCs w:val="20"/>
        </w:rPr>
        <w:t xml:space="preserve">Model inference itself is negligible (≈3.3 ms combined); the dominant cost is evidence generation — writing the original, a color-mapped heatmap, and a blended annotated PNG to disk for every sample (Section 3, Requirement 20). If throughput ever becomes the bottleneck at a specific line's takt time, evidence writing is the first thing to optimize (e.g. write asynchronously after the PASS/FAIL response, or only persist evidence for FAIL/borderline cases) before touching the models.</w:t>
      </w:r>
    </w:p>
    <w:p>
      <w:pPr>
        <w:spacing w:after="120" w:line="264"/>
        <w:jc w:val="both"/>
      </w:pPr>
      <w:r>
        <w:rPr>
          <w:rFonts w:ascii="Calibri" w:cs="Calibri" w:eastAsia="Calibri" w:hAnsi="Calibri"/>
          <w:sz w:val="20"/>
          <w:szCs w:val="20"/>
        </w:rPr>
        <w:t xml:space="preserve">Two concrete, code-level blockers to sustained real-time operation, independent of raw latency: the app currently runs via app.run(debug=True, ...) — Flask's development server, not a production WSGI server, and debug mode's reloader/debugger adds overhead and is not meant for continuous uptime; and inspection writes go through a single-process SQLite connection (already flagged as a known limitation in the project's own README), which will serialize and can bottleneck if more than one camera station writes concurrently.</w:t>
      </w:r>
    </w:p>
    <w:p>
      <w:pPr>
        <w:pStyle w:val="Heading1"/>
        <w:pBdr>
          <w:bottom w:val="single" w:color="1F3864" w:sz="6" w:space="4"/>
        </w:pBdr>
        <w:spacing w:after="100" w:before="260"/>
      </w:pPr>
      <w:r>
        <w:rPr>
          <w:rFonts w:ascii="Calibri" w:cs="Calibri" w:eastAsia="Calibri" w:hAnsi="Calibri"/>
          <w:b/>
          <w:bCs/>
          <w:color w:val="1F3864"/>
          <w:sz w:val="25"/>
          <w:szCs w:val="25"/>
        </w:rPr>
        <w:t xml:space="preserve">9. Deployment Recommendation</w:t>
      </w:r>
    </w:p>
    <w:p>
      <w:pPr>
        <w:spacing w:after="120" w:line="264"/>
        <w:jc w:val="both"/>
      </w:pPr>
      <w:r>
        <w:rPr>
          <w:rFonts w:ascii="Calibri" w:cs="Calibri" w:eastAsia="Calibri" w:hAnsi="Calibri"/>
          <w:sz w:val="20"/>
          <w:szCs w:val="20"/>
        </w:rPr>
        <w:t xml:space="preserve">Given the measured model footprint (≈1.1 MB combined, ≈3.3 ms combined inference on CPU), this does not need GPU serving or a datacenter — an industrial PC or small edge box next to the camera is sufficient for the model-serving portion. The gaps below are what stand between the current prototype and a real line, in the order they'd need to be closed.</w:t>
      </w:r>
    </w:p>
    <w:tbl>
      <w:tblPr>
        <w:tblW w:type="dxa" w:w="10206"/>
        <w:tblBorders>
          <w:top w:val="single" w:color="BFC7D4" w:sz="4"/>
          <w:left w:val="single" w:color="BFC7D4" w:sz="4"/>
          <w:bottom w:val="single" w:color="BFC7D4" w:sz="4"/>
          <w:right w:val="single" w:color="BFC7D4" w:sz="4"/>
          <w:insideH w:val="single" w:color="BFC7D4" w:sz="4"/>
          <w:insideV w:val="single" w:color="BFC7D4" w:sz="4"/>
        </w:tblBorders>
      </w:tblPr>
      <w:tblGrid>
        <w:gridCol w:w="2400"/>
        <w:gridCol w:w="3700"/>
        <w:gridCol w:w="4106"/>
      </w:tblGrid>
      <w:tr>
        <w:trPr>
          <w:tblHeader/>
        </w:trPr>
        <w:tc>
          <w:tcPr>
            <w:tcW w:type="dxa" w:w="24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Item</w:t>
            </w:r>
          </w:p>
        </w:tc>
        <w:tc>
          <w:tcPr>
            <w:tcW w:type="dxa" w:w="3700"/>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Current state</w:t>
            </w:r>
          </w:p>
        </w:tc>
        <w:tc>
          <w:tcPr>
            <w:tcW w:type="dxa" w:w="4106"/>
            <w:shd w:fill="1F3864" w:val="clear"/>
            <w:tcMar>
              <w:top w:type="dxa" w:w="60"/>
              <w:left w:type="dxa" w:w="90"/>
              <w:bottom w:type="dxa" w:w="60"/>
              <w:right w:type="dxa" w:w="90"/>
            </w:tcMar>
            <w:vAlign w:val="center"/>
          </w:tcPr>
          <w:p>
            <w:pPr>
              <w:jc w:val="center"/>
            </w:pPr>
            <w:r>
              <w:rPr>
                <w:rFonts w:ascii="Calibri" w:cs="Calibri" w:eastAsia="Calibri" w:hAnsi="Calibri"/>
                <w:b/>
                <w:bCs/>
                <w:i w:val="false"/>
                <w:iCs w:val="false"/>
                <w:color w:val="FFFFFF"/>
                <w:sz w:val="17"/>
                <w:szCs w:val="17"/>
              </w:rPr>
              <w:t xml:space="preserve">Recommendation</w:t>
            </w:r>
          </w:p>
        </w:tc>
      </w:tr>
      <w:tr>
        <w:tc>
          <w:tcPr>
            <w:tcW w:type="dxa" w:w="2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Web server</w:t>
            </w:r>
          </w:p>
        </w:tc>
        <w:tc>
          <w:tcPr>
            <w:tcW w:type="dxa" w:w="37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Flask dev server, debug=True</w:t>
            </w:r>
          </w:p>
        </w:tc>
        <w:tc>
          <w:tcPr>
            <w:tcW w:type="dxa" w:w="41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Serve behind a production WSGI server (gunicorn/waitress) with debug off, behind a reverse proxy</w:t>
            </w:r>
          </w:p>
        </w:tc>
      </w:tr>
      <w:tr>
        <w:tc>
          <w:tcPr>
            <w:tcW w:type="dxa" w:w="24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Authentication</w:t>
            </w:r>
          </w:p>
        </w:tc>
        <w:tc>
          <w:tcPr>
            <w:tcW w:type="dxa" w:w="37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None found on any /api or page route</w:t>
            </w:r>
          </w:p>
        </w:tc>
        <w:tc>
          <w:tcPr>
            <w:tcW w:type="dxa" w:w="41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Add auth before exposing the console beyond a lab network — host is currently bound to 0.0.0.0</w:t>
            </w:r>
          </w:p>
        </w:tc>
      </w:tr>
      <w:tr>
        <w:tc>
          <w:tcPr>
            <w:tcW w:type="dxa" w:w="2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Database</w:t>
            </w:r>
          </w:p>
        </w:tc>
        <w:tc>
          <w:tcPr>
            <w:tcW w:type="dxa" w:w="37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Single-process SQLite</w:t>
            </w:r>
          </w:p>
        </w:tc>
        <w:tc>
          <w:tcPr>
            <w:tcW w:type="dxa" w:w="41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Fine for one station; move to WAL mode or a networked DB (e.g. Postgres) before adding concurrent camera stations</w:t>
            </w:r>
          </w:p>
        </w:tc>
      </w:tr>
      <w:tr>
        <w:tc>
          <w:tcPr>
            <w:tcW w:type="dxa" w:w="24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Camera capture</w:t>
            </w:r>
          </w:p>
        </w:tc>
        <w:tc>
          <w:tcPr>
            <w:tcW w:type="dxa" w:w="37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Browser getUserMedia (webcam/USB via UVC) for demo/manual use</w:t>
            </w:r>
          </w:p>
        </w:tc>
        <w:tc>
          <w:tcPr>
            <w:tcW w:type="dxa" w:w="41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For the real line, trigger capture from the conveyor encoder/PLC, not manual/browser capture</w:t>
            </w:r>
          </w:p>
        </w:tc>
      </w:tr>
      <w:tr>
        <w:tc>
          <w:tcPr>
            <w:tcW w:type="dxa" w:w="2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Checkpoint verification</w:t>
            </w:r>
          </w:p>
        </w:tc>
        <w:tc>
          <w:tcPr>
            <w:tcW w:type="dxa" w:w="37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Two similarly-named autoencoder checkpoints exist per the README</w:t>
            </w:r>
          </w:p>
        </w:tc>
        <w:tc>
          <w:tcPr>
            <w:tcW w:type="dxa" w:w="41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Confirm the intended one is what's actually being served before trusting Section 5's numbers</w:t>
            </w:r>
          </w:p>
        </w:tc>
      </w:tr>
      <w:tr>
        <w:tc>
          <w:tcPr>
            <w:tcW w:type="dxa" w:w="2400"/>
            <w:shd w:fill="F4F6FA" w:val="clear"/>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Held-out evaluation</w:t>
            </w:r>
          </w:p>
        </w:tc>
        <w:tc>
          <w:tcPr>
            <w:tcW w:type="dxa" w:w="3700"/>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Not present in the served app</w:t>
            </w:r>
          </w:p>
        </w:tc>
        <w:tc>
          <w:tcPr>
            <w:tcW w:type="dxa" w:w="4106"/>
            <w:shd w:fill="F4F6FA" w:val="clear"/>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Run and publish Sections 4–6's metrics before any pilot decision</w:t>
            </w:r>
          </w:p>
        </w:tc>
      </w:tr>
      <w:tr>
        <w:tc>
          <w:tcPr>
            <w:tcW w:type="dxa" w:w="2400"/>
            <w:tcMar>
              <w:top w:type="dxa" w:w="60"/>
              <w:left w:type="dxa" w:w="90"/>
              <w:bottom w:type="dxa" w:w="60"/>
              <w:right w:type="dxa" w:w="90"/>
            </w:tcMar>
            <w:vAlign w:val="center"/>
          </w:tcPr>
          <w:p>
            <w:pPr>
              <w:jc w:val="left"/>
            </w:pPr>
            <w:r>
              <w:rPr>
                <w:rFonts w:ascii="Calibri" w:cs="Calibri" w:eastAsia="Calibri" w:hAnsi="Calibri"/>
                <w:b w:val="false"/>
                <w:bCs w:val="false"/>
                <w:i w:val="false"/>
                <w:iCs w:val="false"/>
                <w:color w:val="000000"/>
                <w:sz w:val="17"/>
                <w:szCs w:val="17"/>
              </w:rPr>
              <w:t xml:space="preserve">Packaging</w:t>
            </w:r>
          </w:p>
        </w:tc>
        <w:tc>
          <w:tcPr>
            <w:tcW w:type="dxa" w:w="3700"/>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No Dockerfile in the repo</w:t>
            </w:r>
          </w:p>
        </w:tc>
        <w:tc>
          <w:tcPr>
            <w:tcW w:type="dxa" w:w="4106"/>
            <w:tcMar>
              <w:top w:type="dxa" w:w="60"/>
              <w:left w:type="dxa" w:w="90"/>
              <w:bottom w:type="dxa" w:w="60"/>
              <w:right w:type="dxa" w:w="90"/>
            </w:tcMar>
            <w:vAlign w:val="center"/>
          </w:tcPr>
          <w:p>
            <w:pPr>
              <w:jc w:val="center"/>
            </w:pPr>
            <w:r>
              <w:rPr>
                <w:rFonts w:ascii="Calibri" w:cs="Calibri" w:eastAsia="Calibri" w:hAnsi="Calibri"/>
                <w:b w:val="false"/>
                <w:bCs w:val="false"/>
                <w:i w:val="false"/>
                <w:iCs w:val="false"/>
                <w:color w:val="000000"/>
                <w:sz w:val="17"/>
                <w:szCs w:val="17"/>
              </w:rPr>
              <w:t xml:space="preserve">Containerize for repeatable deployment across stations</w:t>
            </w:r>
          </w:p>
        </w:tc>
      </w:tr>
    </w:tbl>
    <w:p>
      <w:pPr>
        <w:spacing w:after="160" w:before="40"/>
      </w:pPr>
      <w:r>
        <w:rPr>
          <w:rFonts w:ascii="Calibri" w:cs="Calibri" w:eastAsia="Calibri" w:hAnsi="Calibri"/>
          <w:i/>
          <w:iCs/>
          <w:color w:val="44546A"/>
          <w:sz w:val="16"/>
          <w:szCs w:val="16"/>
        </w:rPr>
        <w:t xml:space="preserve">Table 6 — Deployment readiness checklist.</w:t>
      </w:r>
    </w:p>
    <w:p>
      <w:pPr>
        <w:spacing w:after="120" w:line="264"/>
        <w:jc w:val="both"/>
      </w:pPr>
      <w:r>
        <w:rPr>
          <w:rFonts w:ascii="Calibri" w:cs="Calibri" w:eastAsia="Calibri" w:hAnsi="Calibri"/>
          <w:sz w:val="20"/>
          <w:szCs w:val="20"/>
        </w:rPr>
        <w:t xml:space="preserve">Recommended path: containerize the current Flask app, put it on an edge PC with a hardware-triggered camera synced to the line encoder, run it for a supervised pilot period where the system's PASS/FAIL is logged and compared to a human inspector on every sample without acting on it alone, then use that comparison to fill in Section 6's system-level metrics before letting the system gate real product.</w:t>
      </w:r>
    </w:p>
    <w:p>
      <w:pPr>
        <w:pStyle w:val="Heading1"/>
        <w:pBdr>
          <w:bottom w:val="single" w:color="1F3864" w:sz="6" w:space="4"/>
        </w:pBdr>
        <w:spacing w:after="100" w:before="260"/>
      </w:pPr>
      <w:r>
        <w:rPr>
          <w:rFonts w:ascii="Calibri" w:cs="Calibri" w:eastAsia="Calibri" w:hAnsi="Calibri"/>
          <w:b/>
          <w:bCs/>
          <w:color w:val="1F3864"/>
          <w:sz w:val="25"/>
          <w:szCs w:val="25"/>
        </w:rPr>
        <w:t xml:space="preserve">10. Conclusion</w:t>
      </w:r>
    </w:p>
    <w:p>
      <w:pPr>
        <w:spacing w:after="120" w:line="264"/>
        <w:jc w:val="both"/>
      </w:pPr>
      <w:r>
        <w:rPr>
          <w:rFonts w:ascii="Calibri" w:cs="Calibri" w:eastAsia="Calibri" w:hAnsi="Calibri"/>
          <w:sz w:val="20"/>
          <w:szCs w:val="20"/>
        </w:rPr>
        <w:t xml:space="preserve">The engineering pipeline itself is real and works end-to-end: both checkpoints load correctly into the reconstructed architectures, the quality gate, dual-model inference, configurable decision/severity engine, evidence capture, and history/analytics all execute successfully, and measured latency (≈3.3 ms combined model inference, ≈53 ms full pipeline including evidence-image generation) comfortably fits typical vision-inspection cycle-time budgets. The architecture choices — a lightweight CNN, a small reconstruction-based anomaly detector, and a separate config-driven decision engine — are reasonable and appropriately sized for this problem.</w:t>
      </w:r>
    </w:p>
    <w:p>
      <w:pPr>
        <w:spacing w:after="120" w:line="264"/>
        <w:jc w:val="both"/>
      </w:pPr>
      <w:r>
        <w:rPr>
          <w:rFonts w:ascii="Calibri" w:cs="Calibri" w:eastAsia="Calibri" w:hAnsi="Calibri"/>
          <w:sz w:val="20"/>
          <w:szCs w:val="20"/>
        </w:rPr>
        <w:t xml:space="preserve">It is not yet possible to say the prototype is ready for a real pilot, and this report does not claim it is: no held-out test-set accuracy, per-class precision/recall/F1, confusion matrix, anomaly-detector ROC/PR performance, or system-level PASS/FAIL agreement with human QC has been reported here (Sections 4–6 are explicitly marked pending). Those numbers may already exist in the training notebook and simply need to be transcribed in; until they are, any accuracy or reliability claim about this system would be asserted, not evidenced. Independent of model accuracy, three concrete production blockers already exist in the code as shipped: a development-mode web server with no authentication, a single-process database, and an unresolved ambiguity about which anomaly checkpoint is actually being served.</w:t>
      </w:r>
    </w:p>
    <w:p>
      <w:pPr>
        <w:spacing w:after="120" w:line="264"/>
        <w:jc w:val="both"/>
      </w:pPr>
      <w:r>
        <w:rPr>
          <w:rFonts w:ascii="Calibri" w:cs="Calibri" w:eastAsia="Calibri" w:hAnsi="Calibri"/>
          <w:b/>
          <w:bCs/>
          <w:sz w:val="20"/>
          <w:szCs w:val="20"/>
        </w:rPr>
        <w:t xml:space="preserve">Recommendation: </w:t>
      </w:r>
      <w:r>
        <w:rPr>
          <w:rFonts w:ascii="Calibri" w:cs="Calibri" w:eastAsia="Calibri" w:hAnsi="Calibri"/>
          <w:sz w:val="20"/>
          <w:szCs w:val="20"/>
        </w:rPr>
        <w:t xml:space="preserve">run this as a supervised, human-checked shadow pilot — logging the system's verdicts alongside a human inspector's without letting it gate product — for long enough to populate Sections 4–6 with real numbers and to close the deployment checklist in Section 9. Only after those results are reviewed should the system be considered for an unsupervised production role.</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4"/>
        <w:szCs w:val="14"/>
      </w:rPr>
      <w:t xml:space="preserve">Page </w:t>
    </w:r>
    <w:r>
      <w:rPr>
        <w:color w:val="44546A"/>
        <w:sz w:val="14"/>
        <w:szCs w:val="14"/>
      </w:rPr>
      <w:fldChar w:fldCharType="begin"/>
      <w:instrText xml:space="preserve">PAGE</w:instrText>
      <w:fldChar w:fldCharType="separate"/>
      <w:fldChar w:fldCharType="end"/>
    </w:r>
    <w:r>
      <w:rPr>
        <w:rFonts w:ascii="Calibri" w:cs="Calibri" w:eastAsia="Calibri" w:hAnsi="Calibri"/>
        <w:color w:val="44546A"/>
        <w:sz w:val="14"/>
        <w:szCs w:val="14"/>
      </w:rPr>
      <w:t xml:space="preserve"> of </w:t>
    </w:r>
    <w:r>
      <w:rPr>
        <w:color w:val="4454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4" w:sz="4" w:space="4"/>
      </w:pBdr>
      <w:tabs>
        <w:tab w:val="right" w:pos="9026"/>
      </w:tabs>
    </w:pPr>
    <w:r>
      <w:rPr>
        <w:rFonts w:ascii="Calibri" w:cs="Calibri" w:eastAsia="Calibri" w:hAnsi="Calibri"/>
        <w:color w:val="44546A"/>
        <w:sz w:val="14"/>
        <w:szCs w:val="14"/>
      </w:rPr>
      <w:t xml:space="preserve">Visual Inspection Engineering Report</w:t>
    </w:r>
    <w:r>
      <w:rPr>
        <w:color w:val="44546A"/>
        <w:sz w:val="14"/>
        <w:szCs w:val="14"/>
      </w:rPr>
      <w:t xml:space="preserve">	QC-01 · Fabric/Textile Defect Inspection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2026-08-30T08:44:06.765Z</dcterms:created>
  <dcterms:modified xsi:type="dcterms:W3CDTF">2026-08-30T08:44:06.765Z</dcterms:modified>
</cp:coreProperties>
</file>

<file path=docProps/custom.xml><?xml version="1.0" encoding="utf-8"?>
<Properties xmlns="http://schemas.openxmlformats.org/officeDocument/2006/custom-properties" xmlns:vt="http://schemas.openxmlformats.org/officeDocument/2006/docPropsVTypes"/>
</file>