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08" w:rsidRPr="00E26BFD" w:rsidRDefault="00377108" w:rsidP="00E26BFD">
      <w:pPr>
        <w:ind w:left="-851"/>
        <w:jc w:val="both"/>
        <w:rPr>
          <w:sz w:val="24"/>
        </w:rPr>
      </w:pPr>
      <w:r w:rsidRPr="00E26BFD">
        <w:rPr>
          <w:b/>
          <w:sz w:val="24"/>
        </w:rPr>
        <w:t>К</w:t>
      </w:r>
      <w:bookmarkStart w:id="0" w:name="_GoBack"/>
      <w:bookmarkEnd w:id="0"/>
      <w:r w:rsidRPr="00E26BFD">
        <w:rPr>
          <w:b/>
          <w:sz w:val="24"/>
        </w:rPr>
        <w:t>онсерваторы</w:t>
      </w:r>
      <w:r w:rsidRPr="00E26BFD">
        <w:rPr>
          <w:sz w:val="24"/>
        </w:rPr>
        <w:t xml:space="preserve">. Социальную основу этого направления составляло реакционное дворянство, духовенство, мещанство, купечество и значительная часть крестьянства. Консерватизм второй половины XIX в. остался в идеологических рамках теории «официальной народности». Самодержавие </w:t>
      </w:r>
      <w:r w:rsidRPr="00E26BFD">
        <w:rPr>
          <w:sz w:val="24"/>
        </w:rPr>
        <w:t>по-прежнему</w:t>
      </w:r>
      <w:r w:rsidRPr="00E26BFD">
        <w:rPr>
          <w:sz w:val="24"/>
        </w:rPr>
        <w:t xml:space="preserve"> объявлялось важнейшим устоем государства, обеспечивающим величие и славу России. Православие провозглашалось основой духовной жизни народа и активно насаждалось. Народность означала единение царя с народом, что подразумевало отсутствие почвы для социальных конфликтов. В этом консерваторы видели своеобразие исторического пути России. Во внутриполитической области консерваторы боролись за незыблемость самодержавия, против проведения либеральных реформ 60—70-х годов, а в последующие десятилетия добивались ограничения их результатов. В экономической сфере они ратовали за неприкосновенность частной собственности, сохранение помещичьего землевладения и общины. В социальной области они настаивали на укреплении позиций дворянства — основы государства и сохранении сословного деления общества. Во внешней политике ими развивались идеи панславизма — единение славянских народов вокруг России. В духовной сфере представители консервативной интеллигенции отстаивали принципы патриархального образа жизни, религиозности, безусловного подчинения власти. Основной мишенью для их критики стала теория и практика нигилистов, отрицавших традиционные моральные принципы. (Ф. М. Достоевский в романе «Бесы» обнажил безнравственность их деятельности.) Идеологами консерваторов были К. П. Победоносцев, Д. А. Толстой, М. Н. Катков. Распространению их идей способствовали чиновничье-бюрократический аппарат, церковь и реакционная печать. М. Н. Катков в газете «Московские ведомости» подталкивал деятельность правительства в реакционном направлении, формулировал основные идеи консерватизма и формировал в этом духе общественное мнение. Консерваторы </w:t>
      </w:r>
      <w:r w:rsidRPr="00E26BFD">
        <w:rPr>
          <w:sz w:val="24"/>
        </w:rPr>
        <w:lastRenderedPageBreak/>
        <w:t xml:space="preserve">были охранителями-государственниками. Они отрицательно относились к любым массовым социальным действиям, ратуя за порядок, спокойствие и традиционность. </w:t>
      </w:r>
    </w:p>
    <w:p w:rsidR="00377108" w:rsidRPr="00E26BFD" w:rsidRDefault="00377108" w:rsidP="00E26BFD">
      <w:pPr>
        <w:ind w:left="-851"/>
        <w:jc w:val="both"/>
        <w:rPr>
          <w:sz w:val="24"/>
        </w:rPr>
      </w:pPr>
      <w:r w:rsidRPr="00E26BFD">
        <w:rPr>
          <w:b/>
          <w:sz w:val="24"/>
        </w:rPr>
        <w:t>Либералы.</w:t>
      </w:r>
      <w:r w:rsidRPr="00E26BFD">
        <w:rPr>
          <w:sz w:val="24"/>
        </w:rPr>
        <w:t xml:space="preserve"> Социальную основу либерального направления составляли обуржуазившиеся помещики, часть буржуазии и интеллигенции (ученые, писатели, журналисты, врачи и др.). Они отстаивали идею об общем с Западной Европой пути исторического развития России. Во внутриполитической области либералы настаивали на введении конституционных начал, демократических свобод и продолжении реформ. Они выступали за создание общероссийского выборного органа (Земского собора), расширение прав и функций местных органов самоуправления (земств). Политическим идеалом для них была конституционная монархия. Либералы ратовали за сохранение сильной исполнительной власти, полагая ее необходимым фактором стабильности, призывали провести мероприятия, способствующие становлению в России правового государства и гражданского общества. 276 Глава 26, Идейная борьба и общественное движение в России во второй половине XIX в. В социально-экономической сфере они приветствовали развитие капитализма и свободы предпринимательства, выступали за сохранение частной собственности, понижение выкупных платежей. Требование ликвидировать сословные привилегии, признание неприкосновенности личности, ее права на свободное духовное развитие были основой их морально-этических взглядов. Либералы стояли за эволюционный путь развития, считая реформы главным методом социально-политической модернизации России. Они были готовы к сотрудничеству с самодержавием. Поэтому их деятельность в основном состояла в подаче на имя царя «адресов» — ходатайств с предложением программы преобразований. Наиболее «левые» либералы иногда использовали конспиративные совещания своих сторонников. Идеологами либералов являлись ученые, публицисты, земские деятели (К. Д. </w:t>
      </w:r>
      <w:proofErr w:type="spellStart"/>
      <w:r w:rsidRPr="00E26BFD">
        <w:rPr>
          <w:sz w:val="24"/>
        </w:rPr>
        <w:t>Кавелин</w:t>
      </w:r>
      <w:proofErr w:type="spellEnd"/>
      <w:r w:rsidRPr="00E26BFD">
        <w:rPr>
          <w:sz w:val="24"/>
        </w:rPr>
        <w:t xml:space="preserve">, Б. Н. Чичерин, В. А. </w:t>
      </w:r>
      <w:proofErr w:type="spellStart"/>
      <w:r w:rsidRPr="00E26BFD">
        <w:rPr>
          <w:sz w:val="24"/>
        </w:rPr>
        <w:t>Гольцев</w:t>
      </w:r>
      <w:proofErr w:type="spellEnd"/>
      <w:r w:rsidRPr="00E26BFD">
        <w:rPr>
          <w:sz w:val="24"/>
        </w:rPr>
        <w:t xml:space="preserve">, Д. И. </w:t>
      </w:r>
      <w:r w:rsidRPr="00E26BFD">
        <w:rPr>
          <w:sz w:val="24"/>
        </w:rPr>
        <w:lastRenderedPageBreak/>
        <w:t xml:space="preserve">Шаховской, Ф. И. Родичев, П. А. Долгоруков). Их организационной опорой были земства, журналы («Русская мысль», «Вестник Европы») и научные общества. Либералы не создали устойчивой и организационно • оформленной оппозиции правительству. Особенности российского либерализма: его дворянский характер из-за политической слабости буржуазии и готовность к сближению с консерваторами. Их объединяла боязнь народного «бунта» и действий радикалов. </w:t>
      </w:r>
    </w:p>
    <w:p w:rsidR="00377108" w:rsidRPr="00E26BFD" w:rsidRDefault="00377108" w:rsidP="00E26BFD">
      <w:pPr>
        <w:ind w:left="-851"/>
        <w:jc w:val="both"/>
        <w:rPr>
          <w:sz w:val="24"/>
        </w:rPr>
      </w:pPr>
      <w:r w:rsidRPr="00E26BFD">
        <w:rPr>
          <w:b/>
          <w:sz w:val="24"/>
        </w:rPr>
        <w:t>Радикалы.</w:t>
      </w:r>
      <w:r w:rsidRPr="00E26BFD">
        <w:rPr>
          <w:sz w:val="24"/>
        </w:rPr>
        <w:t xml:space="preserve"> Представители этого направления развернули активную антиправительственную деятельность. В отличие от консерваторов и либералов они стремились к. насильственным методам преобразования России и коренному переустройству общества (революционный путь). Во второй половине XIX в. радикалы не имели широкой социальной основы, хотя объективно они выражали интересы трудящихся (крестьян и рабочих). В их движении участвовали выходцы из разных слоев общества (разночинцы), посвятившие себя служению народу. Радикализм во многом провоцировался реакционной политикой правительства и условиями российской действительности: полицейский произвол, отсутствие свободы слова, собраний и организаций. Поэтому в самой России могли существовать только тайные организации. Теоретики радикалов, как правило, были вынуждены эмигрировать и действовать за границей. Это способствовало укреплению связей русского и </w:t>
      </w:r>
      <w:proofErr w:type="gramStart"/>
      <w:r w:rsidRPr="00E26BFD">
        <w:rPr>
          <w:sz w:val="24"/>
        </w:rPr>
        <w:t>западно-европейского</w:t>
      </w:r>
      <w:proofErr w:type="gramEnd"/>
      <w:r w:rsidRPr="00E26BFD">
        <w:rPr>
          <w:sz w:val="24"/>
        </w:rPr>
        <w:t xml:space="preserve"> революционных движений. В радикальном направлении второй половины XIX в. господствующее положение занимало течение, идейным основанием которого была теория особого, некапиталистического развития России и «общинного социализма». В истории движения радикалов второй половины XIX в. выделяются три этапа: 60-е годы — складывание революционно-демократической идеологии и создание тайных разночинских кружков; Глава 26 Идейная борьба и общественное движение в России во второй половине XIX в. 277 70-е годы — оформление народнической доктрины, особый размах </w:t>
      </w:r>
      <w:r w:rsidRPr="00E26BFD">
        <w:rPr>
          <w:sz w:val="24"/>
        </w:rPr>
        <w:lastRenderedPageBreak/>
        <w:t>агитационной и террористической деятельности организаций революционных народников; 80—90-е годы — активизация либеральных народников и начало распространения марксизма, на основе которого были созданы первые социал-демократические группы; в середине 90-х годов — ослабление популярности народничества и непродолжительный период широкого увлечения марксистскими идеями демократически настроенной интеллигенцией</w:t>
      </w:r>
    </w:p>
    <w:p w:rsidR="00377108" w:rsidRPr="00E26BFD" w:rsidRDefault="00377108" w:rsidP="00E26BFD">
      <w:pPr>
        <w:ind w:left="-851"/>
        <w:jc w:val="both"/>
        <w:rPr>
          <w:sz w:val="24"/>
        </w:rPr>
      </w:pPr>
      <w:r w:rsidRPr="00E26BFD">
        <w:rPr>
          <w:b/>
          <w:sz w:val="24"/>
        </w:rPr>
        <w:t>«Черный передел».</w:t>
      </w:r>
      <w:r w:rsidRPr="00E26BFD">
        <w:rPr>
          <w:sz w:val="24"/>
        </w:rPr>
        <w:t xml:space="preserve"> В 1879 г. часть </w:t>
      </w:r>
      <w:proofErr w:type="spellStart"/>
      <w:r w:rsidRPr="00E26BFD">
        <w:rPr>
          <w:sz w:val="24"/>
        </w:rPr>
        <w:t>землевольцев</w:t>
      </w:r>
      <w:proofErr w:type="spellEnd"/>
      <w:r w:rsidRPr="00E26BFD">
        <w:rPr>
          <w:sz w:val="24"/>
        </w:rPr>
        <w:t xml:space="preserve"> (Г. В. Плеханов, В. И. Засулич, Л. Г. </w:t>
      </w:r>
      <w:proofErr w:type="spellStart"/>
      <w:r w:rsidRPr="00E26BFD">
        <w:rPr>
          <w:sz w:val="24"/>
        </w:rPr>
        <w:t>Дейч</w:t>
      </w:r>
      <w:proofErr w:type="spellEnd"/>
      <w:r w:rsidRPr="00E26BFD">
        <w:rPr>
          <w:sz w:val="24"/>
        </w:rPr>
        <w:t xml:space="preserve">, П. Б. </w:t>
      </w:r>
      <w:proofErr w:type="spellStart"/>
      <w:r w:rsidRPr="00E26BFD">
        <w:rPr>
          <w:sz w:val="24"/>
        </w:rPr>
        <w:t>Аксельрод</w:t>
      </w:r>
      <w:proofErr w:type="spellEnd"/>
      <w:r w:rsidRPr="00E26BFD">
        <w:rPr>
          <w:sz w:val="24"/>
        </w:rPr>
        <w:t xml:space="preserve">) образовали организацию «Черный передел» (1879—1881). Они сохранили верность основным программным принципам «Земли и воли» и </w:t>
      </w:r>
      <w:proofErr w:type="spellStart"/>
      <w:r w:rsidRPr="00E26BFD">
        <w:rPr>
          <w:sz w:val="24"/>
        </w:rPr>
        <w:t>агитационнопропагандистским</w:t>
      </w:r>
      <w:proofErr w:type="spellEnd"/>
      <w:r w:rsidRPr="00E26BFD">
        <w:rPr>
          <w:sz w:val="24"/>
        </w:rPr>
        <w:t xml:space="preserve"> методам деятельности.</w:t>
      </w:r>
    </w:p>
    <w:p w:rsidR="00E26BFD" w:rsidRPr="00E26BFD" w:rsidRDefault="00E26BFD" w:rsidP="00E26BFD">
      <w:pPr>
        <w:ind w:left="-851"/>
        <w:jc w:val="both"/>
        <w:rPr>
          <w:sz w:val="32"/>
        </w:rPr>
      </w:pPr>
    </w:p>
    <w:p w:rsidR="00E26BFD" w:rsidRPr="00E26BFD" w:rsidRDefault="00E26BFD" w:rsidP="00E26BFD">
      <w:pPr>
        <w:ind w:left="-851"/>
        <w:jc w:val="both"/>
        <w:rPr>
          <w:sz w:val="32"/>
        </w:rPr>
      </w:pPr>
      <w:r w:rsidRPr="00E26BFD">
        <w:rPr>
          <w:sz w:val="32"/>
        </w:rPr>
        <w:t xml:space="preserve">С.Ю. Витте </w:t>
      </w:r>
    </w:p>
    <w:p w:rsidR="00E26BFD" w:rsidRPr="00E26BFD" w:rsidRDefault="00E26BFD" w:rsidP="00E26BFD">
      <w:pPr>
        <w:shd w:val="clear" w:color="auto" w:fill="FFFFFF"/>
        <w:spacing w:before="100" w:beforeAutospacing="1" w:after="100" w:afterAutospacing="1" w:line="240" w:lineRule="auto"/>
        <w:ind w:left="-851"/>
        <w:jc w:val="both"/>
        <w:outlineLvl w:val="1"/>
        <w:rPr>
          <w:rFonts w:ascii="Georgia" w:eastAsia="Times New Roman" w:hAnsi="Georgia" w:cs="Times New Roman"/>
          <w:b/>
          <w:bCs/>
          <w:color w:val="000000"/>
          <w:sz w:val="32"/>
          <w:szCs w:val="36"/>
          <w:lang w:eastAsia="ru-RU"/>
        </w:rPr>
      </w:pPr>
      <w:r w:rsidRPr="00E26BFD">
        <w:rPr>
          <w:rFonts w:ascii="Georgia" w:eastAsia="Times New Roman" w:hAnsi="Georgia" w:cs="Times New Roman"/>
          <w:b/>
          <w:bCs/>
          <w:color w:val="000000"/>
          <w:sz w:val="32"/>
          <w:szCs w:val="36"/>
          <w:lang w:eastAsia="ru-RU"/>
        </w:rPr>
        <w:t>Денежная реформа.</w:t>
      </w:r>
    </w:p>
    <w:p w:rsidR="00E26BFD" w:rsidRPr="00E26BFD" w:rsidRDefault="00E26BFD" w:rsidP="00E26BFD">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t>Первоначально Сергей Юльевич был сторонником укрепления кредитного рубля посредством административного контроля. Ему казалось, что ужесточение надзора за обращением денег и усиление ответственности отечественных финансовых кругов за исполнение распоряжений центральной власти позволят укрепить рубль. В начале 1893 г. был предпринят ряд шагов, показавших, что финансовое ведомство настроено весьма решительно. Были установлены таможенные пошлины (1 копейка за 100 рублей), запрещены сделки, основанные на курсовой разнице рубля, как и прочих ценностей, усилен контроль за биржевыми операциями в России и введен запрет на производство биржевых сделок маклерами-иностранцами. Благодаря этим решениям колебания курса стали уменьшаться. Так, если в 1891 г. в Лондоне они составляли 28,4%, то в 1892 г. - 8,8%, а в 1893 г. - 5,3%. Но довольно быстро министр финансов понял, что эти меры малоэффективны и что необходима качественная перестройка всей финансовой системы.</w:t>
      </w:r>
    </w:p>
    <w:p w:rsidR="00E26BFD" w:rsidRPr="00E26BFD" w:rsidRDefault="00E26BFD" w:rsidP="00E26BFD">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lastRenderedPageBreak/>
        <w:t xml:space="preserve">Но прежде чем приступать к реформированию, надо было окончательно решить для себя и доказать другим, в первую очередь монарху, в каком направлении осуществлять реформу: на базе монометаллизма (золото) или биметаллизма (серебро и золото). Трезвый расчет и видение исторических возможностей России сделали </w:t>
      </w:r>
      <w:proofErr w:type="gramStart"/>
      <w:r w:rsidRPr="00E26BFD">
        <w:rPr>
          <w:rFonts w:ascii="Georgia" w:eastAsia="Times New Roman" w:hAnsi="Georgia" w:cs="Times New Roman"/>
          <w:color w:val="000000"/>
          <w:szCs w:val="24"/>
          <w:lang w:eastAsia="ru-RU"/>
        </w:rPr>
        <w:t>С.Ю. Витте</w:t>
      </w:r>
      <w:proofErr w:type="gramEnd"/>
      <w:r w:rsidRPr="00E26BFD">
        <w:rPr>
          <w:rFonts w:ascii="Georgia" w:eastAsia="Times New Roman" w:hAnsi="Georgia" w:cs="Times New Roman"/>
          <w:color w:val="000000"/>
          <w:szCs w:val="24"/>
          <w:lang w:eastAsia="ru-RU"/>
        </w:rPr>
        <w:t xml:space="preserve"> убежденным сторонником монометаллизма.</w:t>
      </w:r>
    </w:p>
    <w:p w:rsidR="00E26BFD" w:rsidRPr="00E26BFD" w:rsidRDefault="00E26BFD" w:rsidP="00E26BFD">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t>Деятельность Министерства финансов стала мишенью ожесточенных нападок со стороны консервативных кругов общества. Сторонники исторической исключительности и национальной самобытности развернули шумную кампанию по дискредитации и самого С. Ю. Витте, и его финансовых начинаний. Наивысшего накала общественные страсти достигли в 1896 г. Русское общество, совсем еще недавно очень далекое от экономических интересов, вдруг с невиданным жаром погрузилось в оживленные дискуссии о путях и методах финансовой реорганизации.</w:t>
      </w:r>
    </w:p>
    <w:p w:rsidR="00E26BFD" w:rsidRPr="00E26BFD" w:rsidRDefault="00E26BFD" w:rsidP="00E26BFD">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t>Конкретных и весомых аргументов у противников золотого рубля практически не было. Нападки базировались почти исключительно на эмоциях. Звучали голоса о “грядущем разбазаривании национальных богатств”, об обнищании страны, о превращении ее во вторую Индию и т. д.</w:t>
      </w:r>
    </w:p>
    <w:p w:rsidR="00E26BFD" w:rsidRPr="00E26BFD" w:rsidRDefault="00E26BFD" w:rsidP="00E26BFD">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t xml:space="preserve">Вся реформа денежного обращения была рассчитана на будущее индустриальное развитие России, и ему она служила. Но неизбежно вставал вопрос о том, как девальвация и свободный размен рубля на золото отразятся на внутрихозяйственной деятельности и в первую очередь на положении основной части подданных российской короны в ближайшем времени. С. Ю. Витте считал (и его предположения оправдались полностью), что ни к каким заметным общественно-экономическим пертурбациям реорганизация финансового обращения не приведет. Система конвертации валюты затрагивала главным образом внешнеэкономическую деятельность, а вводимое соотношение металлических и бумажных денежных знаков лишь закрепляло реально сложившееся положение. Уклад жизни основной массы населения, его повседневное материальное и производственное обеспечение фактически не зависели ни от самого золотого паритета, ни от характера мировых денежных расчетов. Русские крестьяне в массе своей оставались вне системы </w:t>
      </w:r>
      <w:r w:rsidRPr="00E26BFD">
        <w:rPr>
          <w:rFonts w:ascii="Georgia" w:eastAsia="Times New Roman" w:hAnsi="Georgia" w:cs="Times New Roman"/>
          <w:color w:val="000000"/>
          <w:szCs w:val="24"/>
          <w:lang w:eastAsia="ru-RU"/>
        </w:rPr>
        <w:lastRenderedPageBreak/>
        <w:t>мирового денежного рынка, а “ценовая погода” внутри империи поддавалась контролю со стороны государства.</w:t>
      </w:r>
    </w:p>
    <w:p w:rsidR="00E26BFD" w:rsidRPr="00E26BFD" w:rsidRDefault="00E26BFD" w:rsidP="00E26BFD">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t xml:space="preserve">В представленном в Государственный совет в марте 1896 г. законопроекте “Об исправлении денежного обращения” С. Ю. Витте следующим образом определял главные условия проведения и цели реформы: “Закрепить достигнутые успехи в области финансового хозяйства посредством подведения под них прочного фундамента металлического денежного обращения”. При этом реформа “должна быть осуществлена так, чтобы не произвести ни малейшего потрясения и каких бы то ни было искусственных изменений существующих условий, ибо на денежной системе покоятся все оценки, все имущественные и трудовые интересы населения... Проектируемая реформа, не нарушая народных привычек, не колебля цен, не внося беспорядка во все расчеты, поведет за собой переход нашей родины от неопределенного с юридической стороны, вредного в экономическом и опасного в политическом отношениях </w:t>
      </w:r>
      <w:proofErr w:type="spellStart"/>
      <w:r w:rsidRPr="00E26BFD">
        <w:rPr>
          <w:rFonts w:ascii="Georgia" w:eastAsia="Times New Roman" w:hAnsi="Georgia" w:cs="Times New Roman"/>
          <w:color w:val="000000"/>
          <w:szCs w:val="24"/>
          <w:lang w:eastAsia="ru-RU"/>
        </w:rPr>
        <w:t>бумагоденежного</w:t>
      </w:r>
      <w:proofErr w:type="spellEnd"/>
      <w:r w:rsidRPr="00E26BFD">
        <w:rPr>
          <w:rFonts w:ascii="Georgia" w:eastAsia="Times New Roman" w:hAnsi="Georgia" w:cs="Times New Roman"/>
          <w:color w:val="000000"/>
          <w:szCs w:val="24"/>
          <w:lang w:eastAsia="ru-RU"/>
        </w:rPr>
        <w:t xml:space="preserve"> обращения к обращению золотой монеты и разменных на нее знаков."</w:t>
      </w:r>
    </w:p>
    <w:p w:rsidR="00E26BFD" w:rsidRPr="00F74E82" w:rsidRDefault="00E26BFD" w:rsidP="00F74E82">
      <w:pPr>
        <w:shd w:val="clear" w:color="auto" w:fill="FFFFFF"/>
        <w:spacing w:before="100" w:beforeAutospacing="1" w:after="100" w:afterAutospacing="1" w:line="240" w:lineRule="auto"/>
        <w:ind w:left="-851"/>
        <w:jc w:val="both"/>
        <w:rPr>
          <w:rFonts w:ascii="Georgia" w:eastAsia="Times New Roman" w:hAnsi="Georgia" w:cs="Times New Roman"/>
          <w:color w:val="000000"/>
          <w:szCs w:val="24"/>
          <w:lang w:eastAsia="ru-RU"/>
        </w:rPr>
      </w:pPr>
      <w:r w:rsidRPr="00E26BFD">
        <w:rPr>
          <w:rFonts w:ascii="Georgia" w:eastAsia="Times New Roman" w:hAnsi="Georgia" w:cs="Times New Roman"/>
          <w:color w:val="000000"/>
          <w:szCs w:val="24"/>
          <w:lang w:eastAsia="ru-RU"/>
        </w:rPr>
        <w:t>Введение золотой валюты укрепило государственные финансы и стимулировало экономическое развитие. В конце XIX века по темпам роста промышленного производства Россия обгоняла все европейские страны. Этому в большой степени способствовал широкий приток иностранных инвестиций в индустрию страны. Только за время министерства С.Ю. Витте (1893-1903 гг.) их размер достиг колоссального размера - 3 млрд. рублей золотом. В конце XIX - начале XX века золотая единица преобладала в составе российского денежного обращения и к 1904 году на нее приходилось почти 2/3 денежной массы. Русско-японская война и революция 1905-1907 гг. внесли коррективы в эту тенденцию, и с 1905 года эмиссия кредитных рублей опять стала возрастать. Однако вплоть до перовой мировой войны России удалось сохранить в неприкосновенности важнейший принцип валютной реформы: свободный обмен бумажных денег на золото.</w:t>
      </w:r>
    </w:p>
    <w:sectPr w:rsidR="00E26BFD" w:rsidRPr="00F74E82" w:rsidSect="004F544D">
      <w:pgSz w:w="8222" w:h="11907"/>
      <w:pgMar w:top="567" w:right="567" w:bottom="42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C68" w:rsidRDefault="00320C68" w:rsidP="004F544D">
      <w:pPr>
        <w:spacing w:after="0" w:line="240" w:lineRule="auto"/>
      </w:pPr>
      <w:r>
        <w:separator/>
      </w:r>
    </w:p>
  </w:endnote>
  <w:endnote w:type="continuationSeparator" w:id="0">
    <w:p w:rsidR="00320C68" w:rsidRDefault="00320C68" w:rsidP="004F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C68" w:rsidRDefault="00320C68" w:rsidP="004F544D">
      <w:pPr>
        <w:spacing w:after="0" w:line="240" w:lineRule="auto"/>
      </w:pPr>
      <w:r>
        <w:separator/>
      </w:r>
    </w:p>
  </w:footnote>
  <w:footnote w:type="continuationSeparator" w:id="0">
    <w:p w:rsidR="00320C68" w:rsidRDefault="00320C68" w:rsidP="004F54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E5"/>
    <w:rsid w:val="00320C68"/>
    <w:rsid w:val="00377108"/>
    <w:rsid w:val="004F544D"/>
    <w:rsid w:val="00524E76"/>
    <w:rsid w:val="00795384"/>
    <w:rsid w:val="008B3CE5"/>
    <w:rsid w:val="00E26BFD"/>
    <w:rsid w:val="00F74E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A16A0-2FD7-4BCF-AEB9-A43FDCE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26B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6BF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26B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4F544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544D"/>
  </w:style>
  <w:style w:type="paragraph" w:styleId="a6">
    <w:name w:val="footer"/>
    <w:basedOn w:val="a"/>
    <w:link w:val="a7"/>
    <w:uiPriority w:val="99"/>
    <w:unhideWhenUsed/>
    <w:rsid w:val="004F544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544D"/>
  </w:style>
  <w:style w:type="paragraph" w:styleId="a8">
    <w:name w:val="Balloon Text"/>
    <w:basedOn w:val="a"/>
    <w:link w:val="a9"/>
    <w:uiPriority w:val="99"/>
    <w:semiHidden/>
    <w:unhideWhenUsed/>
    <w:rsid w:val="004F544D"/>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5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1707</Words>
  <Characters>9731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3</cp:revision>
  <cp:lastPrinted>2019-12-18T12:29:00Z</cp:lastPrinted>
  <dcterms:created xsi:type="dcterms:W3CDTF">2019-12-18T10:12:00Z</dcterms:created>
  <dcterms:modified xsi:type="dcterms:W3CDTF">2019-12-18T12:58:00Z</dcterms:modified>
</cp:coreProperties>
</file>