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2D923B26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3F03F301" w:rsidR="006E5CE0" w:rsidRPr="0048405D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_Ref199172730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Lotka-Volterra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LotkaVolterra \h </w:instrText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015DAA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1A8A17B" w:rsidR="006E5CE0" w:rsidRPr="0048405D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48405D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48405D">
              <w:rPr>
                <w:rFonts w:eastAsiaTheme="minorEastAsia"/>
                <w:b/>
                <w:bCs/>
                <w:u w:val="single"/>
              </w:rPr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van der Pol Circuit</w:t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130465D8" w:rsidR="006E5CE0" w:rsidRPr="0048405D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48405D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48405D">
              <w:rPr>
                <w:rFonts w:eastAsiaTheme="minorEastAsia"/>
                <w:b/>
                <w:bCs/>
                <w:u w:val="single"/>
              </w:rPr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Lorenz System</w:t>
            </w:r>
            <w:r w:rsidRPr="0048405D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7C313E18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Pr="0048405D">
              <w:rPr>
                <w:b/>
                <w:bCs/>
                <w:u w:val="single"/>
              </w:rPr>
              <w:t>Roessler System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2157A0" w14:paraId="5A6EF78F" w14:textId="77777777" w:rsidTr="00806FCE">
        <w:tc>
          <w:tcPr>
            <w:tcW w:w="4814" w:type="dxa"/>
          </w:tcPr>
          <w:p w14:paraId="7D9B0D78" w14:textId="781571EB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48405D">
              <w:rPr>
                <w:b/>
                <w:bCs/>
                <w:u w:val="single"/>
              </w:rPr>
              <w:t>Chua’s</w:t>
            </w:r>
            <w:proofErr w:type="spellEnd"/>
            <w:r w:rsidRPr="0048405D">
              <w:rPr>
                <w:b/>
                <w:bCs/>
                <w:u w:val="single"/>
              </w:rPr>
              <w:t xml:space="preserve"> Circuit</w: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500A1631" w14:textId="3752B630" w:rsidR="00015DAA" w:rsidRDefault="00015DAA" w:rsidP="00EC3FFC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ChaoticDiode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_Ref199172822 \h </w:instrText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b/>
                <w:bCs/>
                <w:u w:val="single"/>
              </w:rPr>
              <w:t>Chaotic Diode Circuit</w:t>
            </w:r>
            <w:r w:rsidR="0048405D" w:rsidRPr="0048405D">
              <w:rPr>
                <w:b/>
                <w:bCs/>
              </w:rPr>
              <w:t xml:space="preserve"> (with a light emitting diode)</w:t>
            </w:r>
            <w:r w:rsid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6E1C1B23" w14:textId="7B241963" w:rsidR="006E5CE0" w:rsidRPr="006E5CE0" w:rsidRDefault="00015DAA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094434C5" w14:textId="2DA0A89F" w:rsidR="00015DAA" w:rsidRPr="0048405D" w:rsidRDefault="00015DAA" w:rsidP="001B035B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ChaoticOscillator \h </w:instrText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</w: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48405D" w:rsidRPr="0048405D">
              <w:rPr>
                <w:b/>
                <w:bCs/>
                <w:u w:val="single"/>
              </w:rPr>
              <w:t>Chaotic Oscillator</w:t>
            </w:r>
            <w:r w:rsidR="0048405D"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8A92B48" w:rsidR="006E5CE0" w:rsidRPr="006E5CE0" w:rsidRDefault="00015DAA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6E5CE0"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2157A0" w14:paraId="34860086" w14:textId="77777777" w:rsidTr="00806FCE">
        <w:tc>
          <w:tcPr>
            <w:tcW w:w="4814" w:type="dxa"/>
          </w:tcPr>
          <w:p w14:paraId="3E4B0B52" w14:textId="21E0B48E" w:rsidR="006E5CE0" w:rsidRPr="0048405D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48405D">
              <w:rPr>
                <w:b/>
                <w:bCs/>
                <w:u w:val="single"/>
              </w:rPr>
              <w:t>Colpitts</w:t>
            </w:r>
            <w:proofErr w:type="spellEnd"/>
            <w:r w:rsidRPr="0048405D">
              <w:rPr>
                <w:b/>
                <w:bCs/>
                <w:u w:val="single"/>
              </w:rPr>
              <w:t xml:space="preserve"> </w:t>
            </w:r>
            <w:proofErr w:type="spellStart"/>
            <w:r w:rsidRPr="0048405D">
              <w:rPr>
                <w:b/>
                <w:bCs/>
                <w:u w:val="single"/>
              </w:rPr>
              <w:t>Oscillator</w:t>
            </w:r>
            <w:proofErr w:type="spellEnd"/>
            <w:r w:rsidRPr="0048405D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2157A0" w14:paraId="4FE91259" w14:textId="77777777" w:rsidTr="00806FCE">
        <w:tc>
          <w:tcPr>
            <w:tcW w:w="4814" w:type="dxa"/>
          </w:tcPr>
          <w:p w14:paraId="13CED472" w14:textId="428A9FA4" w:rsidR="006E5CE0" w:rsidRPr="003D26EB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Shinriki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</w:t>
            </w:r>
            <w:proofErr w:type="spellStart"/>
            <w:r w:rsidRPr="003D26EB">
              <w:rPr>
                <w:b/>
                <w:bCs/>
                <w:u w:val="single"/>
              </w:rPr>
              <w:t>Oscillator</w:t>
            </w:r>
            <w:proofErr w:type="spellEnd"/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907A509" w:rsidR="00E33F4A" w:rsidRPr="003D26EB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Jerk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Circuit</w: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3D26EB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77777777" w:rsidR="00F12968" w:rsidRPr="003D26EB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3D26EB">
              <w:rPr>
                <w:b/>
                <w:bCs/>
                <w:u w:val="single"/>
              </w:rPr>
              <w:t>Rikitake</w:t>
            </w:r>
            <w:proofErr w:type="spellEnd"/>
            <w:r w:rsidRPr="003D26EB">
              <w:rPr>
                <w:b/>
                <w:bCs/>
                <w:u w:val="single"/>
              </w:rPr>
              <w:t xml:space="preserve"> System</w:t>
            </w:r>
            <w:r w:rsidRPr="003D26EB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2157A0" w14:paraId="25334AE8" w14:textId="77777777" w:rsidTr="00806FCE">
        <w:tc>
          <w:tcPr>
            <w:tcW w:w="4814" w:type="dxa"/>
          </w:tcPr>
          <w:p w14:paraId="3B71C5A3" w14:textId="5A247B0F" w:rsidR="006E5CE0" w:rsidRPr="00F12968" w:rsidRDefault="00F1296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F1296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F1296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 \* MERGEFORMAT </w:instrText>
            </w:r>
            <w:r w:rsidRPr="00F1296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F1296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proofErr w:type="spellStart"/>
            <w:r w:rsidRPr="00F12968">
              <w:rPr>
                <w:b/>
                <w:bCs/>
                <w:u w:val="single"/>
              </w:rPr>
              <w:t>Simplest</w:t>
            </w:r>
            <w:proofErr w:type="spellEnd"/>
            <w:r w:rsidRPr="00F12968">
              <w:rPr>
                <w:b/>
                <w:bCs/>
                <w:u w:val="single"/>
              </w:rPr>
              <w:t xml:space="preserve"> </w:t>
            </w:r>
            <w:proofErr w:type="spellStart"/>
            <w:r w:rsidRPr="00F12968">
              <w:rPr>
                <w:b/>
                <w:bCs/>
                <w:u w:val="single"/>
              </w:rPr>
              <w:t>Chaotic</w:t>
            </w:r>
            <w:proofErr w:type="spellEnd"/>
            <w:r w:rsidRPr="00F12968">
              <w:rPr>
                <w:b/>
                <w:bCs/>
                <w:u w:val="single"/>
              </w:rPr>
              <w:t xml:space="preserve"> Circuit</w:t>
            </w:r>
            <w:r w:rsidRPr="00F1296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proofErr w:type="spellStart"/>
      <w:r w:rsidRPr="003A6874">
        <w:lastRenderedPageBreak/>
        <w:t>OpAmp</w:t>
      </w:r>
      <w:proofErr w:type="spellEnd"/>
      <w:r w:rsidRPr="003A6874">
        <w:t>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2157A0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2157A0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p w14:paraId="6BB71AD9" w14:textId="20395D11" w:rsidR="00D70E95" w:rsidRDefault="007D01B0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40C2C" wp14:editId="344F2552">
                <wp:simplePos x="0" y="0"/>
                <wp:positionH relativeFrom="column">
                  <wp:posOffset>854710</wp:posOffset>
                </wp:positionH>
                <wp:positionV relativeFrom="paragraph">
                  <wp:posOffset>1530985</wp:posOffset>
                </wp:positionV>
                <wp:extent cx="1803400" cy="0"/>
                <wp:effectExtent l="38100" t="76200" r="0" b="95250"/>
                <wp:wrapNone/>
                <wp:docPr id="359415006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50840" id="Gerader Verbinde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3pt,120.55pt" to="209.3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" strokecolor="#a5a5a5 [2092]" strokeweight=".5pt">
                <v:stroke endarrow="block" joinstyle="miter"/>
              </v:lin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9C73A" wp14:editId="5B578378">
                <wp:simplePos x="0" y="0"/>
                <wp:positionH relativeFrom="column">
                  <wp:posOffset>1457960</wp:posOffset>
                </wp:positionH>
                <wp:positionV relativeFrom="paragraph">
                  <wp:posOffset>1022985</wp:posOffset>
                </wp:positionV>
                <wp:extent cx="1797050" cy="0"/>
                <wp:effectExtent l="0" t="76200" r="12700" b="95250"/>
                <wp:wrapNone/>
                <wp:docPr id="81813904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83CC" id="Gerader Verbinde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80.55pt" to="256.3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" strokecolor="#a5a5a5 [2092]" strokeweight=".5pt">
                <v:stroke endarrow="block" joinstyle="miter"/>
              </v:line>
            </w:pict>
          </mc:Fallback>
        </mc:AlternateContent>
      </w:r>
      <w:bookmarkStart w:id="2" w:name="_MON_1808038809"/>
      <w:bookmarkEnd w:id="2"/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pt" o:ole="">
            <v:imagedata r:id="rId10" o:title=""/>
          </v:shape>
          <o:OLEObject Type="Embed" ProgID="Excel.Sheet.12" ShapeID="_x0000_i1025" DrawAspect="Content" ObjectID="_1809805429" r:id="rId11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2157A0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63E339E2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implementation of Chua’s Diode with </w:t>
      </w:r>
      <w:proofErr w:type="spellStart"/>
      <w:r>
        <w:rPr>
          <w:rFonts w:eastAsiaTheme="minorEastAsia"/>
          <w:lang w:val="en-US"/>
        </w:rPr>
        <w:t>opAmps</w:t>
      </w:r>
      <w:proofErr w:type="spellEnd"/>
      <w:r>
        <w:rPr>
          <w:rFonts w:eastAsiaTheme="minorEastAsia"/>
          <w:lang w:val="en-US"/>
        </w:rPr>
        <w:t xml:space="preserve">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015DAA" w:rsidRPr="00015DAA">
        <w:rPr>
          <w:rFonts w:eastAsiaTheme="minorEastAsia"/>
          <w:b/>
          <w:bCs/>
          <w:u w:val="single"/>
          <w:lang w:val="en-US"/>
        </w:rPr>
        <w:t>negative impedance converter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input currents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differential input voltage </w:t>
            </w:r>
            <w:proofErr w:type="spellStart"/>
            <w:r>
              <w:rPr>
                <w:rFonts w:eastAsiaTheme="minorEastAsia"/>
                <w:lang w:val="en-US"/>
              </w:rPr>
              <w:t>neglectible</w:t>
            </w:r>
            <w:proofErr w:type="spellEnd"/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</w:t>
            </w:r>
            <w:proofErr w:type="spellStart"/>
            <w:r>
              <w:rPr>
                <w:rFonts w:eastAsiaTheme="minorEastAsia" w:cstheme="minorHAnsi"/>
                <w:lang w:val="en-US"/>
              </w:rPr>
              <w:t>TwoPin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</w:t>
            </w:r>
            <w:proofErr w:type="spellStart"/>
            <w:r>
              <w:rPr>
                <w:rFonts w:eastAsiaTheme="minorEastAsia" w:cstheme="minorHAnsi"/>
                <w:lang w:val="en-US"/>
              </w:rPr>
              <w:t>OnePort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2C9949E1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r w:rsidR="0048405D" w:rsidRPr="0048405D">
        <w:rPr>
          <w:b w:val="0"/>
          <w:bCs w:val="0"/>
          <w:u w:val="none"/>
        </w:rPr>
        <w:t xml:space="preserve"> (with a light emitting diode)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2157A0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1,r2,r3,r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2157A0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SI.Impedance</w:t>
            </w:r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2157A0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proofErr w:type="gram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</w:t>
            </w:r>
            <w:proofErr w:type="gram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 “</w:t>
            </w:r>
            <w:proofErr w:type="gram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proofErr w:type="spellStart"/>
      <w:r>
        <w:lastRenderedPageBreak/>
        <w:t>Shinriki</w:t>
      </w:r>
      <w:proofErr w:type="spellEnd"/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proofErr w:type="gram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proofErr w:type="gram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2157A0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proofErr w:type="gram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proofErr w:type="gram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equations of motion have identical </w:t>
      </w:r>
      <w:proofErr w:type="gramStart"/>
      <w:r>
        <w:rPr>
          <w:rFonts w:eastAsiaTheme="minorEastAsia"/>
          <w:lang w:val="en-US"/>
        </w:rPr>
        <w:t>right hand</w:t>
      </w:r>
      <w:proofErr w:type="gramEnd"/>
      <w:r>
        <w:rPr>
          <w:rFonts w:eastAsiaTheme="minorEastAsia"/>
          <w:lang w:val="en-US"/>
        </w:rPr>
        <w:t xml:space="preserve">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 xml:space="preserve">e states stay within a range that needs no scaling when implemented with an </w:t>
      </w:r>
      <w:proofErr w:type="spellStart"/>
      <w:r w:rsidR="00E33F4A">
        <w:rPr>
          <w:rFonts w:eastAsiaTheme="minorEastAsia"/>
          <w:lang w:val="en-US"/>
        </w:rPr>
        <w:t>opAmp</w:t>
      </w:r>
      <w:proofErr w:type="spellEnd"/>
      <w:r w:rsidR="00E33F4A">
        <w:rPr>
          <w:rFonts w:eastAsiaTheme="minorEastAsia"/>
          <w:lang w:val="en-US"/>
        </w:rPr>
        <w:t>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14:paraId="01CC2C74" w14:textId="77777777" w:rsidTr="000F1C3E">
        <w:tc>
          <w:tcPr>
            <w:tcW w:w="4814" w:type="dxa"/>
          </w:tcPr>
          <w:p w14:paraId="16853F75" w14:textId="167AB3A3" w:rsidR="000F1C3E" w:rsidRDefault="000F1C3E" w:rsidP="00D72191">
            <w:pPr>
              <w:rPr>
                <w:rFonts w:eastAsiaTheme="minorEastAsia"/>
                <w:lang w:val="en-US"/>
              </w:rPr>
            </w:pPr>
            <w:r w:rsidRPr="000F1C3E">
              <w:rPr>
                <w:noProof/>
                <w:lang w:val="en-US"/>
              </w:rPr>
              <w:drawing>
                <wp:inline distT="0" distB="0" distL="0" distR="0" wp14:anchorId="7C4A2357" wp14:editId="63F452AB">
                  <wp:extent cx="2350800" cy="2365200"/>
                  <wp:effectExtent l="0" t="0" r="0" b="0"/>
                  <wp:docPr id="3288272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82728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800" cy="23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0E023DA" w14:textId="77777777" w:rsidR="000F1C3E" w:rsidRDefault="000F1C3E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32EBADE3" w:rsidR="00D72191" w:rsidRPr="00D72191" w:rsidRDefault="00D72191" w:rsidP="00D72191">
      <w:pPr>
        <w:spacing w:after="0"/>
        <w:rPr>
          <w:lang w:val="en-US"/>
        </w:rPr>
      </w:pPr>
    </w:p>
    <w:p w14:paraId="6CEDD060" w14:textId="61F2028A" w:rsidR="002718B1" w:rsidRDefault="002718B1" w:rsidP="002718B1">
      <w:pPr>
        <w:pStyle w:val="berschrift1"/>
      </w:pPr>
      <w:r>
        <w:t xml:space="preserve">Memristor models </w:t>
      </w:r>
    </w:p>
    <w:p w14:paraId="6A9F00FA" w14:textId="2F47DDE5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616AC041" w14:textId="0F7848C5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</w:tc>
        <w:tc>
          <w:tcPr>
            <w:tcW w:w="4814" w:type="dxa"/>
          </w:tcPr>
          <w:p w14:paraId="5C222E39" w14:textId="08ED08F1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x, i</m:t>
                    </m:r>
                  </m:e>
                </m:d>
              </m:oMath>
            </m:oMathPara>
          </w:p>
        </w:tc>
      </w:tr>
      <w:tr w:rsidR="00C6734D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C14E43" w14:textId="35A1DE65" w:rsidR="004E276D" w:rsidRPr="004E276D" w:rsidRDefault="00000000" w:rsidP="00C6734D">
            <w:pPr>
              <w:rPr>
                <w:rFonts w:eastAsia="Times New Roman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</w:rPr>
                  <w:br/>
                </m:r>
              </m:oMath>
            </m:oMathPara>
            <w:r w:rsidR="004E276D" w:rsidRPr="00E462B8">
              <w:rPr>
                <w:rFonts w:eastAsia="Times New Roman" w:cstheme="minorHAnsi"/>
              </w:rPr>
              <w:t>[</w:t>
            </w:r>
            <w:r w:rsidR="004E276D">
              <w:rPr>
                <w:rFonts w:eastAsia="Times New Roman" w:cstheme="minorHAnsi"/>
              </w:rPr>
              <w:t>Joglekar2009</w:t>
            </w:r>
            <w:r w:rsidR="004E276D" w:rsidRPr="00E462B8">
              <w:rPr>
                <w:rFonts w:eastAsia="Times New Roman" w:cstheme="minorHAnsi"/>
              </w:rPr>
              <w:t>]</w:t>
            </w:r>
            <w:r w:rsidR="004E276D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1669A487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</w:rPr>
              <w:t>[Biolek2009]</w:t>
            </w:r>
            <w:r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152CEECD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1DDD96C5" w:rsidR="00F12968" w:rsidRDefault="00000000" w:rsidP="00C6734D">
            <w:pPr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=i-x∙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-x∙i</m:t>
                </m:r>
              </m:oMath>
            </m:oMathPara>
          </w:p>
        </w:tc>
      </w:tr>
    </w:tbl>
    <w:p w14:paraId="660E875F" w14:textId="34F43A03" w:rsidR="002157A0" w:rsidRPr="002157A0" w:rsidRDefault="002157A0" w:rsidP="002157A0">
      <w:pPr>
        <w:rPr>
          <w:rFonts w:eastAsia="Times New Roman" w:cstheme="minorHAnsi"/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>using 4 operational amplifiers and 2 multipliers.</w:t>
      </w:r>
      <w:r>
        <w:rPr>
          <w:lang w:val="en-US"/>
        </w:rPr>
        <w:t xml:space="preserve"> </w:t>
      </w:r>
    </w:p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2157A0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4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2157A0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5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2157A0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Vol.18, No.2, 2009, pp. 210-214.</w:t>
            </w:r>
          </w:p>
        </w:tc>
      </w:tr>
      <w:tr w:rsidR="00F72F06" w:rsidRPr="002157A0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Biolková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Radioengineering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>, Vol.24, No.2, 2015, pp. 369-377.</w:t>
            </w:r>
          </w:p>
        </w:tc>
      </w:tr>
      <w:tr w:rsidR="00F72F06" w:rsidRPr="002157A0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2157A0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2157A0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proofErr w:type="spellStart"/>
            <w:r>
              <w:fldChar w:fldCharType="begin"/>
            </w:r>
            <w:r w:rsidRPr="00F12968">
              <w:rPr>
                <w:lang w:val="en-US"/>
              </w:rPr>
              <w:instrText>HYPERLINK "https://doi.org/10.1109/PROC.1976.10092"</w:instrText>
            </w:r>
            <w:r>
              <w:fldChar w:fldCharType="separate"/>
            </w:r>
            <w:r w:rsidRPr="00E462B8">
              <w:rPr>
                <w:rStyle w:val="Hyperlink"/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Style w:val="Hyperlink"/>
                <w:rFonts w:eastAsia="Times New Roman" w:cstheme="minorHAnsi"/>
                <w:lang w:val="en-US"/>
              </w:rPr>
              <w:t xml:space="preserve"> devices and systems</w:t>
            </w:r>
            <w:r>
              <w:fldChar w:fldCharType="end"/>
            </w:r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2157A0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2157A0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2157A0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2157A0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2157A0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2157A0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Majetta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</w:rPr>
                <w:t xml:space="preserve">Zur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Memristik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in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</w:rPr>
                <w:t>neuromorphen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</w:rPr>
                <w:t xml:space="preserve">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 xml:space="preserve">UCB/EECS-2009-20, University </w:t>
            </w:r>
            <w:proofErr w:type="spellStart"/>
            <w:r w:rsidRPr="00E462B8">
              <w:rPr>
                <w:rFonts w:eastAsia="Times New Roman" w:cstheme="minorHAnsi"/>
              </w:rPr>
              <w:t>of</w:t>
            </w:r>
            <w:proofErr w:type="spellEnd"/>
            <w:r w:rsidRPr="00E462B8">
              <w:rPr>
                <w:rFonts w:eastAsia="Times New Roman" w:cstheme="minorHAnsi"/>
              </w:rPr>
              <w:t xml:space="preserve"> California at Berkeley.</w:t>
            </w:r>
          </w:p>
        </w:tc>
      </w:tr>
      <w:tr w:rsidR="00F72F06" w:rsidRPr="002157A0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2157A0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Chapter 9 in: Alex James, Memristor and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Memristive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Neural Networks,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Intechopen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2018, ISBN 978-953-51-3948-5.</w:t>
            </w:r>
          </w:p>
        </w:tc>
      </w:tr>
      <w:tr w:rsidR="00F72F06" w:rsidRPr="002157A0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Kapitaniak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2157A0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2157A0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Tsuneji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2157A0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2157A0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An equation for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hyperchaos</w:t>
              </w:r>
              <w:proofErr w:type="spellEnd"/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2157A0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Masanon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Shinriki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F72F06" w:rsidRPr="002157A0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099E0F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2157A0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G.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Mykolaitis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V.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2157A0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Tamaševičius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K.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Pyragas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S.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Bumeliene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 and M.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Meskauskas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2157A0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Frequency </w:t>
              </w:r>
              <w:proofErr w:type="spellStart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Demultiplication</w:t>
              </w:r>
              <w:proofErr w:type="spellEnd"/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2157A0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proofErr w:type="spellStart"/>
            <w:r w:rsidRPr="00E462B8">
              <w:rPr>
                <w:rFonts w:eastAsia="Times New Roman" w:cstheme="minorHAnsi"/>
                <w:lang w:val="en-US"/>
              </w:rPr>
              <w:t>J.A.Vano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J.C.Wildenberg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M.B.Anderson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J.K.Noel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J.C.Sprott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2157A0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Yakopcic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2157A0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</w:t>
            </w:r>
            <w:proofErr w:type="spellStart"/>
            <w:r w:rsidRPr="00E462B8">
              <w:rPr>
                <w:rFonts w:eastAsia="Times New Roman" w:cstheme="minorHAnsi"/>
                <w:lang w:val="en-US"/>
              </w:rPr>
              <w:t>Ayrom</w:t>
            </w:r>
            <w:proofErr w:type="spellEnd"/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4865"/>
    <w:rsid w:val="00064537"/>
    <w:rsid w:val="00065B03"/>
    <w:rsid w:val="000756B3"/>
    <w:rsid w:val="000D0997"/>
    <w:rsid w:val="000D5D9F"/>
    <w:rsid w:val="000E7E8F"/>
    <w:rsid w:val="000F1C3E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157A0"/>
    <w:rsid w:val="0022201F"/>
    <w:rsid w:val="00231E59"/>
    <w:rsid w:val="0024630E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1C91"/>
    <w:rsid w:val="00354424"/>
    <w:rsid w:val="00357DD3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8405D"/>
    <w:rsid w:val="004B1C3A"/>
    <w:rsid w:val="004B5AAE"/>
    <w:rsid w:val="004B764D"/>
    <w:rsid w:val="004C0E12"/>
    <w:rsid w:val="004D202F"/>
    <w:rsid w:val="004E276D"/>
    <w:rsid w:val="00500AF5"/>
    <w:rsid w:val="005053C5"/>
    <w:rsid w:val="005069C4"/>
    <w:rsid w:val="00536CF6"/>
    <w:rsid w:val="005411A3"/>
    <w:rsid w:val="005543D2"/>
    <w:rsid w:val="0056087F"/>
    <w:rsid w:val="0057102D"/>
    <w:rsid w:val="00571070"/>
    <w:rsid w:val="00582018"/>
    <w:rsid w:val="00586B09"/>
    <w:rsid w:val="00587BE5"/>
    <w:rsid w:val="005A11C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7BE5"/>
    <w:rsid w:val="006863A3"/>
    <w:rsid w:val="00692563"/>
    <w:rsid w:val="006B6085"/>
    <w:rsid w:val="006B63B6"/>
    <w:rsid w:val="006C25E0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30BF8"/>
    <w:rsid w:val="00937C2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A04F8"/>
    <w:rsid w:val="00BA24E3"/>
    <w:rsid w:val="00BA45F9"/>
    <w:rsid w:val="00BB14AE"/>
    <w:rsid w:val="00BC6463"/>
    <w:rsid w:val="00BF488A"/>
    <w:rsid w:val="00C11BE4"/>
    <w:rsid w:val="00C15ED4"/>
    <w:rsid w:val="00C32B1F"/>
    <w:rsid w:val="00C370C5"/>
    <w:rsid w:val="00C51BB2"/>
    <w:rsid w:val="00C6734D"/>
    <w:rsid w:val="00C7758D"/>
    <w:rsid w:val="00C85F11"/>
    <w:rsid w:val="00CB0EC6"/>
    <w:rsid w:val="00CB1481"/>
    <w:rsid w:val="00CD0FCD"/>
    <w:rsid w:val="00CD18F0"/>
    <w:rsid w:val="00CE6E2A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33F4A"/>
    <w:rsid w:val="00E41886"/>
    <w:rsid w:val="00E52725"/>
    <w:rsid w:val="00E55AD3"/>
    <w:rsid w:val="00E61C50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4DD9"/>
    <w:rsid w:val="00F051CA"/>
    <w:rsid w:val="00F05CD8"/>
    <w:rsid w:val="00F12968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hyperlink" Target="https://www.radioeng.cz/fulltexts/2009/09_02_210_214.pdf" TargetMode="External"/><Relationship Id="rId39" Type="http://schemas.openxmlformats.org/officeDocument/2006/relationships/hyperlink" Target="https://www.worldscientific.com/doi/abs/10.1142/S0218127410027076" TargetMode="External"/><Relationship Id="rId21" Type="http://schemas.openxmlformats.org/officeDocument/2006/relationships/image" Target="media/image15.png"/><Relationship Id="rId34" Type="http://schemas.openxmlformats.org/officeDocument/2006/relationships/hyperlink" Target="https://pawn.physik.uni-wuerzburg.de/~slueck/PhyAmSa09/Home_files/Examensarbeit_Lueck.pdf" TargetMode="External"/><Relationship Id="rId42" Type="http://schemas.openxmlformats.org/officeDocument/2006/relationships/hyperlink" Target="https://doi.org/10.1017/S0305004100033223" TargetMode="External"/><Relationship Id="rId47" Type="http://schemas.openxmlformats.org/officeDocument/2006/relationships/hyperlink" Target="https://ieeexplore.ieee.org/document/5752240" TargetMode="External"/><Relationship Id="rId50" Type="http://schemas.openxmlformats.org/officeDocument/2006/relationships/hyperlink" Target="https://doi.org/10.1038/120363a0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doi.org/10.1109/TCT.1971.1083337" TargetMode="External"/><Relationship Id="rId11" Type="http://schemas.openxmlformats.org/officeDocument/2006/relationships/package" Target="embeddings/Microsoft_Excel_Worksheet.xlsx"/><Relationship Id="rId24" Type="http://schemas.openxmlformats.org/officeDocument/2006/relationships/hyperlink" Target="https://doi.org/10.1038/s41598-018-29394-7" TargetMode="External"/><Relationship Id="rId32" Type="http://schemas.openxmlformats.org/officeDocument/2006/relationships/hyperlink" Target="https://www.researchgate.net/publication/3322339_Three_steps_to_chaos_Part_I_evolution" TargetMode="External"/><Relationship Id="rId37" Type="http://schemas.openxmlformats.org/officeDocument/2006/relationships/hyperlink" Target="https://www.maurer-christoph.de/pdfs/Analog%202.0%20-%20Zur%20Memristik%20in%20neuromorphen%20Schaltkreisen.pdf" TargetMode="External"/><Relationship Id="rId40" Type="http://schemas.openxmlformats.org/officeDocument/2006/relationships/hyperlink" Target="http://dx.doi.org/10.5772/intechopen.73921" TargetMode="External"/><Relationship Id="rId45" Type="http://schemas.openxmlformats.org/officeDocument/2006/relationships/hyperlink" Target="https://www.sciencedirect.com/science/article/abs/pii/0375960179901506" TargetMode="External"/><Relationship Id="rId53" Type="http://schemas.openxmlformats.org/officeDocument/2006/relationships/hyperlink" Target="https://ieeexplore.ieee.org/document/1085728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31" Type="http://schemas.openxmlformats.org/officeDocument/2006/relationships/hyperlink" Target="https://iopscience.iop.org/article/10.1088/0143-0807/30/4/001" TargetMode="External"/><Relationship Id="rId44" Type="http://schemas.openxmlformats.org/officeDocument/2006/relationships/hyperlink" Target="https://www.sciencedirect.com/science/article/abs/pii/0375960176901018" TargetMode="External"/><Relationship Id="rId52" Type="http://schemas.openxmlformats.org/officeDocument/2006/relationships/hyperlink" Target="https://doi.org/10.1109/LED.2011.21632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www.radioeng.cz/fulltexts/2015/15_02_0369_0377.pdf" TargetMode="External"/><Relationship Id="rId30" Type="http://schemas.openxmlformats.org/officeDocument/2006/relationships/hyperlink" Target="https://ieeexplore.ieee.org/document/246149" TargetMode="External"/><Relationship Id="rId35" Type="http://schemas.openxmlformats.org/officeDocument/2006/relationships/hyperlink" Target="https://doi.org/10.1175/1520-0469(1963)020%3C0130:DNF%3E2.0.CO;2" TargetMode="External"/><Relationship Id="rId43" Type="http://schemas.openxmlformats.org/officeDocument/2006/relationships/hyperlink" Target="https://doi.org/10.1111/j.1365-246X.1973.tb02428.x" TargetMode="External"/><Relationship Id="rId48" Type="http://schemas.openxmlformats.org/officeDocument/2006/relationships/hyperlink" Target="https://www.researchgate.net/publication/230925506_A_simple_chaotic_oscillator_for_educational_purposes" TargetMode="External"/><Relationship Id="rId8" Type="http://schemas.openxmlformats.org/officeDocument/2006/relationships/image" Target="media/image3.png"/><Relationship Id="rId51" Type="http://schemas.openxmlformats.org/officeDocument/2006/relationships/hyperlink" Target="https://sprott.physics.wisc.edu/pubs/paper288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nonlinear.eecs.berkeley.edu/chaos/chaos.html" TargetMode="External"/><Relationship Id="rId33" Type="http://schemas.openxmlformats.org/officeDocument/2006/relationships/hyperlink" Target="https://ieeexplore.ieee.org/document/331536" TargetMode="External"/><Relationship Id="rId38" Type="http://schemas.openxmlformats.org/officeDocument/2006/relationships/hyperlink" Target="https://www2.eecs.berkeley.edu/Pubs/TechRpts/2009/EECS-2009-20.pdf" TargetMode="External"/><Relationship Id="rId46" Type="http://schemas.openxmlformats.org/officeDocument/2006/relationships/hyperlink" Target="https://ieeexplore.ieee.org/abstract/document/1456241" TargetMode="External"/><Relationship Id="rId20" Type="http://schemas.openxmlformats.org/officeDocument/2006/relationships/image" Target="media/image14.png"/><Relationship Id="rId41" Type="http://schemas.openxmlformats.org/officeDocument/2006/relationships/hyperlink" Target="https://www.researchgate.net/publication/309351711_A_simple_chaotic_circuit_with_a_light-emitting_diode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://dx.doi.org/10.3384/ecp12076507" TargetMode="External"/><Relationship Id="rId49" Type="http://schemas.openxmlformats.org/officeDocument/2006/relationships/hyperlink" Target="https://www.researchgate.net/publication/259216097_NUMERICAL_TREATMENT_OF_EDUCATIONAL_CHAOS_OSCILLATO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4166</Words>
  <Characters>26247</Characters>
  <Application>Microsoft Office Word</Application>
  <DocSecurity>0</DocSecurity>
  <Lines>218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132</cp:revision>
  <cp:lastPrinted>2025-05-06T16:08:00Z</cp:lastPrinted>
  <dcterms:created xsi:type="dcterms:W3CDTF">2024-10-05T19:42:00Z</dcterms:created>
  <dcterms:modified xsi:type="dcterms:W3CDTF">2025-05-26T20:57:00Z</dcterms:modified>
</cp:coreProperties>
</file>