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3E616DFB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502D1635" w:rsidR="006E5CE0" w:rsidRPr="00B02914" w:rsidRDefault="00015DAA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VanDerPol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F62F293" w14:textId="240EB4DC" w:rsidR="00015DAA" w:rsidRPr="00A21DE2" w:rsidRDefault="00015DAA" w:rsidP="009F646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LorenzSystem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  <w:p w14:paraId="5A00BE37" w14:textId="7200CEE9" w:rsidR="006E5CE0" w:rsidRPr="00B02914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717A322A" w14:textId="6B5A8A68" w:rsidR="00015DAA" w:rsidRDefault="00015DAA" w:rsidP="00BA24E3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RoesslerSystem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  <w:p w14:paraId="0B532145" w14:textId="77E3705D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3A6874" w14:paraId="5A6EF78F" w14:textId="77777777" w:rsidTr="00806FCE">
        <w:tc>
          <w:tcPr>
            <w:tcW w:w="4814" w:type="dxa"/>
          </w:tcPr>
          <w:p w14:paraId="089DC1D8" w14:textId="665B80FB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ChuasCircuit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  <w:p w14:paraId="7D9B0D78" w14:textId="27223517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500A1631" w14:textId="24E79862" w:rsidR="00015DAA" w:rsidRDefault="00015DAA" w:rsidP="00EC3FFC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ChaoticDiode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2E022F91" w:rsidR="006E5CE0" w:rsidRPr="006E5CE0" w:rsidRDefault="00015DAA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94434C5" w14:textId="2CEE2819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18A92B48" w:rsidR="006E5CE0" w:rsidRPr="006E5CE0" w:rsidRDefault="00015DAA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3A6874" w14:paraId="34860086" w14:textId="77777777" w:rsidTr="00806FCE">
        <w:tc>
          <w:tcPr>
            <w:tcW w:w="4814" w:type="dxa"/>
          </w:tcPr>
          <w:p w14:paraId="39CACD60" w14:textId="0B5B013A" w:rsidR="00015DAA" w:rsidRDefault="00015DAA" w:rsidP="000E7E8F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ColpittsOscillator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3E4B0B52" w14:textId="3435B484" w:rsidR="006E5CE0" w:rsidRDefault="00015DAA" w:rsidP="00015DAA">
            <w:pPr>
              <w:spacing w:after="60" w:line="264" w:lineRule="auto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3A6874" w14:paraId="4FE91259" w14:textId="77777777" w:rsidTr="00806FCE">
        <w:tc>
          <w:tcPr>
            <w:tcW w:w="4814" w:type="dxa"/>
          </w:tcPr>
          <w:p w14:paraId="3040A6AA" w14:textId="20253715" w:rsidR="00015DAA" w:rsidRDefault="00015DAA" w:rsidP="002958B5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ShinrikiOscillator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13CED472" w14:textId="3B46A498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6E5CE0" w14:paraId="25334AE8" w14:textId="77777777" w:rsidTr="00806FCE">
        <w:tc>
          <w:tcPr>
            <w:tcW w:w="4814" w:type="dxa"/>
          </w:tcPr>
          <w:p w14:paraId="3B71C5A3" w14:textId="29DDB5D6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JerkCircuit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Default="006E5CE0">
      <w:pPr>
        <w:rPr>
          <w:rFonts w:eastAsiaTheme="minorEastAsia"/>
          <w:b/>
          <w:bCs/>
          <w:u w:val="single"/>
        </w:rPr>
      </w:pPr>
    </w:p>
    <w:p w14:paraId="14B3247F" w14:textId="77777777" w:rsidR="006E5CE0" w:rsidRDefault="006E5CE0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FF56AED" w14:textId="177C4015" w:rsidR="00824B66" w:rsidRPr="003A6874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3A6874">
        <w:rPr>
          <w:rFonts w:eastAsiaTheme="minorEastAsia"/>
          <w:b/>
          <w:bCs/>
          <w:u w:val="single"/>
          <w:lang w:val="en-US"/>
        </w:rPr>
        <w:lastRenderedPageBreak/>
        <w:t>OpAmp-Circuits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3A687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3A687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0" w:name="LotkaVolterra"/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  <w:bookmarkEnd w:id="0"/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bookmarkStart w:id="1" w:name="VanDerPol"/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  <w:bookmarkEnd w:id="1"/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Demultiplicat</w:t>
      </w:r>
      <w:r>
        <w:rPr>
          <w:lang w:val="en-US"/>
        </w:rPr>
        <w:t xml:space="preserve">ion”,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5" o:title=""/>
          </v:shape>
          <o:OLEObject Type="Embed" ProgID="Excel.Sheet.12" ShapeID="_x0000_i1025" DrawAspect="Content" ObjectID="_1809533780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bookmarkStart w:id="3" w:name="LorenzSystem"/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bookmarkEnd w:id="3"/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r>
        <w:fldChar w:fldCharType="begin"/>
      </w:r>
      <w:r>
        <w:instrText>HYPERLINK "http://en.wikipedia.org/wiki/Lorenz_attractor"</w:instrText>
      </w:r>
      <w:r>
        <w:fldChar w:fldCharType="separate"/>
      </w:r>
      <w:r w:rsidRPr="00F800DD">
        <w:rPr>
          <w:rStyle w:val="Hyperlink"/>
          <w:rFonts w:eastAsiaTheme="minorEastAsia"/>
        </w:rPr>
        <w:t>http://en.wikipedia.org/wiki/Lorenz_attractor</w:t>
      </w:r>
      <w:r>
        <w:fldChar w:fldCharType="end"/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5" w:name="RoesslerSystem"/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bookmarkEnd w:id="5"/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"https://en.wikipedia.org/wiki/R%C3%B6ssler_attractor"</w:instrText>
      </w:r>
      <w:r>
        <w:fldChar w:fldCharType="separate"/>
      </w:r>
      <w:r w:rsidRPr="002C2C63">
        <w:rPr>
          <w:rStyle w:val="Hyperlink"/>
          <w:rFonts w:eastAsiaTheme="minorEastAsia"/>
          <w:lang w:val="en-US"/>
        </w:rPr>
        <w:t>https://en.wikipedia.org/wiki/R%C3%B6ssler_attractor</w:t>
      </w:r>
      <w:r>
        <w:fldChar w:fldCharType="end"/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6" w:name="ChuasCircuit"/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bookmarkEnd w:id="6"/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D302BA" w:rsidRDefault="000E7E8F" w:rsidP="000E7E8F">
      <w:pPr>
        <w:spacing w:after="60" w:line="264" w:lineRule="auto"/>
        <w:jc w:val="center"/>
        <w:rPr>
          <w:lang w:val="en-US"/>
        </w:rPr>
      </w:pPr>
      <w:hyperlink r:id="rId17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26E1A4C6" w14:textId="7320BF51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8" w:history="1">
        <w:r w:rsidRPr="00086D26">
          <w:rPr>
            <w:rStyle w:val="Hyperlink"/>
            <w:rFonts w:eastAsiaTheme="minorEastAsia"/>
            <w:lang w:val="en-US"/>
          </w:rPr>
          <w:t>https://ieeexplore.ieee.org/document/246149</w:t>
        </w:r>
      </w:hyperlink>
    </w:p>
    <w:p w14:paraId="6CAFE59D" w14:textId="0CBFA7A2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86D26">
          <w:rPr>
            <w:rStyle w:val="Hyperlink"/>
            <w:rFonts w:eastAsiaTheme="minorEastAsia"/>
            <w:lang w:val="en-US"/>
          </w:rPr>
          <w:t>https://ieeexplore.ieee.org/document/1085728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3A687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3E339E2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implementation of Chua’s Diode with opAmps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015DAA" w:rsidRPr="00015DAA">
        <w:rPr>
          <w:rFonts w:eastAsiaTheme="minorEastAsia"/>
          <w:b/>
          <w:bCs/>
          <w:u w:val="single"/>
          <w:lang w:val="en-US"/>
        </w:rPr>
        <w:t>negative impedance converter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input currents neglectible</w:t>
            </w:r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differential input voltage neglectible</w:t>
            </w:r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TwoPin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OnePort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7" w:name="ChaoticDiode"/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bookmarkEnd w:id="7"/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"https://www.researchgate.net/publication/309351711_A_simple_chaotic_circuit_with_a_light-emitting_diode"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https://www.researchgate.net/publication/309351711_A_simple_chaotic_circuit_with_a_light-emitting_diode</w:t>
      </w:r>
      <w:r>
        <w:fldChar w:fldCharType="end"/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3A687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8" w:name="ChaoticOscillator"/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bookmarkEnd w:id="8"/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"https://www.researchgate.net/publication/230925506_A_simple_chaotic_oscillator_for_educational_purposes"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https://www.researchgate.net/publication/230925506_A_simple_chaotic_oscillator_for_educational_purposes</w:t>
      </w:r>
      <w:r>
        <w:fldChar w:fldCharType="end"/>
      </w:r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3A687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9" w:name="ColpittsOscillator"/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bookmarkEnd w:id="9"/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5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3A687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0" w:name="_Hlk197363772"/>
      <w:bookmarkStart w:id="11" w:name="ShinrikiOscillator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10"/>
    <w:bookmarkEnd w:id="11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7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SI.Inductance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3A687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bookmarkStart w:id="12" w:name="NIC"/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bookmarkEnd w:id="12"/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3" w:name="JerkCircuit"/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  <w:bookmarkEnd w:id="13"/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2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3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SI.Resistance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SI.Capacitance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SI.Current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SI.Voltage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6874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C25E0"/>
    <w:rsid w:val="006E5C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ieeexplore.ieee.org/document/246149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s://nonlinear.eecs.berkeley.edu/chaos/chaos.html" TargetMode="External"/><Relationship Id="rId25" Type="http://schemas.openxmlformats.org/officeDocument/2006/relationships/hyperlink" Target="https://ieeexplore.ieee.org/document/331536" TargetMode="External"/><Relationship Id="rId33" Type="http://schemas.openxmlformats.org/officeDocument/2006/relationships/hyperlink" Target="https://sprott.physics.wisc.edu/pubs/paper352.pdf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link.springer.com/book/10.1007/978-3-319-05900-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259216097_NUMERICAL_TREATMENT_OF_EDUCATIONAL_CHAOS_OSCILLATOR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ieeexplore.ieee.org/document/1085728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ieeexplore.ieee.org/abstract/document/1456241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2598</Words>
  <Characters>19983</Characters>
  <Application>Microsoft Office Word</Application>
  <DocSecurity>0</DocSecurity>
  <Lines>713</Lines>
  <Paragraphs>537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118</cp:revision>
  <cp:lastPrinted>2025-05-06T16:08:00Z</cp:lastPrinted>
  <dcterms:created xsi:type="dcterms:W3CDTF">2024-10-05T19:42:00Z</dcterms:created>
  <dcterms:modified xsi:type="dcterms:W3CDTF">2025-05-23T17:30:00Z</dcterms:modified>
</cp:coreProperties>
</file>