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0"/>
          <w:szCs w:val="30"/>
        </w:rPr>
        <w:t xml:space="preserve">Demographic Summary Report</w:t>
      </w:r>
    </w:p>
    <w:p>
      <w:pPr>
        <w:spacing w:after="140"/>
      </w:pPr>
      <w:r>
        <w:rPr>
          <w:i/>
          <w:iCs/>
          <w:color w:val="595959"/>
          <w:sz w:val="17"/>
          <w:szCs w:val="17"/>
        </w:rPr>
        <w:t xml:space="preserve">San Diego Data Science Alliance — ACS Demographic Data &amp; Assistance Program Integration</w:t>
      </w:r>
    </w:p>
    <w:p>
      <w:pPr>
        <w:pStyle w:val="Heading2"/>
        <w:spacing w:after="60" w:before="160"/>
      </w:pPr>
      <w:r>
        <w:rPr>
          <w:b/>
          <w:bCs/>
          <w:color w:val="1F3864"/>
          <w:sz w:val="22"/>
          <w:szCs w:val="22"/>
        </w:rPr>
        <w:t xml:space="preserve">1. Distribution of Poverty Rates Across SD Zip Codes</w:t>
      </w:r>
    </w:p>
    <w:p>
      <w:pPr>
        <w:spacing w:after="80"/>
      </w:pPr>
      <w:r>
        <w:rPr>
          <w:i w:val="false"/>
          <w:iCs w:val="false"/>
          <w:sz w:val="19"/>
          <w:szCs w:val="19"/>
        </w:rPr>
        <w:t xml:space="preserve">Poverty rates across San Diego County's 99 measured zip codes are right-skewed (skew = 4.86): the mean (11.6%) sits well above the median (9.2%), with a small number of high-poverty zips pulling the distribution's tail out to 93.5%. Half of all zips fall between 5.9% and 13.4%. Countywide, the population-weighted average declined from 12.6% (2018) to 10.3% (2024), though this masks divergence at the zip level.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200"/>
        <w:gridCol w:w="1200"/>
        <w:gridCol w:w="1400"/>
      </w:tblGrid>
      <w:tr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Zip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City</w:t>
            </w:r>
          </w:p>
        </w:tc>
        <w:tc>
          <w:tcPr>
            <w:tcW w:type="dxa" w:w="1200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Poverty Rate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Population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Top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91934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Jacumba Hot Springs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52.5%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1,200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Top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91917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Dulzura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42.3%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749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Top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92066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Ranchita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29.7%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290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Top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92113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San Diego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21.8%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48,215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Top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92122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University City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21.2%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45,411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Bottom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92121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Sorrento Valley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3.0%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35,503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Bottom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92067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Rancho Santa Fe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3.3%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7,938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Bottom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91916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Descanso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3.8%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1,710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Bottom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92004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Borrego Springs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4.1%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3,007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Bottom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92127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San Diego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4.2%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50,555</w:t>
            </w:r>
          </w:p>
        </w:tc>
      </w:tr>
    </w:tbl>
    <w:p>
      <w:pPr>
        <w:spacing w:after="80"/>
      </w:pPr>
      <w:r>
        <w:rPr>
          <w:i/>
          <w:iCs/>
          <w:sz w:val="19"/>
          <w:szCs w:val="19"/>
        </w:rPr>
        <w:t xml:space="preserve">The extremes span under 5% in large, established communities (University City, Rancho Santa Fe) to over 50% in small rural communities (Jacumba Hot Springs, Dulzura). Caution: three of the five highest-poverty zips have populations under 1,300, where ACS estimates carry substantial statistical noise; 92113 and 92122 are the more reliable high-poverty findings given their much larger populations.</w:t>
      </w:r>
    </w:p>
    <w:p>
      <w:pPr>
        <w:spacing w:after="100" w:before="60"/>
        <w:jc w:val="center"/>
      </w:pPr>
      <w:r>
        <w:drawing>
          <wp:inline distT="0" distB="0" distL="0" distR="0">
            <wp:extent cx="5120640" cy="199527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9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160"/>
      </w:pPr>
      <w:r>
        <w:rPr>
          <w:b/>
          <w:bCs/>
          <w:color w:val="1F3864"/>
          <w:sz w:val="22"/>
          <w:szCs w:val="22"/>
        </w:rPr>
        <w:t xml:space="preserve">2. Range of Unemployment Rates</w:t>
      </w:r>
    </w:p>
    <w:p>
      <w:pPr>
        <w:spacing w:after="80"/>
      </w:pPr>
      <w:r>
        <w:rPr>
          <w:i w:val="false"/>
          <w:iCs w:val="false"/>
          <w:sz w:val="19"/>
          <w:szCs w:val="19"/>
        </w:rPr>
        <w:t xml:space="preserve">After removing 8 zips reporting exactly 0.0% unemployment (a small-sample artifact, not literal full employment), rates across the remaining 96 zips range from 0.3% to 21.6% (mean 6.3%, median 5.6%; skew 2.48 — right-skewed, but less extreme than poverty rate). The most reliable high-value finding is San Ysidro (92173, 12.8%, pop. 27,585); the most reliable low-value finding is Solana Beach (92075, 2.7%, pop. 11,944). Two raw extremes need caution: Pine Valley (91962, 21.6%) has a small population, and UCSD's campus zip (92093, 20.0%) reflects a mostly-student population rather than genuine economic distress.</w:t>
      </w:r>
    </w:p>
    <w:p>
      <w:pPr>
        <w:pStyle w:val="Heading2"/>
        <w:spacing w:after="60" w:before="160"/>
      </w:pPr>
      <w:r>
        <w:rPr>
          <w:b/>
          <w:bCs/>
          <w:color w:val="1F3864"/>
          <w:sz w:val="22"/>
          <w:szCs w:val="22"/>
        </w:rPr>
        <w:t xml:space="preserve">3. Housing Cost Patterns</w:t>
      </w:r>
    </w:p>
    <w:p>
      <w:pPr>
        <w:spacing w:after="80"/>
      </w:pPr>
      <w:r>
        <w:rPr>
          <w:i w:val="false"/>
          <w:iCs w:val="false"/>
          <w:sz w:val="19"/>
          <w:szCs w:val="19"/>
        </w:rPr>
        <w:t xml:space="preserve">This section reports raw housing costs, not "cost burden" (cost as a share of income) — household income data was not part of this pull. Median gross rent across 91 zips ranges $854–$3,501 (median $2,252); median owner cost with mortgage across 95 zips ranges $1,843–$4,001 (median $3,076). Both maximums are ACS reporting ceilings, not true highs: 4 zips (91914, 92014, 92067, 92091) are top-coded on rent, and 8 zips (92007, 92009, 92014, 92067, 92075, 92091, 92118, 92130) on owner cost — so the true cost gap for San Diego's most expensive zips is understated. The top-15 most expensive zips are concentrated in San Diego, Chula Vista, Carlsbad, Rancho Santa Fe, Del Mar, Coronado, Cardiff-by-the-Sea, and Solana Beach — overwhelmingly coastal and North County communities.</w:t>
      </w:r>
    </w:p>
    <w:p>
      <w:pPr>
        <w:spacing w:after="100" w:before="60"/>
        <w:jc w:val="center"/>
      </w:pPr>
      <w:r>
        <w:drawing>
          <wp:inline distT="0" distB="0" distL="0" distR="0">
            <wp:extent cx="5120640" cy="284785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160"/>
      </w:pPr>
      <w:r>
        <w:rPr>
          <w:b/>
          <w:bCs/>
          <w:color w:val="1F3864"/>
          <w:sz w:val="22"/>
          <w:szCs w:val="22"/>
        </w:rPr>
        <w:t xml:space="preserve">4. Demographic Indicators vs. Assistance Enrollment (Initial Observations)</w:t>
      </w:r>
    </w:p>
    <w:p>
      <w:pPr>
        <w:spacing w:after="80"/>
      </w:pPr>
      <w:r>
        <w:rPr>
          <w:i w:val="false"/>
          <w:iCs w:val="false"/>
          <w:sz w:val="19"/>
          <w:szCs w:val="19"/>
        </w:rPr>
        <w:t xml:space="preserve">Zip-level, per-capita correlations (preliminary, not causal): poverty rate vs. CalFresh $/capita, r = 0.12 (weak); vs. food pounds distributed/capita, r = 0.48 (moderate); vs. LIHEAP enrollment, r = 0.44 (moderate; n=89, Jan–Jul 2023 only, due to a known LIHEAP zip-capture gap). Food banks and LIHEAP track poverty reasonably well; CalFresh does not — the most notable finding of this analysis, suggesting enrollment gaps or eligibility mismatches worth further investigation. Poverty rate does not predict assistance uptake equally across program types.</w:t>
      </w:r>
    </w:p>
    <w:p>
      <w:pPr>
        <w:spacing w:after="100" w:before="60"/>
        <w:jc w:val="center"/>
      </w:pPr>
      <w:r>
        <w:drawing>
          <wp:inline distT="0" distB="0" distL="0" distR="0">
            <wp:extent cx="5120640" cy="167020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67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160"/>
      </w:pPr>
      <w:r>
        <w:rPr>
          <w:b/>
          <w:bCs/>
          <w:color w:val="1F3864"/>
          <w:sz w:val="22"/>
          <w:szCs w:val="22"/>
        </w:rPr>
        <w:t xml:space="preserve">Summary of Key Caveats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7"/>
          <w:szCs w:val="17"/>
        </w:rPr>
        <w:t xml:space="preserve">Zips under 2,000 population carry wide ACS margins of error; weight large zips more heavily in any ranking claim.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7"/>
          <w:szCs w:val="17"/>
        </w:rPr>
        <w:t xml:space="preserve">Housing costs are top-coded at both ends and understate true costs for the most expensive zips.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7"/>
          <w:szCs w:val="17"/>
        </w:rPr>
        <w:t xml:space="preserve">LIHEAP findings are built on a 7-month window (Jan–Jul 2023), not the full 2018–2025 study period.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7"/>
          <w:szCs w:val="17"/>
        </w:rPr>
        <w:t xml:space="preserve">All figures reflect the 2024 ACS5 vintage (a 2020–2024 rolling 5-year estimate), not conditions in any single year.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aef127759909318a4e316982ecb0d0c0a2641f.png"/><Relationship Id="rId8" Type="http://schemas.openxmlformats.org/officeDocument/2006/relationships/image" Target="media/bc1858dfffdd94e82f6026b9660f06739fe92849.png"/><Relationship Id="rId9" Type="http://schemas.openxmlformats.org/officeDocument/2006/relationships/image" Target="media/02f17c3e3ed3a091a51366acc9df423e557f721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2026-09-02T04:51:07.816Z</dcterms:created>
  <dcterms:modified xsi:type="dcterms:W3CDTF">2026-09-02T04:51:07.823Z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