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36"/>
          <w:szCs w:val="36"/>
        </w:rPr>
        <w:t xml:space="preserve">Time-Lag Analysis: Methodology Summary</w:t>
      </w:r>
    </w:p>
    <w:p>
      <w:pPr>
        <w:pBdr>
          <w:bottom w:val="single" w:color="2E6DA4" w:sz="12" w:space="6"/>
        </w:pBdr>
        <w:spacing w:after="160"/>
      </w:pPr>
      <w:r>
        <w:rPr>
          <w:color w:val="5A6472"/>
          <w:sz w:val="21"/>
          <w:szCs w:val="21"/>
        </w:rPr>
        <w:t xml:space="preserve">LIHEAP, CalFresh and Food Bank Distribution  ·  San Diego County  ·  February–October 2023</w:t>
      </w:r>
    </w:p>
    <w:p>
      <w:pPr>
        <w:keepNext/>
        <w:pBdr>
          <w:bottom w:val="single" w:color="C9D6E3" w:sz="6" w:space="2"/>
        </w:pBdr>
        <w:spacing w:after="80" w:before="200"/>
      </w:pPr>
      <w:r>
        <w:rPr>
          <w:b/>
          <w:bCs/>
          <w:color w:val="2E6DA4"/>
          <w:sz w:val="24"/>
          <w:szCs w:val="24"/>
        </w:rPr>
        <w:t xml:space="preserve">1  </w:t>
      </w:r>
      <w:r>
        <w:rPr>
          <w:b/>
          <w:bCs/>
          <w:color w:val="1F3A5F"/>
          <w:sz w:val="24"/>
          <w:szCs w:val="24"/>
        </w:rPr>
        <w:t xml:space="preserve">Lag Structure</w:t>
      </w:r>
    </w:p>
    <w:p>
      <w:pPr>
        <w:spacing w:after="100" w:line="264"/>
        <w:jc w:val="left"/>
      </w:pPr>
      <w:r>
        <w:t xml:space="preserve">For the “Generate time-lagged datasets” checkpoint, I built a dataset of LIHEAP enrollment by zip code and month, with three lag columns holding enrollment one, two and three months earlier. I standardized zip codes as five-digit strings and converted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Month_Year</w:t>
      </w:r>
      <w:r>
        <w:t xml:space="preserve"> to a monthly period so calendar-month arithmetic would work. I then built a complete grid of every zip code and every month from January through October 2023, extending three months past the last month of data so each lag has a row to land on, and merged enrollment onto it. Unreported months were left as missing rather than 0. Building the grid first ensures each lag is a true calendar month, not a value pulled from the wrong month when a zip code has a reporting gap.</w:t>
      </w:r>
    </w:p>
    <w:p>
      <w:pPr>
        <w:spacing w:after="100" w:line="264"/>
        <w:jc w:val="left"/>
      </w:pPr>
      <w:r>
        <w:t xml:space="preserve">The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add_lags</w:t>
      </w:r>
      <w:r>
        <w:t xml:space="preserve"> function shifts each month’s enrollment forward by </w:t>
      </w:r>
      <w:r>
        <w:rPr>
          <w:i/>
          <w:iCs/>
        </w:rPr>
        <w:t xml:space="preserve">k</w:t>
      </w:r>
      <w:r>
        <w:t xml:space="preserve"> months and merges it back on zip code and month to fill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LIHEAP_lag1</w:t>
      </w:r>
      <w:r>
        <w:t xml:space="preserve">–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LIHEAP_lag3</w:t>
      </w:r>
      <w:r>
        <w:t xml:space="preserve">. Rows with no lag values were removed, which dropped January 2023, so the final dataset covers February through October 2023. A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spot_check</w:t>
      </w:r>
      <w:r>
        <w:t xml:space="preserve"> function compared every lag against the raw enrollment from </w:t>
      </w:r>
      <w:r>
        <w:rPr>
          <w:i/>
          <w:iCs/>
        </w:rPr>
        <w:t xml:space="preserve">k</w:t>
      </w:r>
      <w:r>
        <w:t xml:space="preserve"> months earlier for zip codes 91901, 91910, 91944, 92059 and 92106 and found zero mismatches. The result was saved as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LIHEAP_lags.csv</w:t>
      </w:r>
      <w:r>
        <w:t xml:space="preserve">.</w:t>
      </w:r>
    </w:p>
    <w:p>
      <w:pPr>
        <w:keepNext/>
        <w:pBdr>
          <w:bottom w:val="single" w:color="C9D6E3" w:sz="6" w:space="2"/>
        </w:pBdr>
        <w:spacing w:after="80" w:before="200"/>
      </w:pPr>
      <w:r>
        <w:rPr>
          <w:b/>
          <w:bCs/>
          <w:color w:val="2E6DA4"/>
          <w:sz w:val="24"/>
          <w:szCs w:val="24"/>
        </w:rPr>
        <w:t xml:space="preserve">2  </w:t>
      </w:r>
      <w:r>
        <w:rPr>
          <w:b/>
          <w:bCs/>
          <w:color w:val="1F3A5F"/>
          <w:sz w:val="24"/>
          <w:szCs w:val="24"/>
        </w:rPr>
        <w:t xml:space="preserve">Edge Cases</w:t>
      </w:r>
    </w:p>
    <w:p>
      <w:pPr>
        <w:spacing w:after="100" w:line="264"/>
        <w:jc w:val="left"/>
      </w:pPr>
      <w:r>
        <w:t xml:space="preserve">Using the validated data window (January–July 2023), I used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np.select</w:t>
      </w:r>
      <w:r>
        <w:t xml:space="preserve"> to give each lag value one of four statuses: </w:t>
      </w:r>
      <w:r>
        <w:rPr>
          <w:b/>
          <w:bCs/>
        </w:rPr>
        <w:t xml:space="preserve">present</w:t>
      </w:r>
      <w:r>
        <w:t xml:space="preserve">; </w:t>
      </w:r>
      <w:r>
        <w:rPr>
          <w:b/>
          <w:bCs/>
        </w:rPr>
        <w:t xml:space="preserve">before_start</w:t>
      </w:r>
      <w:r>
        <w:t xml:space="preserve">, where the lag month precedes the data; </w:t>
      </w:r>
      <w:r>
        <w:rPr>
          <w:b/>
          <w:bCs/>
        </w:rPr>
        <w:t xml:space="preserve">after_end</w:t>
      </w:r>
      <w:r>
        <w:t xml:space="preserve">, where it follows the data; and </w:t>
      </w:r>
      <w:r>
        <w:rPr>
          <w:b/>
          <w:bCs/>
        </w:rPr>
        <w:t xml:space="preserve">zip_gap</w:t>
      </w:r>
      <w:r>
        <w:t xml:space="preserve">, where the month is inside the window but the zip code has no record. These roll up into two row-level flags: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Complete_Lags</w:t>
      </w:r>
      <w:r>
        <w:t xml:space="preserve"> (all three lags present) and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Edge</w:t>
      </w:r>
      <w:r>
        <w:t xml:space="preserve"> (start, end or core). A crosstab of the two confirmed the expected pattern: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1500"/>
        <w:gridCol w:w="6580"/>
      </w:tblGrid>
      <w:tr>
        <w:trPr>
          <w:tblHeader/>
        </w:trPr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3A5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Edge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3A5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3A5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Complete lags</w:t>
            </w:r>
          </w:p>
        </w:tc>
        <w:tc>
          <w:tcPr>
            <w:tcW w:type="dxa" w:w="658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3A5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start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173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58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February and March 2023, whose earliest lags fall before January 2023</w:t>
            </w:r>
          </w:p>
        </w:tc>
      </w:tr>
      <w:tr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end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165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58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September and October 2023, whose lags extend past July 2023</w:t>
            </w:r>
          </w:p>
        </w:tc>
      </w:tr>
      <w:tr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core</w:t>
            </w:r>
          </w:p>
        </w:tc>
        <w:tc>
          <w:tcPr>
            <w:tcW w:type="dxa" w:w="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514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346</w:t>
            </w:r>
          </w:p>
        </w:tc>
        <w:tc>
          <w:tcPr>
            <w:tcW w:type="dxa" w:w="658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The other 168 are missing at least one lag because of zip reporting gaps</w:t>
            </w:r>
          </w:p>
        </w:tc>
      </w:tr>
    </w:tbl>
    <w:p>
      <w:pPr>
        <w:spacing w:after="80"/>
      </w:pPr>
    </w:p>
    <w:p>
      <w:pPr>
        <w:spacing w:after="100" w:line="264"/>
        <w:jc w:val="left"/>
      </w:pPr>
      <w:r>
        <w:t xml:space="preserve">I separated these cases because missing values don’t all mean the same thing. Lags outside the data window are structural and can’t be filled, while zip gaps reflect a zip code’s own reporting history and may matter for data quality. Rows were flagged rather than dropped, so later analyses can use only complete-lag rows or every available pair, depending on the method.</w:t>
      </w:r>
    </w:p>
    <w:p>
      <w:pPr>
        <w:keepNext/>
        <w:pBdr>
          <w:bottom w:val="single" w:color="C9D6E3" w:sz="6" w:space="2"/>
        </w:pBdr>
        <w:spacing w:after="80" w:before="200"/>
      </w:pPr>
      <w:r>
        <w:rPr>
          <w:b/>
          <w:bCs/>
          <w:color w:val="2E6DA4"/>
          <w:sz w:val="24"/>
          <w:szCs w:val="24"/>
        </w:rPr>
        <w:t xml:space="preserve">3  </w:t>
      </w:r>
      <w:r>
        <w:rPr>
          <w:b/>
          <w:bCs/>
          <w:color w:val="1F3A5F"/>
          <w:sz w:val="24"/>
          <w:szCs w:val="24"/>
        </w:rPr>
        <w:t xml:space="preserve">Policy Flag Integration</w:t>
      </w:r>
    </w:p>
    <w:p>
      <w:pPr>
        <w:spacing w:after="100" w:line="264"/>
        <w:jc w:val="left"/>
      </w:pPr>
      <w:r>
        <w:t xml:space="preserve">I merged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Policy_Annotations.csv</w:t>
      </w:r>
      <w:r>
        <w:t xml:space="preserve"> from Assignment 4 into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LIHEAP_lags.csv</w:t>
      </w:r>
      <w:r>
        <w:t xml:space="preserve"> by month. Policy is countywide, so every zip code in a given month shares the same policy context. Before merging, I created 0/1 indicators on the full January 2018–August 2025 policy timeline, so February 2023 is compared with its true prior month: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  <w:color w:val="1F3A5F"/>
        </w:rPr>
        <w:t xml:space="preserve">Change flags: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Policy_Change</w:t>
      </w:r>
      <w:r>
        <w:t xml:space="preserve"> for each program, plus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Any_Policy_Change</w:t>
      </w:r>
      <w:r>
        <w:t xml:space="preserve">, marks the month active policies changed.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  <w:color w:val="1F3A5F"/>
        </w:rPr>
        <w:t xml:space="preserve">Period flags: </w:t>
      </w:r>
      <w:r>
        <w:t xml:space="preserve">Emergency Allotments ended (April 2023 onward), ABAWD work requirements resumed (July 2023 onward) and the FY2024 LIHEAP funding cut (October 2023).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  <w:color w:val="1F3A5F"/>
        </w:rPr>
        <w:t xml:space="preserve">Direction flags: </w:t>
      </w:r>
      <w:r>
        <w:t xml:space="preserve">LIHEAP’s expected increase or decrease.</w:t>
      </w:r>
    </w:p>
    <w:p>
      <w:pPr>
        <w:spacing w:after="60"/>
      </w:pPr>
    </w:p>
    <w:p>
      <w:pPr>
        <w:spacing w:after="100" w:line="264"/>
        <w:jc w:val="left"/>
      </w:pPr>
      <w:r>
        <w:t xml:space="preserve">Change flags mark only the month a shift begins, while period flags stay on afterward, separating the moment of a change from the period that follows. The left join used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validate="many_to_one"</w:t>
      </w:r>
      <w:r>
        <w:t xml:space="preserve">, so a duplicated month would raise an error instead of silently duplicating rows; all 852 rows matched. Grouping by month confirmed each flag had exactly one value per month and switched on in the expected months. The result was saved as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TimeLag_PolicyAnnotated.csv</w:t>
      </w:r>
      <w:r>
        <w:t xml:space="preserve">.</w:t>
      </w:r>
    </w:p>
    <w:p>
      <w:pPr>
        <w:keepNext/>
        <w:pBdr>
          <w:bottom w:val="single" w:color="C9D6E3" w:sz="6" w:space="2"/>
        </w:pBdr>
        <w:spacing w:after="80" w:before="200"/>
      </w:pPr>
      <w:r>
        <w:rPr>
          <w:b/>
          <w:bCs/>
          <w:color w:val="2E6DA4"/>
          <w:sz w:val="24"/>
          <w:szCs w:val="24"/>
        </w:rPr>
        <w:t xml:space="preserve">4  </w:t>
      </w:r>
      <w:r>
        <w:rPr>
          <w:b/>
          <w:bCs/>
          <w:color w:val="1F3A5F"/>
          <w:sz w:val="24"/>
          <w:szCs w:val="24"/>
        </w:rPr>
        <w:t xml:space="preserve">Preliminary Correlation Findings</w:t>
      </w:r>
    </w:p>
    <w:p>
      <w:pPr>
        <w:spacing w:after="100" w:line="264"/>
        <w:jc w:val="left"/>
      </w:pPr>
      <w:r>
        <w:t xml:space="preserve">I merged CalFresh dollars and food bank pounds distributed onto the dataset by zip code and month, treating food bank zeros as missing because they mostly reflected gaps in partner reporting. I correlated LIHEAP enrollment from 0–3 months earlier with each month’s values using Spearman’s ρ, since LIHEAP counts are small integers and CalFresh dollars are skewed.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93"/>
        <w:gridCol w:w="2493"/>
        <w:gridCol w:w="2494"/>
      </w:tblGrid>
      <w:tr>
        <w:trPr>
          <w:tblHeader/>
        </w:trPr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3A5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LIHEAP vs.</w:t>
            </w:r>
          </w:p>
        </w:tc>
        <w:tc>
          <w:tcPr>
            <w:tcW w:type="dxa" w:w="2493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3A5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Full period</w:t>
            </w:r>
          </w:p>
        </w:tc>
        <w:tc>
          <w:tcPr>
            <w:tcW w:type="dxa" w:w="2493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3A5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Policy-stable months</w:t>
            </w:r>
          </w:p>
        </w:tc>
        <w:tc>
          <w:tcPr>
            <w:tcW w:type="dxa" w:w="2494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3A5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Policy-change months</w:t>
            </w:r>
          </w:p>
        </w:tc>
      </w:tr>
      <w:tr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CalFresh ($)</w:t>
            </w:r>
          </w:p>
        </w:tc>
        <w:tc>
          <w:tcPr>
            <w:tcW w:type="dxa" w:w="2493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0.64–0.70</w:t>
            </w:r>
          </w:p>
        </w:tc>
        <w:tc>
          <w:tcPr>
            <w:tcW w:type="dxa" w:w="2493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0.65–0.74</w:t>
            </w:r>
          </w:p>
        </w:tc>
        <w:tc>
          <w:tcPr>
            <w:tcW w:type="dxa" w:w="2494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0.63–0.73</w:t>
            </w:r>
          </w:p>
        </w:tc>
      </w:tr>
      <w:tr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Food bank (lbs)</w:t>
            </w:r>
          </w:p>
        </w:tc>
        <w:tc>
          <w:tcPr>
            <w:tcW w:type="dxa" w:w="2493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0.46–0.47</w:t>
            </w:r>
          </w:p>
        </w:tc>
        <w:tc>
          <w:tcPr>
            <w:tcW w:type="dxa" w:w="2493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0.42–0.49</w:t>
            </w:r>
          </w:p>
        </w:tc>
        <w:tc>
          <w:tcPr>
            <w:tcW w:type="dxa" w:w="2494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0.44–0.51</w:t>
            </w:r>
          </w:p>
        </w:tc>
      </w:tr>
    </w:tbl>
    <w:p>
      <w:pPr>
        <w:spacing w:after="100" w:before="40"/>
      </w:pPr>
      <w:r>
        <w:rPr>
          <w:i/>
          <w:iCs/>
          <w:color w:val="5A6472"/>
          <w:sz w:val="18"/>
          <w:szCs w:val="18"/>
        </w:rPr>
        <w:t xml:space="preserve">Spearman ρ across lags 0–3. All correlations significant at p &lt; 0.001.</w:t>
      </w:r>
    </w:p>
    <w:p>
      <w:pPr>
        <w:spacing w:after="100" w:line="264"/>
        <w:jc w:val="left"/>
      </w:pPr>
      <w:r>
        <w:t xml:space="preserve">The correlations barely changed from lag 0 to lag 3, so the relationship reflects geography, with high-need zip codes ranking high on all three programs, rather than LIHEAP enrollment predicting later demand. Within-zip correlations, which remove differences in zip size, support this: food bank correlations fell to about zero, and CalFresh correlations turned negative at longer lags (−0.41 at lag 3). This likely reflects the end of CalFresh Emergency Allotments in April 2023, which lowered CalFresh dollars in every zip code at once.</w:t>
      </w:r>
    </w:p>
    <w:p>
      <w:pPr>
        <w:keepNext/>
        <w:pBdr>
          <w:bottom w:val="single" w:color="C9D6E3" w:sz="6" w:space="2"/>
        </w:pBdr>
        <w:spacing w:after="80" w:before="200"/>
      </w:pPr>
      <w:r>
        <w:rPr>
          <w:b/>
          <w:bCs/>
          <w:color w:val="2E6DA4"/>
          <w:sz w:val="24"/>
          <w:szCs w:val="24"/>
        </w:rPr>
        <w:t xml:space="preserve">5  </w:t>
      </w:r>
      <w:r>
        <w:rPr>
          <w:b/>
          <w:bCs/>
          <w:color w:val="1F3A5F"/>
          <w:sz w:val="24"/>
          <w:szCs w:val="24"/>
        </w:rPr>
        <w:t xml:space="preserve">Do Policy Periods Affect Correlation Patterns?</w:t>
      </w:r>
    </w:p>
    <w:p>
      <w:pPr>
        <w:spacing w:after="100" w:line="264"/>
        <w:jc w:val="left"/>
      </w:pPr>
      <w:r>
        <w:t xml:space="preserve">Pooled correlations were nearly identical in policy-stable months (March, May, June and August) and policy-change months (February, April, July, September and October), so the geographic relationship held steady through the 2023 policy changes. The one difference was that negative within-zip CalFresh correlations were stronger in policy-change months (−0.47 versus −0.15 at lag 3), consistent with a countywide policy shock, not LIHEAP, driving those values. These results are preliminary: each subset covers only 3–4 months, and a longer window would be needed to confirm them.</w:t>
      </w:r>
    </w:p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A6472"/>
        <w:sz w:val="16"/>
        <w:szCs w:val="16"/>
      </w:rPr>
      <w:t xml:space="preserve">Page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472"/>
        <w:sz w:val="16"/>
        <w:szCs w:val="16"/>
      </w:rPr>
      <w:t xml:space="preserve"> of </w:t>
    </w:r>
    <w:r>
      <w:rPr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  <w:rPr>
        <w:color w:val="2E6DA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2026-10-15T23:26:42.961Z</dcterms:created>
  <dcterms:modified xsi:type="dcterms:W3CDTF">2026-10-15T23:26:42.961Z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