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Avida knowledge creation and constructor theory</w:t>
      </w:r>
    </w:p>
    <w:p>
      <w:pPr>
        <w:pStyle w:val="Heading1"/>
      </w:pPr>
      <w:r>
        <w:t>1. Summary for the owner.</w:t>
      </w:r>
    </w:p>
    <w:p>
      <w:r>
        <w:t>A program can copy itself and compute NOT because its instructions work with a particular virtual machine. Change that machine's NAND operation to NOR and the same instructions can compute something different. The supplied experiments show this dependence in detail.</w:t>
      </w:r>
    </w:p>
    <w:p>
      <w:r>
        <w:t>The execution environment supplies operations, inputs, resources and consequences. Programs supply arrangements that exploit them. Continuing knowledge creation would require this combined system to produce new working arrangements, preserve useful results, and encounter problems beyond a finite catalogue. Changing rewards alone can produce a cycle of acquisition and loss.</w:t>
      </w:r>
    </w:p>
    <w:p>
      <w:r>
        <w:t>Constructor theory helps distinguish these roles. It also separates a transformation allowed by the rules from a capability the population currently possesses. Evolution can supply the missing program without changing which transformations the rules permit.</w:t>
      </w:r>
    </w:p>
    <w:p>
      <w:r>
        <w:t>The reported ablations identify dependencies of particular programs. They do not identify the minimum requirements of every possible knowledge-bearing system. Nor does successful calculation, even on an unfamiliar input, by itself show that a program creates explanations.</w:t>
      </w:r>
    </w:p>
    <w:p>
      <w:r>
        <w:t>The report specifies tests of inheritance, variation, task-dependent persistence, catalogue limits, reuse, and two proposed components of explanatory activity. The last two are restricted experimental proposals, not a constructor-theoretic recipe for creativity. No Avida experiments were run here. The supplied measurements remain supplied measurements; all new Avida outcomes below are predictions.</w:t>
      </w:r>
    </w:p>
    <w:p>
      <w:pPr>
        <w:pStyle w:val="Heading1"/>
      </w:pPr>
      <w:r>
        <w:t>2. The Avida set-up in constructor theory's terms.</w:t>
      </w:r>
    </w:p>
    <w:p>
      <w:r>
        <w:rPr>
          <w:b/>
        </w:rPr>
        <w:t>Checked [S1].</w:t>
      </w:r>
      <w:r>
        <w:t xml:space="preserve"> A constructor retains its capacity to cause a specified transformation. Constructor-theoretic possibility concerns whether accuracy and repeatability can approach perfection without a law-imposed limit. An observed finite run does not settle that limiting claim. </w:t>
      </w:r>
      <w:r>
        <w:rPr>
          <w:b/>
        </w:rPr>
        <w:t>Checked [S2].</w:t>
      </w:r>
      <w:r>
        <w:t xml:space="preserve"> An information medium supports an information variable whose attributes permit copying and permutations; merely storing a stable mark is insufficient. </w:t>
      </w:r>
      <w:r>
        <w:rPr>
          <w:b/>
        </w:rPr>
        <w:t>Checked [S3].</w:t>
      </w:r>
      <w:r>
        <w:t xml:space="preserve"> Knowledge is information with a causal role in maintaining its instantiation. None of these definitions requires a knowing subject.</w:t>
      </w:r>
    </w:p>
    <w:p>
      <w:r>
        <w:t>The following mapping is my interpretation of the supplied observations [B], not an additional measurement.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85" w:type="dxa"/>
              <w:left w:w="85" w:type="dxa"/>
              <w:bottom w:w="85" w:type="dxa"/>
              <w:right w:w="85" w:type="dxa"/>
            </w:tcMar>
            <w:shd w:fill="E3ECF3"/>
          </w:tcPr>
          <w:p>
            <w:pPr>
              <w:spacing w:after="40" w:before="40" w:line="245" w:lineRule="auto"/>
            </w:pPr>
            <w:r>
              <w:rPr>
                <w:b/>
                <w:sz w:val="21"/>
              </w:rPr>
              <w:t>Item</w:t>
            </w:r>
          </w:p>
        </w:tc>
        <w:tc>
          <w:tcPr>
            <w:tcW w:type="dxa" w:w="7488"/>
            <w:vAlign w:val="center"/>
            <w:tcMar>
              <w:top w:w="85" w:type="dxa"/>
              <w:left w:w="85" w:type="dxa"/>
              <w:bottom w:w="85" w:type="dxa"/>
              <w:right w:w="85" w:type="dxa"/>
            </w:tcMar>
            <w:shd w:fill="E3ECF3"/>
          </w:tcPr>
          <w:p>
            <w:pPr>
              <w:spacing w:after="40" w:before="40" w:line="245" w:lineRule="auto"/>
            </w:pPr>
            <w:r>
              <w:rPr>
                <w:b/>
                <w:sz w:val="21"/>
              </w:rPr>
              <w:t>Role in the specified task</w:t>
            </w:r>
          </w:p>
        </w:tc>
      </w:tr>
      <w:tr>
        <w:trPr>
          <w:cantSplit/>
        </w:trPr>
        <w:tc>
          <w:tcPr>
            <w:tcW w:type="dxa" w:w="2592"/>
            <w:vAlign w:val="center"/>
            <w:tcMar>
              <w:top w:w="85" w:type="dxa"/>
              <w:left w:w="85" w:type="dxa"/>
              <w:bottom w:w="85" w:type="dxa"/>
              <w:right w:w="85" w:type="dxa"/>
            </w:tcMar>
            <w:shd w:fill="FFFFFF"/>
          </w:tcPr>
          <w:p>
            <w:pPr>
              <w:spacing w:after="40" w:before="40" w:line="245" w:lineRule="auto"/>
            </w:pPr>
            <w:r>
              <w:rPr>
                <w:sz w:val="21"/>
              </w:rPr>
              <w:t>Logic calculation</w:t>
            </w:r>
          </w:p>
        </w:tc>
        <w:tc>
          <w:tcPr>
            <w:tcW w:type="dxa" w:w="7488"/>
            <w:vAlign w:val="center"/>
            <w:tcMar>
              <w:top w:w="85" w:type="dxa"/>
              <w:left w:w="85" w:type="dxa"/>
              <w:bottom w:w="85" w:type="dxa"/>
              <w:right w:w="85" w:type="dxa"/>
            </w:tcMar>
            <w:shd w:fill="FFFFFF"/>
          </w:tcPr>
          <w:p>
            <w:pPr>
              <w:spacing w:after="40" w:before="40" w:line="245" w:lineRule="auto"/>
            </w:pPr>
            <w:r>
              <w:rPr>
                <w:sz w:val="21"/>
              </w:rPr>
              <w:t>Transform input records and an available output register into a record satisfying the specified function; include allowed time, memory and side effects.</w:t>
            </w:r>
          </w:p>
        </w:tc>
      </w:tr>
      <w:tr>
        <w:trPr>
          <w:cantSplit/>
        </w:trPr>
        <w:tc>
          <w:tcPr>
            <w:tcW w:type="dxa" w:w="2592"/>
            <w:vAlign w:val="center"/>
            <w:tcMar>
              <w:top w:w="85" w:type="dxa"/>
              <w:left w:w="85" w:type="dxa"/>
              <w:bottom w:w="85" w:type="dxa"/>
              <w:right w:w="85" w:type="dxa"/>
            </w:tcMar>
            <w:shd w:fill="FFFFFF"/>
          </w:tcPr>
          <w:p>
            <w:pPr>
              <w:spacing w:after="40" w:before="40" w:line="245" w:lineRule="auto"/>
            </w:pPr>
            <w:r>
              <w:rPr>
                <w:sz w:val="21"/>
              </w:rPr>
              <w:t>Program replication</w:t>
            </w:r>
          </w:p>
        </w:tc>
        <w:tc>
          <w:tcPr>
            <w:tcW w:type="dxa" w:w="7488"/>
            <w:vAlign w:val="center"/>
            <w:tcMar>
              <w:top w:w="85" w:type="dxa"/>
              <w:left w:w="85" w:type="dxa"/>
              <w:bottom w:w="85" w:type="dxa"/>
              <w:right w:w="85" w:type="dxa"/>
            </w:tcMar>
            <w:shd w:fill="FFFFFF"/>
          </w:tcPr>
          <w:p>
            <w:pPr>
              <w:spacing w:after="40" w:before="40" w:line="245" w:lineRule="auto"/>
            </w:pPr>
            <w:r>
              <w:rPr>
                <w:sz w:val="21"/>
              </w:rPr>
              <w:t>Transform available memory into another executable instruction sequence, while preserving the capacity for further replication. Copying a sequence is distinct from executing it.</w:t>
            </w:r>
          </w:p>
        </w:tc>
      </w:tr>
      <w:tr>
        <w:trPr>
          <w:cantSplit/>
        </w:trPr>
        <w:tc>
          <w:tcPr>
            <w:tcW w:type="dxa" w:w="2592"/>
            <w:vAlign w:val="center"/>
            <w:tcMar>
              <w:top w:w="85" w:type="dxa"/>
              <w:left w:w="85" w:type="dxa"/>
              <w:bottom w:w="85" w:type="dxa"/>
              <w:right w:w="85" w:type="dxa"/>
            </w:tcMar>
            <w:shd w:fill="FFFFFF"/>
          </w:tcPr>
          <w:p>
            <w:pPr>
              <w:spacing w:after="40" w:before="40" w:line="245" w:lineRule="auto"/>
            </w:pPr>
            <w:r>
              <w:rPr>
                <w:sz w:val="21"/>
              </w:rPr>
              <w:t>Running program and virtual CPU</w:t>
            </w:r>
          </w:p>
        </w:tc>
        <w:tc>
          <w:tcPr>
            <w:tcW w:type="dxa" w:w="7488"/>
            <w:vAlign w:val="center"/>
            <w:tcMar>
              <w:top w:w="85" w:type="dxa"/>
              <w:left w:w="85" w:type="dxa"/>
              <w:bottom w:w="85" w:type="dxa"/>
              <w:right w:w="85" w:type="dxa"/>
            </w:tcMar>
            <w:shd w:fill="FFFFFF"/>
          </w:tcPr>
          <w:p>
            <w:pPr>
              <w:spacing w:after="40" w:before="40" w:line="245" w:lineRule="auto"/>
            </w:pPr>
            <w:r>
              <w:rPr>
                <w:sz w:val="21"/>
              </w:rPr>
              <w:t>Candidate approximate constructor for a calculation or replication task. Repeated execution and maintenance of capability require testing. A single successful output is insufficient.</w:t>
            </w:r>
          </w:p>
        </w:tc>
      </w:tr>
      <w:tr>
        <w:trPr>
          <w:cantSplit/>
        </w:trPr>
        <w:tc>
          <w:tcPr>
            <w:tcW w:type="dxa" w:w="2592"/>
            <w:vAlign w:val="center"/>
            <w:tcMar>
              <w:top w:w="85" w:type="dxa"/>
              <w:left w:w="85" w:type="dxa"/>
              <w:bottom w:w="85" w:type="dxa"/>
              <w:right w:w="85" w:type="dxa"/>
            </w:tcMar>
            <w:shd w:fill="FFFFFF"/>
          </w:tcPr>
          <w:p>
            <w:pPr>
              <w:spacing w:after="40" w:before="40" w:line="245" w:lineRule="auto"/>
            </w:pPr>
            <w:r>
              <w:rPr>
                <w:sz w:val="21"/>
              </w:rPr>
              <w:t>Memory holding instructions, registers, stacks and saved sequences</w:t>
            </w:r>
          </w:p>
        </w:tc>
        <w:tc>
          <w:tcPr>
            <w:tcW w:type="dxa" w:w="7488"/>
            <w:vAlign w:val="center"/>
            <w:tcMar>
              <w:top w:w="85" w:type="dxa"/>
              <w:left w:w="85" w:type="dxa"/>
              <w:bottom w:w="85" w:type="dxa"/>
              <w:right w:w="85" w:type="dxa"/>
            </w:tcMar>
            <w:shd w:fill="FFFFFF"/>
          </w:tcPr>
          <w:p>
            <w:pPr>
              <w:spacing w:after="40" w:before="40" w:line="245" w:lineRule="auto"/>
            </w:pPr>
            <w:r>
              <w:rPr>
                <w:sz w:val="21"/>
              </w:rPr>
              <w:t>Information media at the digital description level. A sequence's information attributes and its physical carrier are different things.</w:t>
            </w:r>
          </w:p>
        </w:tc>
      </w:tr>
      <w:tr>
        <w:trPr>
          <w:cantSplit/>
        </w:trPr>
        <w:tc>
          <w:tcPr>
            <w:tcW w:type="dxa" w:w="2592"/>
            <w:vAlign w:val="center"/>
            <w:tcMar>
              <w:top w:w="85" w:type="dxa"/>
              <w:left w:w="85" w:type="dxa"/>
              <w:bottom w:w="85" w:type="dxa"/>
              <w:right w:w="85" w:type="dxa"/>
            </w:tcMar>
            <w:shd w:fill="FFFFFF"/>
          </w:tcPr>
          <w:p>
            <w:pPr>
              <w:spacing w:after="40" w:before="40" w:line="245" w:lineRule="auto"/>
            </w:pPr>
            <w:r>
              <w:rPr>
                <w:sz w:val="21"/>
              </w:rPr>
              <w:t>Functionally organized, inherited instructions</w:t>
            </w:r>
          </w:p>
        </w:tc>
        <w:tc>
          <w:tcPr>
            <w:tcW w:type="dxa" w:w="7488"/>
            <w:vAlign w:val="center"/>
            <w:tcMar>
              <w:top w:w="85" w:type="dxa"/>
              <w:left w:w="85" w:type="dxa"/>
              <w:bottom w:w="85" w:type="dxa"/>
              <w:right w:w="85" w:type="dxa"/>
            </w:tcMar>
            <w:shd w:fill="FFFFFF"/>
          </w:tcPr>
          <w:p>
            <w:pPr>
              <w:spacing w:after="40" w:before="40" w:line="245" w:lineRule="auto"/>
            </w:pPr>
            <w:r>
              <w:rPr>
                <w:sz w:val="21"/>
              </w:rPr>
              <w:t>Candidate knowledge where their effects contribute to their continued instantiation under the stated environment and disturbances. A removable instruction may simply accompany that knowledge.</w:t>
            </w:r>
          </w:p>
        </w:tc>
      </w:tr>
    </w:tbl>
    <w:p>
      <w:pPr>
        <w:spacing w:after="20"/>
      </w:pPr>
    </w:p>
    <w:p>
      <w:r>
        <w:t xml:space="preserve">The </w:t>
      </w:r>
      <w:r>
        <w:rPr>
          <w:b/>
        </w:rPr>
        <w:t>execution environment has several roles</w:t>
      </w:r>
      <w:r>
        <w:t>, depending on the task boundary. Its implemented interpreter is part of the machinery that executes programs. Allocated memory and input records can be substrates. Resources and CPU opportunities enable execution. Reward rules couple performance to replication opportunities. The abstract instruction meanings describe rules; they are not themselves another physical machine. At the physical level, the host computer, software and power supply implement everything.</w:t>
      </w:r>
    </w:p>
    <w:p>
      <w:r>
        <w:t>For copying the instruction sequence, the interpreter can be treated as continuing support machinery. For reproducing the entire host-plus-interpreter system, it cannot: these runs do not reconstruct that system. Changing the boundary changes the reproduction claim.</w:t>
      </w:r>
    </w:p>
    <w:p>
      <w:r>
        <w:rPr>
          <w:b/>
        </w:rPr>
        <w:t>Supplied [B].</w:t>
      </w:r>
      <w:r>
        <w:t xml:space="preserve"> Task-specific ablations usually stop a task while replication continues. NAND-to-NOR substitution changes performance in ways predicted by circuit traces for 99% of reported program–task pairs. </w:t>
      </w:r>
      <w:r>
        <w:rPr>
          <w:b/>
        </w:rPr>
        <w:t>Inference:</w:t>
      </w:r>
      <w:r>
        <w:t xml:space="preserve"> the working unit includes both the arrangement of instructions and their interpretation. The same circuit occurring in many sequences shows that exact sequence identity is not always the level at which capability is preserved. Looking inside supplies discriminating evidence; examining the environment supplies another part of the explanation.</w:t>
      </w:r>
    </w:p>
    <w:p>
      <w:r>
        <w:rPr>
          <w:b/>
        </w:rPr>
        <w:t>Error correction needs a named error.</w:t>
      </w:r>
      <w:r>
        <w:t xml:space="preserve"> Exact copying fidelity, tolerance of instruction changes, and population-level removal of variants have different effects. The supplied 69–79% replication survival under point changes concerns tolerance. The reported absence of copy-checking instructions concerns repair. Computational selection can maintain functional arrangements by differential replication, but does not repair each damaged copy. The program determines whether and how it replicates; the scheduler, replacement process and rewards implement consequences. Neither side performs this process alone.</w:t>
      </w:r>
    </w:p>
    <w:p>
      <w:r>
        <w:rPr>
          <w:b/>
        </w:rPr>
        <w:t>Checked [S3].</w:t>
      </w:r>
      <w:r>
        <w:t xml:space="preserve"> Marletto's analysis concerns the possibility of accurate reproduction under laws without adaptation-specific design, with maintenance and error correction. </w:t>
      </w:r>
      <w:r>
        <w:rPr>
          <w:b/>
        </w:rPr>
        <w:t>Inference:</w:t>
      </w:r>
      <w:r>
        <w:t xml:space="preserve"> Avida's designed ancestor, interpreter and task evaluators are supplied machinery and knowledge. These experiments investigate further acquisition inside that machinery; they do not model the origin of every supporting component under undesigned physics.</w:t>
      </w:r>
    </w:p>
    <w:p>
      <w:r>
        <w:t>The reported failed random sequences, ablations and conservation statistics delimit these samples and interventions. They neither rule out different replication architectures nor make every task-performing fragment independently self-preserving. Task rewards, hitchhiking with replication instructions and neutral persistence remain distinct accounts to test.</w:t>
      </w:r>
    </w:p>
    <w:p>
      <w:pPr>
        <w:pStyle w:val="Heading1"/>
      </w:pPr>
      <w:r>
        <w:t>3. What a progressive knowledge-creating execution environment would need.</w:t>
      </w:r>
    </w:p>
    <w:p>
      <w:r>
        <w:rPr>
          <w:b/>
        </w:rPr>
        <w:t>Frozen question.</w:t>
      </w:r>
      <w:r>
        <w:t xml:space="preserve"> What enables successive acquisition of repeatable computational capabilities by this program population, with previous achievements available for further use, beyond exhaustion of a fixed task catalogue? This asks about production and purpose, not just classification.</w:t>
      </w:r>
    </w:p>
    <w:p>
      <w:r>
        <w:t xml:space="preserve">The jobs are: </w:t>
      </w:r>
      <w:r>
        <w:rPr>
          <w:b/>
        </w:rPr>
        <w:t>J1 given</w:t>
      </w:r>
      <w:r>
        <w:t xml:space="preserve">, acquire capabilities absent initially; </w:t>
      </w:r>
      <w:r>
        <w:rPr>
          <w:b/>
        </w:rPr>
        <w:t>J2 given</w:t>
      </w:r>
      <w:r>
        <w:t xml:space="preserve">, preserve knowledge despite instruction changes; </w:t>
      </w:r>
      <w:r>
        <w:rPr>
          <w:b/>
        </w:rPr>
        <w:t>J3 given</w:t>
      </w:r>
      <w:r>
        <w:t xml:space="preserve">, continue beyond a finite catalogue; </w:t>
      </w:r>
      <w:r>
        <w:rPr>
          <w:b/>
        </w:rPr>
        <w:t>J4 given</w:t>
      </w:r>
      <w:r>
        <w:t xml:space="preserve">, distinguish evolutionary acquisition from explanatory activity; </w:t>
      </w:r>
      <w:r>
        <w:rPr>
          <w:b/>
        </w:rPr>
        <w:t>J5 fixed</w:t>
      </w:r>
      <w:r>
        <w:t xml:space="preserve">, specify executable tests without inventing measurements. </w:t>
      </w:r>
      <w:r>
        <w:rPr>
          <w:b/>
        </w:rPr>
        <w:t>J6 added</w:t>
      </w:r>
      <w:r>
        <w:t>, demonstrate causal reuse of earlier achievements. J6 makes cumulative progress stricter than merely encountering successive novelties; conclusions depending on it are conditional.</w:t>
      </w:r>
    </w:p>
    <w:p>
      <w:r>
        <w:t>The numbered conditions below are proposed mechanisms or constraints. They are not jointly sufficient for indefinite progress. Hard-to-vary statuses and dependencies appear in section 8.</w:t>
      </w:r>
    </w:p>
    <w:p>
      <w:r>
        <w:rPr>
          <w:b/>
        </w:rPr>
        <w:t>C1. An inheritable carrier whose contents make a functional difference.</w:t>
      </w:r>
      <w:r>
        <w:t xml:space="preserve"> Some retained state must carry differences that affect subsequent capability. In this experiment the principal candidate is the instruction sequence executed by compatible machinery. Remove relevant distinctions and a sequence-specific capability cannot persist through that route. Swap exact opcodes for a consistent recoding and capability can remain. What matters is the executable relationship, not the particular alphabet. Registers or environmental records could be alternative carriers if their inheritance and causal use were demonstrated.</w:t>
      </w:r>
    </w:p>
    <w:p>
      <w:r>
        <w:rPr>
          <w:b/>
        </w:rPr>
        <w:t>C2. A route to previously unavailable functional arrangements.</w:t>
      </w:r>
      <w:r>
        <w:t xml:space="preserve"> For sequence-based acquisition from the task-free ancestor, instruction changes must reach arrangements that implement new capabilities. Point changes, insertions and deletions are available routes in the supplied design. Directed rewriting or recombination could substitute in another design. Removing one route need not remove variation; removing all routes freezes heritable sequence content. Changing frequencies of existing sequences alone does not generate a new sequence-based solution.</w:t>
      </w:r>
    </w:p>
    <w:p>
      <w:r>
        <w:rPr>
          <w:b/>
        </w:rPr>
        <w:t>C3. Functional preservation over the relevant disturbances.</w:t>
      </w:r>
      <w:r>
        <w:t xml:space="preserve"> Acquisition must survive long enough to be reused. Faithful copying, tolerance, computational selection and accessible external archives can contribute, with different boundaries and costs. Task rewards are one implementation, not a universal requirement. Under sustained instruction change and population replacement, the specific hypothesis is that task-dependent replication contributes to retention of the rewarded capability. No claim is made that zero rewards remove all selection or that every damaged copy disappears.</w:t>
      </w:r>
    </w:p>
    <w:p>
      <w:r>
        <w:rPr>
          <w:b/>
        </w:rPr>
        <w:t>C4. An extensible space of distinguishable tasks and adequate resources.</w:t>
      </w:r>
      <w:r>
        <w:t xml:space="preserve"> A counter restricted to 77 task identities cannot record indefinitely many distinct capabilities. Nor can a finite input alphabet of fixed-length Boolean tuples specify indefinitely many Boolean functions. Continuing beyond that ceiling requires extending task descriptions, interactions or input structure, together with sufficient storage and execution time. Fixed general rules can permit this; the rules need not keep changing. A moving finite-width number or a new task name need not extend the capability space.</w:t>
      </w:r>
    </w:p>
    <w:p>
      <w:r>
        <w:rPr>
          <w:b/>
        </w:rPr>
        <w:t>C5. Access to prior achievements and an onward route that can use them.</w:t>
      </w:r>
      <w:r>
        <w:t xml:space="preserve"> Under J6, retain executable constructions or transferable structure that contributes to acquiring later capabilities. Rewarded intermediates, neutral paths and population interactions are possible routes; no particular curriculum or modular architecture is compulsory. Remove access to all accumulated content and apparent progress becomes repeated discovery from a fresh start. A saved file counts as the system's memory only if the system can actually retrieve and use it.</w:t>
      </w:r>
    </w:p>
    <w:p>
      <w:pPr>
        <w:pStyle w:val="Heading1"/>
      </w:pPr>
      <w:r>
        <w:t>4. Evolutionary and explanatory knowledge creation.</w:t>
      </w:r>
    </w:p>
    <w:p>
      <w:r>
        <w:rPr>
          <w:b/>
        </w:rPr>
        <w:t>Supplied [B].</w:t>
      </w:r>
      <w:r>
        <w:t xml:space="preserve"> Task-free ancestry followed by task performance, heritable sequence differences and functional ablations supports acquisition of executable arrangements through digital evolution. The hand-written ancestor and reward catalogue remain inputs to that process. A list of desired outputs supplies a criterion without necessarily supplying the instruction sequence that attains it.</w:t>
      </w:r>
    </w:p>
    <w:p>
      <w:r>
        <w:rPr>
          <w:b/>
        </w:rPr>
        <w:t>Checked [S4].</w:t>
      </w:r>
      <w:r>
        <w:t xml:space="preserve"> Deutsch describes creativity as producing explanations through conjecture and criticism. His computational-universality argument leaves room for artificial implementations, while his discussion rejects equating an output test with an account of how explanatory activity works. These are his stated positions, not a diagnosis of these programs.</w:t>
      </w:r>
    </w:p>
    <w:p>
      <w:r>
        <w:rPr>
          <w:b/>
        </w:rPr>
        <w:t>C6. Representations that support counterfactual accounts of workings.</w:t>
      </w:r>
      <w:r>
        <w:t xml:space="preserve"> A proposed explanatory system would construct representations connecting parts of a process, use them to predict interventions, and expose those connections to criticism. Merely executing NAND, or an analyst explaining an evolved NAND circuit, does not locate that activity in the Avida program. A particular circuit notation is optional; its causal use needs examination. This is a proposed operational condition, not a published constructor-theoretic criterion sufficient to identify explanation.</w:t>
      </w:r>
    </w:p>
    <w:p>
      <w:r>
        <w:rPr>
          <w:b/>
        </w:rPr>
        <w:t>C7. Criticism that can change those representations and their uses.</w:t>
      </w:r>
      <w:r>
        <w:t xml:space="preserve"> The system would generate alternatives, seek discriminating cases, and revise what it uses when a case conflicts. Candidate explanations could be rejected without destroying the program that considers them. Revising problem formulations and criticism methods would extend this capacity; changing a chooser's reward alone does not demonstrate it. A finite experiment can probe components of this proposal, but cannot certify unrestricted explanatory creativity.</w:t>
      </w:r>
    </w:p>
    <w:p>
      <w:r>
        <w:t>In constructor-theoretic language, the proposed additional transformations concern physical records of conjectures, experiments, criticisms and subsequent constructions. Both kinds of creation require physical execution and retention. Nothing checked here supplies an implementation theorem for C6–C7. An Avida-like system might implement them if it has the required computation, memory and interfaces; NAND's Boolean expressiveness alone does not establish those conditions for this finite machine.</w:t>
      </w:r>
    </w:p>
    <w:p>
      <w:pPr>
        <w:pStyle w:val="Heading1"/>
      </w:pPr>
      <w:r>
        <w:t>5. Predictions to test.</w:t>
      </w:r>
    </w:p>
    <w:p>
      <w:r>
        <w:rPr>
          <w:b/>
        </w:rPr>
        <w:t>Common protocol.</w:t>
      </w:r>
      <w:r>
        <w:t xml:space="preserve"> Use the supplied 60 × 60 world, ancestor, instruction set and division settings, except where explicitly changed. Use seeds 1101, 1102 and 1103 for each new evolutionary treatment; run at most three processes simultaneously. Preserve configurations, input streams, actual births and executed instructions. Updates alone may conceal differences in replication opportunity.</w:t>
      </w:r>
    </w:p>
    <w:p>
      <w:r>
        <w:t xml:space="preserve">Keep evolution separate from assay. At updates 0, 1,000, …, assay every distinct living sequence in a fresh test CPU, weighted by its population count. Use 100 fixed input-stream seeds 2101–2200, identical across treatments, and a limit of 100,000 executed instructions per assay. Record replication, task outputs and timeouts separately. Define retained capability for this pilot as replication plus task success in at least 95 of 100 assays, represented by at least 1% of occupied cells at five consecutive snapshots. These are </w:t>
      </w:r>
      <w:r>
        <w:rPr>
          <w:b/>
        </w:rPr>
        <w:t>added operational thresholds</w:t>
      </w:r>
      <w:r>
        <w:t>, not constructor-theoretic constants; also report the raw values. Freeze this specification before examining new results.</w:t>
      </w:r>
    </w:p>
    <w:p>
      <w:r>
        <w:rPr>
          <w:b/>
        </w:rPr>
        <w:t>P0. Determine what the reload procedure changes before attributing differences to adaptive environments.</w:t>
      </w:r>
      <w:r>
        <w:t xml:space="preserve"> Run the fixed graded environment for 10,000 updates, in three paired arms: continuous; save every 1,000 updates without loading; save and reload every 1,000 updates using the current wrapper. Use identical configuration and starting seeds. Compare CPU execution, births, population capability profiles, resource histories, RNG handling and initial input states across boundaries. Repeat the same comparison for the resource-depletion environment. Saving alone should leave trajectories unchanged if it has no causal side effects; reloading is not assumed equivalent. Any divergence between continuous and save-only execution rejects that diagnostic assumption. Systematic capability or resource differences caused by reloading count against treating segmented runs as continuous evolution. Similar finite outcomes leave exact state equivalence unsettled. </w:t>
      </w:r>
      <w:r>
        <w:rPr>
          <w:b/>
        </w:rPr>
        <w:t>Checked [S5a]:</w:t>
      </w:r>
      <w:r>
        <w:t xml:space="preserve"> documented population saves contain sequences and statistics; the documentation is not a full-state checkpoint contract.</w:t>
      </w:r>
    </w:p>
    <w:p>
      <w:r>
        <w:rPr>
          <w:b/>
        </w:rPr>
        <w:t>P1 → C1. Separate sequence content from its interpreter.</w:t>
      </w:r>
      <w:r>
        <w:t xml:space="preserve"> Reassay all 23,332 supplied terminal sequences and the ancestor under normal execution, NAND-to-NOR execution, and a consistent recoding. For the recoding, apply the same bijection to every opcode in the sequences and interpreter dispatch, preserving modifier identities, costs and copy rules; use no instruction changes during assay. A fourth arm changes sequence opcodes without matching interpreter changes. This requires a dispatch-level C++ or existing harness change. Freeze traced predictions before executing each intervention. Consistent recoding should preserve traces after decoding; NAND-to-NOR should follow the transformed circuits. Mismatches count against that implementation-level account. Unchanged performance after a destructive ablation counts against the particular instruction's claimed necessity, not against every possible carrier. Total IO disablement is not the separating control: it destroys the entire measurement interface.</w:t>
      </w:r>
    </w:p>
    <w:p>
      <w:r>
        <w:rPr>
          <w:b/>
        </w:rPr>
        <w:t>P2 → C2. Remove variation rather than just substitutions.</w:t>
      </w:r>
      <w:r>
        <w:t xml:space="preserve"> Run the ancestor for 50,000 updates with fixed graded rewards in three arms: supplied changes; </w:t>
      </w:r>
      <w:r>
        <w:rPr>
          <w:rFonts w:ascii="Liberation Mono" w:hAnsi="Liberation Mono"/>
          <w:sz w:val="19"/>
        </w:rPr>
        <w:t>COPY_MUT_PROB=0</w:t>
      </w:r>
      <w:r>
        <w:t xml:space="preserve"> with the supplied 0.05 division insertion and deletion probabilities retained; all sequence-changing mechanisms disabled. In the last arm set </w:t>
      </w:r>
      <w:r>
        <w:rPr>
          <w:rFonts w:ascii="Liberation Mono" w:hAnsi="Liberation Mono"/>
          <w:sz w:val="19"/>
        </w:rPr>
        <w:t>COPY_MUT_PROB</w:t>
      </w:r>
      <w:r>
        <w:t xml:space="preserve">, </w:t>
      </w:r>
      <w:r>
        <w:rPr>
          <w:rFonts w:ascii="Liberation Mono" w:hAnsi="Liberation Mono"/>
          <w:sz w:val="19"/>
        </w:rPr>
        <w:t>DIVIDE_INS_PROB</w:t>
      </w:r>
      <w:r>
        <w:t xml:space="preserve"> and </w:t>
      </w:r>
      <w:r>
        <w:rPr>
          <w:rFonts w:ascii="Liberation Mono" w:hAnsi="Liberation Mono"/>
          <w:sz w:val="19"/>
        </w:rPr>
        <w:t>DIVIDE_DEL_PROB</w:t>
      </w:r>
      <w:r>
        <w:t xml:space="preserve"> to zero and audit every other copy, division, injection, point-change, recombination and import mechanism as inactive. Log every descendant sequence. The last arm should produce no new inherited instruction arrangement. A new one counts against the claimed closure of the implementation, requiring investigation of another writing route. A capability reproducibly acquired by an unchanged sequence instead challenges the assumption that the acquisition resides in sequence change; inspect inherited or transient state. No novelty in the active arms over this duration does not refute physical possibility.</w:t>
      </w:r>
    </w:p>
    <w:p>
      <w:r>
        <w:rPr>
          <w:b/>
        </w:rPr>
        <w:t>P3 → C3. Isolate the task's contribution to persistence.</w:t>
      </w:r>
      <w:r>
        <w:t xml:space="preserve"> From three independent source runs, take the lexicographically first EQU-performing sequence with an inheritable, length-preserving point replacement that removes EQU while retaining replication in the common assay. Enumerate positions, then alternative opcodes in instruction-set order, and take the first qualifying replacement. A temporary interpreter ablation is insufficient: descendants must inherit the changed sequence. If three such sources are unavailable, report the available set without substituting another task. Start each world with 1,800 originals and 1,800 edited copies in alternating cells. Run 10,000 updates in a 2 × 2 design: EQU exponent 5 or 0; supplied instruction changes or all changes disabled as in P2. All other task exponents are zero. Compare intact-program descendant frequencies, EQU retention and gestation times. Hypothesis: enabling EQU reward shifts replication toward the intact capability and contributes to retention under change. Absent or opposite shifts across matched comparisons count against that mechanism here. Persistence without EQU rewards rules out their necessity here, while leaving replication selection, tolerance and hitchhiking available. Measure actual replication consequences before attributing retention outcomes to selection.</w:t>
      </w:r>
    </w:p>
    <w:p>
      <w:r>
        <w:rPr>
          <w:b/>
        </w:rPr>
        <w:t>P4 → C4. Expose the finite-catalogue ceiling.</w:t>
      </w:r>
      <w:r>
        <w:t xml:space="preserve"> For each of the six ongoing environments, enumerate which of the 77 task identities were ever acquired, which remain available, and their exact input–output functions. Reject duplicate functions disguised by names. A repertoire count over 77 signals a changed counting rule or an implementation defect, not escape from the catalogue. Separately enumerate the 256 Boolean functions on three ordered bits; task identities may group several input permutations. A claim of additional distinct functions under that unchanged domain counts against the classification. Then specify a four-input parity task: changing the fourth bit must change its answer while the first three remain fixed. A test that never supplies that fourth bit cannot recognize a constructor for the task across both inputs. Adding an independent fourth input and an evaluator is an explicit interface extension, not a reward change. This tests the ceiling; success after extension would not establish indefinite creation. Longer input streams or arbitrary circuit descriptions are possible further extensions.</w:t>
      </w:r>
    </w:p>
    <w:p>
      <w:r>
        <w:rPr>
          <w:b/>
        </w:rPr>
        <w:t>P5 → C5. Distinguish causal reuse from successive turnover.</w:t>
      </w:r>
      <w:r>
        <w:t xml:space="preserve"> Test the narrower hypothesis that an inherited NAND computation contributes to later EQU acquisition. In the saved histories, select the first replicating NAND-performing sequence from each of three independent runs before any sampled sequence in that run performs EQU. Compare it with a length-preserving NAND-disabling point replacement, selected as in P3, and a sham replacement retaining NAND. Require unchanged input timing and replication time within 1%; report no eligible pair if that cannot be achieved. Inject 3,600 copies of each founder into separate worlds. Reward EQU only, exponent 5, and use the supplied instruction-change rates for 50,000 updates with the common seeds. Before inspecting outcomes, predict that removing the inherited NAND construction delays or prevents EQU acquisition and removes the corresponding intermediate from later circuits. Check ancestry and executed intermediate use, not just acquisition time. Comparable acquisition without using, restoring or replacing that inherited construction counts against the NAND-specific reuse claim. This leaves other accumulation routes available. For all six ongoing environments, the snapshot-by-task retention matrix must separately reveal loss, reacquisition and continued availability.</w:t>
      </w:r>
    </w:p>
    <w:p>
      <w:r>
        <w:rPr>
          <w:b/>
        </w:rPr>
        <w:t>Shared modified apparatus for P6–P7.</w:t>
      </w:r>
      <w:r>
        <w:t xml:space="preserve"> These are implementation specifications, not stock features or completed code. Add an isolated assay service with three requests: evaluate an unknown Boolean gate on a chosen pair; submit a candidate gate description; and submit a prediction. For each episode the hidden gate is NAND or NOR. Expose only observations on (0,0) and (1,1) initially. Candidate descriptions are program-generated acyclic Boolean expressions over two inputs using NAND nodes, with a 31-node budget. The program supplies predictions; the service interprets its expression for auditing only and never supplies or corrects one. Retain the candidate in a separate writable record and log its reads and writes. Use 50 episodes of each gate, shuffled with seed 3101; hide the episode index. Reset the program to the same saved sequence and clean state between episodes, while preserving state within each episode. No target identifier is exposed. Count probes and executed instructions. This service needs new IO handling, retained candidate storage and audit logging; it is not a new logic-task label alone.</w:t>
      </w:r>
    </w:p>
    <w:p>
      <w:r>
        <w:rPr>
          <w:b/>
        </w:rPr>
        <w:t>P6 → C6. Test whether the proposed model actually controls a counterfactual prediction.</w:t>
      </w:r>
      <w:r>
        <w:t xml:space="preserve"> Once a candidate is submitted, ask for predictions on (0,1) and (1,0), with no feedback before both responses. Intervene on the stored candidate, substituting an expression for the other gate; compare with a mere renaming of record identifiers. A system claimed to predict through this candidate should change predictions with its semantic content and remain invariant to identifier renaming. No such selective effect counts against that causal attribution. The initial diagonal observations fit both gates, so they alone cannot determine either off-diagonal answer. Include a literal lookup program as a control. If it passes the same criterion, that criterion identifies a narrower data-processing ability and cannot distinguish explanation. Successful task execution without a causally used candidate does not meet this proposed model-based account.</w:t>
      </w:r>
    </w:p>
    <w:p>
      <w:r>
        <w:rPr>
          <w:b/>
        </w:rPr>
        <w:t>P7 → C7. Test criticism and revision within one running program.</w:t>
      </w:r>
      <w:r>
        <w:t xml:space="preserve"> Use the same apparatus, now allowing one chosen query after the diagonal observations and then a revised candidate. Allow 100,000 instructions and prohibit replication during each episode. Reward only after the two final predictions, so internal revision is not differential replication of whole programs. Compare intact execution, an intervention blocking candidate-record writes after the first submission, and an equal-cost sham write block on an unused record. Freeze the prediction that the program chooses an off-diagonal query, revises a contradicted candidate, and changes its subsequent predictions accordingly; the write block should specifically prevent that revision. Repeating a diagonal query yields no distinguishing information. Absence of targeted revision counts against the proposed mechanism. If a fixed lookup-and-update control also passes, report active discrimination and memory updating only. This small apparatus cannot separate all explanatory algorithms from non-explanatory ones; a prewritten gate selector already embodies the designer's solution.</w:t>
      </w:r>
    </w:p>
    <w:p>
      <w:pPr>
        <w:pStyle w:val="Heading1"/>
      </w:pPr>
      <w:r>
        <w:t>6. Where constructor theory, as published, does not settle it.</w:t>
      </w:r>
    </w:p>
    <w:p>
      <w:r>
        <w:rPr>
          <w:b/>
        </w:rPr>
        <w:t>Checked [S1–S3].</w:t>
      </w:r>
      <w:r>
        <w:t xml:space="preserve"> The cited foundational treatments distinguish permitted constructions from particular histories and characterize information and maintenance. </w:t>
      </w:r>
      <w:r>
        <w:rPr>
          <w:b/>
        </w:rPr>
        <w:t>Inference from those texts:</w:t>
      </w:r>
      <w:r>
        <w:t xml:space="preserve"> they do not derive which reward schedule this population will follow to new capabilities, a runtime bound for discovery, or a sufficient algorithm for indefinite accumulation.</w:t>
      </w:r>
    </w:p>
    <w:p>
      <w:r>
        <w:rPr>
          <w:b/>
        </w:rPr>
        <w:t>Checked [S4].</w:t>
      </w:r>
      <w:r>
        <w:t xml:space="preserve"> Deutsch's discussion identifies creating explanations as the target and treats its implementation as an unresolved problem in that discussion. </w:t>
      </w:r>
      <w:r>
        <w:rPr>
          <w:b/>
        </w:rPr>
        <w:t>Inference:</w:t>
      </w:r>
      <w:r>
        <w:t xml:space="preserve"> C6–C7 are experiments on proposed components, not consequences that follow from constructor theory's definition of knowledge.</w:t>
      </w:r>
    </w:p>
    <w:p>
      <w:r>
        <w:t>The six environments can reveal effects of reward structure, resource competition and curriculum within their defined task space. Their novelty counts alone cannot resolve whether the system can continue creating knowledge outside it. Growing a reward list does not extend that list's eventual boundary. Endless changing outputs can also occur without retained capabilities.</w:t>
      </w:r>
    </w:p>
    <w:p>
      <w:r>
        <w:t>The elimination test needs its quantifier stated. Removing one instruction can stop this program's transformation; removing every available implementation is another demand. The reported alternative circuits already prevent identifying one observed recipe with the unique possible recipe. Single and pair ablations do not examine every collective deletion or compensating change.</w:t>
      </w:r>
    </w:p>
    <w:p>
      <w:r>
        <w:t>The checked texts and current research index [S6] are a bounded literature check. Absence of a solution in this check is not a claim that every publication has been searched. No finite run settles indefinite progress, universal explanatory reach or an arbitrarily accurate constructor limit.</w:t>
      </w:r>
    </w:p>
    <w:p>
      <w:pPr>
        <w:pStyle w:val="Heading1"/>
      </w:pPr>
      <w:r>
        <w:t>7. Sources.</w:t>
      </w:r>
    </w:p>
    <w:p>
      <w:r>
        <w:rPr>
          <w:b/>
          <w:sz w:val="20"/>
        </w:rPr>
        <w:t>[B] Checked as supplied text, not as remeasured data.</w:t>
      </w:r>
      <w:r>
        <w:rPr>
          <w:sz w:val="20"/>
        </w:rPr>
        <w:t xml:space="preserve"> The attached brief, dated 30 September 2026. Its statistics, design with six environments and earlier proposals are project claims. No populations, raw measurements or earlier conversations were available here.</w:t>
      </w:r>
    </w:p>
    <w:p>
      <w:r>
        <w:rPr>
          <w:b/>
          <w:sz w:val="20"/>
        </w:rPr>
        <w:t>[S1] Checked.</w:t>
      </w:r>
      <w:r>
        <w:rPr>
          <w:sz w:val="20"/>
        </w:rPr>
        <w:t xml:space="preserve"> David Deutsch, </w:t>
      </w:r>
      <w:r>
        <w:rPr>
          <w:i/>
          <w:sz w:val="20"/>
        </w:rPr>
        <w:t>Constructor Theory</w:t>
      </w:r>
      <w:r>
        <w:rPr>
          <w:sz w:val="20"/>
        </w:rPr>
        <w:t xml:space="preserve">, 2012 preprint, published in </w:t>
      </w:r>
      <w:r>
        <w:rPr>
          <w:i/>
          <w:sz w:val="20"/>
        </w:rPr>
        <w:t>Synthese</w:t>
      </w:r>
      <w:r>
        <w:rPr>
          <w:sz w:val="20"/>
        </w:rPr>
        <w:t xml:space="preserve"> (2013), especially sections 1.1, 2.14–2.15 and 3.2. </w:t>
      </w:r>
      <w:hyperlink r:id="rId9">
        <w:r>
          <w:rPr>
            <w:color w:val="244A70"/>
            <w:sz w:val="19"/>
          </w:rPr>
          <w:t>https://arxiv.org/pdf/1210.7439</w:t>
        </w:r>
      </w:hyperlink>
    </w:p>
    <w:p>
      <w:r>
        <w:rPr>
          <w:b/>
          <w:sz w:val="20"/>
        </w:rPr>
        <w:t>[S2] Checked.</w:t>
      </w:r>
      <w:r>
        <w:rPr>
          <w:sz w:val="20"/>
        </w:rPr>
        <w:t xml:space="preserve"> David Deutsch and Chiara Marletto, </w:t>
      </w:r>
      <w:r>
        <w:rPr>
          <w:i/>
          <w:sz w:val="20"/>
        </w:rPr>
        <w:t>Constructor Theory of Information</w:t>
      </w:r>
      <w:r>
        <w:rPr>
          <w:sz w:val="20"/>
        </w:rPr>
        <w:t xml:space="preserve">, </w:t>
      </w:r>
      <w:r>
        <w:rPr>
          <w:i/>
          <w:sz w:val="20"/>
        </w:rPr>
        <w:t>Proceedings of the Royal Society A</w:t>
      </w:r>
      <w:r>
        <w:rPr>
          <w:sz w:val="20"/>
        </w:rPr>
        <w:t xml:space="preserve"> 471, 20140540 (2015), sections 3–6. </w:t>
      </w:r>
      <w:hyperlink r:id="rId10">
        <w:r>
          <w:rPr>
            <w:color w:val="244A70"/>
            <w:sz w:val="19"/>
          </w:rPr>
          <w:t>https://www.constructortheory.org/wp-content/uploads/2016/03/ct-info.pdf</w:t>
        </w:r>
      </w:hyperlink>
    </w:p>
    <w:p>
      <w:r>
        <w:rPr>
          <w:b/>
          <w:sz w:val="20"/>
        </w:rPr>
        <w:t>[S3] Checked.</w:t>
      </w:r>
      <w:r>
        <w:rPr>
          <w:sz w:val="20"/>
        </w:rPr>
        <w:t xml:space="preserve"> Chiara Marletto, </w:t>
      </w:r>
      <w:r>
        <w:rPr>
          <w:i/>
          <w:sz w:val="20"/>
        </w:rPr>
        <w:t>Constructor Theory of Life</w:t>
      </w:r>
      <w:r>
        <w:rPr>
          <w:sz w:val="20"/>
        </w:rPr>
        <w:t xml:space="preserve">, November 2014 preprint, sections 3.1–3.3. </w:t>
      </w:r>
      <w:hyperlink r:id="rId11">
        <w:r>
          <w:rPr>
            <w:color w:val="244A70"/>
            <w:sz w:val="19"/>
          </w:rPr>
          <w:t>https://arxiv.org/pdf/1407.0681</w:t>
        </w:r>
      </w:hyperlink>
    </w:p>
    <w:p>
      <w:r>
        <w:rPr>
          <w:b/>
          <w:sz w:val="20"/>
        </w:rPr>
        <w:t>[S4] Checked.</w:t>
      </w:r>
      <w:r>
        <w:rPr>
          <w:sz w:val="20"/>
        </w:rPr>
        <w:t xml:space="preserve"> David Deutsch, </w:t>
      </w:r>
      <w:r>
        <w:rPr>
          <w:i/>
          <w:sz w:val="20"/>
        </w:rPr>
        <w:t>Creative blocks</w:t>
      </w:r>
      <w:r>
        <w:rPr>
          <w:sz w:val="20"/>
        </w:rPr>
        <w:t xml:space="preserve"> (2012), author-written essay, especially the discussion of creativity, conjecture, criticism and output specifications. </w:t>
      </w:r>
      <w:hyperlink r:id="rId12">
        <w:r>
          <w:rPr>
            <w:color w:val="244A70"/>
            <w:sz w:val="19"/>
          </w:rPr>
          <w:t>https://aeon.co/essays/how-close-are-we-to-creating-artificial-intelligence</w:t>
        </w:r>
      </w:hyperlink>
    </w:p>
    <w:p>
      <w:r>
        <w:rPr>
          <w:b/>
          <w:sz w:val="20"/>
        </w:rPr>
        <w:t>[S5a] Checked, public documentation only.</w:t>
      </w:r>
      <w:r>
        <w:rPr>
          <w:sz w:val="20"/>
        </w:rPr>
        <w:t xml:space="preserve"> Avida, </w:t>
      </w:r>
      <w:r>
        <w:rPr>
          <w:i/>
          <w:sz w:val="20"/>
        </w:rPr>
        <w:t>List of actions</w:t>
      </w:r>
      <w:r>
        <w:rPr>
          <w:sz w:val="20"/>
        </w:rPr>
        <w:t xml:space="preserve"> and </w:t>
      </w:r>
      <w:r>
        <w:rPr>
          <w:i/>
          <w:sz w:val="20"/>
        </w:rPr>
        <w:t>Events file</w:t>
      </w:r>
      <w:r>
        <w:rPr>
          <w:sz w:val="20"/>
        </w:rPr>
        <w:t xml:space="preserve">: population saves, reaction changes and event timing. </w:t>
      </w:r>
      <w:hyperlink r:id="rId13">
        <w:r>
          <w:rPr>
            <w:color w:val="244A70"/>
            <w:sz w:val="19"/>
          </w:rPr>
          <w:t>https://github.com/devosoft/avida/wiki/List-of-actions</w:t>
        </w:r>
      </w:hyperlink>
      <w:r>
        <w:rPr>
          <w:sz w:val="20"/>
        </w:rPr>
        <w:t xml:space="preserve"> ; </w:t>
      </w:r>
      <w:hyperlink r:id="rId14">
        <w:r>
          <w:rPr>
            <w:color w:val="244A70"/>
            <w:sz w:val="19"/>
          </w:rPr>
          <w:t>https://github.com/devosoft/avida/wiki/Events-file</w:t>
        </w:r>
      </w:hyperlink>
    </w:p>
    <w:p>
      <w:r>
        <w:rPr>
          <w:b/>
          <w:sz w:val="20"/>
        </w:rPr>
        <w:t>[S5b] Checked, public documentation only.</w:t>
      </w:r>
      <w:r>
        <w:rPr>
          <w:sz w:val="20"/>
        </w:rPr>
        <w:t xml:space="preserve"> Avida, </w:t>
      </w:r>
      <w:r>
        <w:rPr>
          <w:i/>
          <w:sz w:val="20"/>
        </w:rPr>
        <w:t>Environment file</w:t>
      </w:r>
      <w:r>
        <w:rPr>
          <w:sz w:val="20"/>
        </w:rPr>
        <w:t xml:space="preserve">, </w:t>
      </w:r>
      <w:r>
        <w:rPr>
          <w:i/>
          <w:sz w:val="20"/>
        </w:rPr>
        <w:t>Analyze mode — testing a genome sequence</w:t>
      </w:r>
      <w:r>
        <w:rPr>
          <w:sz w:val="20"/>
        </w:rPr>
        <w:t xml:space="preserve">, and public master </w:t>
      </w:r>
      <w:r>
        <w:rPr>
          <w:rFonts w:ascii="Liberation Mono" w:hAnsi="Liberation Mono"/>
          <w:sz w:val="20"/>
        </w:rPr>
        <w:t>avida.cfg</w:t>
      </w:r>
      <w:r>
        <w:rPr>
          <w:sz w:val="20"/>
        </w:rPr>
        <w:t xml:space="preserve">: reward examples, test-CPU analysis and separately named copy/division change parameters. These do not substitute for inspecting commit 47f13dad. </w:t>
      </w:r>
      <w:hyperlink r:id="rId15">
        <w:r>
          <w:rPr>
            <w:color w:val="244A70"/>
            <w:sz w:val="19"/>
          </w:rPr>
          <w:t>https://github.com/devosoft/avida/wiki/Environment-file</w:t>
        </w:r>
      </w:hyperlink>
      <w:r>
        <w:rPr>
          <w:sz w:val="20"/>
        </w:rPr>
        <w:t xml:space="preserve"> ; </w:t>
      </w:r>
      <w:hyperlink r:id="rId16">
        <w:r>
          <w:rPr>
            <w:color w:val="244A70"/>
            <w:sz w:val="19"/>
          </w:rPr>
          <w:t>https://github.com/devosoft/avida/wiki/Analyze-mode---testing-a-genome-sequence</w:t>
        </w:r>
      </w:hyperlink>
      <w:r>
        <w:rPr>
          <w:sz w:val="20"/>
        </w:rPr>
        <w:t xml:space="preserve"> ; </w:t>
      </w:r>
      <w:hyperlink r:id="rId17">
        <w:r>
          <w:rPr>
            <w:color w:val="244A70"/>
            <w:sz w:val="19"/>
          </w:rPr>
          <w:t>https://github.com/devosoft/avida/blob/master/avida-core/support/config/avida.cfg</w:t>
        </w:r>
      </w:hyperlink>
    </w:p>
    <w:p>
      <w:r>
        <w:rPr>
          <w:b/>
          <w:sz w:val="20"/>
        </w:rPr>
        <w:t>[S6] Checked.</w:t>
      </w:r>
      <w:r>
        <w:rPr>
          <w:sz w:val="20"/>
        </w:rPr>
        <w:t xml:space="preserve"> Constructor Theory project research index, consulted 30 September 2026. </w:t>
      </w:r>
      <w:hyperlink r:id="rId18">
        <w:r>
          <w:rPr>
            <w:color w:val="244A70"/>
            <w:sz w:val="19"/>
          </w:rPr>
          <w:t>https://www.constructortheory.org/research/</w:t>
        </w:r>
      </w:hyperlink>
    </w:p>
    <w:p>
      <w:r>
        <w:rPr>
          <w:b/>
          <w:sz w:val="20"/>
        </w:rPr>
        <w:t>[S7] Checked, bibliographic page only.</w:t>
      </w:r>
      <w:r>
        <w:rPr>
          <w:sz w:val="20"/>
        </w:rPr>
        <w:t xml:space="preserve"> Chiara Marletto, </w:t>
      </w:r>
      <w:r>
        <w:rPr>
          <w:i/>
          <w:sz w:val="20"/>
        </w:rPr>
        <w:t>The Science of Can and Can't</w:t>
      </w:r>
      <w:r>
        <w:rPr>
          <w:sz w:val="20"/>
        </w:rPr>
        <w:t xml:space="preserve">. The book's elimination-test passage was not inspected; that attribution remains supplied by [B]. No book quotation is used. </w:t>
      </w:r>
      <w:hyperlink r:id="rId19">
        <w:r>
          <w:rPr>
            <w:color w:val="244A70"/>
            <w:sz w:val="19"/>
          </w:rPr>
          <w:t>https://www.chiaramarletto.com/books/the-science-of-can-and-cant/</w:t>
        </w:r>
      </w:hyperlink>
    </w:p>
    <w:p>
      <w:pPr>
        <w:pStyle w:val="Heading1"/>
      </w:pPr>
      <w:r>
        <w:t>8. Assumptions and what you are unsure of.</w:t>
      </w:r>
    </w:p>
    <w:p>
      <w:r>
        <w:t>I could not run Avida here or inspect the exact commit's implementation. All P0–P7 Avida interventions remain unexecuted. A local exhaustive Boolean check enumerated 256 three-bit functions and eight pairs exposing four-input parity's dependence on the fourth bit. It also checked NAND/NOR's diagonal ambiguity, off-diagonal separation, and that a fixed discriminator and a completed lookup table both pass the output task. These are checks of the proposed test logic, not Avida measurements.</w:t>
      </w:r>
    </w:p>
    <w:p>
      <w:r>
        <w:t>Checked documentation [S5a–S5b] supports the named configuration concepts; Claude must inspect their behavior at the specified commit before interpreting a run. Zero reward may still leave reaction bookkeeping or resource effects. A task tally may not measure reliable computation across inputs. The initial input seeds must actually reach the test CPU; use a specified harness extension if the stock analysis interface cannot set them. The 1% matching tolerance in P5 limits, but does not remove, effects of a point change on unrelated capabilities.</w:t>
      </w:r>
    </w:p>
    <w:p>
      <w:r>
        <w:rPr>
          <w:b/>
        </w:rPr>
        <w:t>Hard-to-vary record.</w:t>
      </w:r>
      <w:r>
        <w:t xml:space="preserve"> All C1–C7 are in scope and </w:t>
      </w:r>
      <w:r>
        <w:rPr>
          <w:b/>
        </w:rPr>
        <w:t>built</w:t>
      </w:r>
      <w:r>
        <w:t xml:space="preserve"> here: their provenance is reasoned construction, not empirical calibration. The supplied measurements are </w:t>
      </w:r>
      <w:r>
        <w:rPr>
          <w:b/>
        </w:rPr>
        <w:t>claimed</w:t>
      </w:r>
      <w:r>
        <w:t xml:space="preserve"> evidence; definitions are </w:t>
      </w:r>
      <w:r>
        <w:rPr>
          <w:b/>
        </w:rPr>
        <w:t>checked source claims</w:t>
      </w:r>
      <w:r>
        <w:t xml:space="preserve">; logical limits and proposed mechanisms are </w:t>
      </w:r>
      <w:r>
        <w:rPr>
          <w:b/>
        </w:rPr>
        <w:t>worked out</w:t>
      </w:r>
      <w:r>
        <w:t>. No condition is owner-fixed outside the test.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4925"/>
        <w:gridCol w:w="4464"/>
      </w:tblGrid>
      <w:tr>
        <w:trPr>
          <w:cantSplit/>
          <w:tblHeader/>
        </w:trPr>
        <w:tc>
          <w:tcPr>
            <w:tcW w:type="dxa" w:w="691"/>
            <w:vAlign w:val="center"/>
            <w:tcMar>
              <w:top w:w="85" w:type="dxa"/>
              <w:left w:w="85" w:type="dxa"/>
              <w:bottom w:w="85" w:type="dxa"/>
              <w:right w:w="85" w:type="dxa"/>
            </w:tcMar>
            <w:shd w:fill="E3ECF3"/>
          </w:tcPr>
          <w:p>
            <w:pPr>
              <w:spacing w:after="40" w:before="40" w:line="245" w:lineRule="auto"/>
              <w:jc w:val="center"/>
            </w:pPr>
            <w:r>
              <w:rPr>
                <w:b/>
                <w:sz w:val="21"/>
              </w:rPr>
              <w:t>Part</w:t>
            </w:r>
          </w:p>
        </w:tc>
        <w:tc>
          <w:tcPr>
            <w:tcW w:type="dxa" w:w="4925"/>
            <w:vAlign w:val="center"/>
            <w:tcMar>
              <w:top w:w="85" w:type="dxa"/>
              <w:left w:w="85" w:type="dxa"/>
              <w:bottom w:w="85" w:type="dxa"/>
              <w:right w:w="85" w:type="dxa"/>
            </w:tcMar>
            <w:shd w:fill="E3ECF3"/>
          </w:tcPr>
          <w:p>
            <w:pPr>
              <w:spacing w:after="40" w:before="40" w:line="245" w:lineRule="auto"/>
            </w:pPr>
            <w:r>
              <w:rPr>
                <w:b/>
                <w:sz w:val="21"/>
              </w:rPr>
              <w:t>Status and what holds it</w:t>
            </w:r>
          </w:p>
        </w:tc>
        <w:tc>
          <w:tcPr>
            <w:tcW w:type="dxa" w:w="4464"/>
            <w:vAlign w:val="center"/>
            <w:tcMar>
              <w:top w:w="85" w:type="dxa"/>
              <w:left w:w="85" w:type="dxa"/>
              <w:bottom w:w="85" w:type="dxa"/>
              <w:right w:w="85" w:type="dxa"/>
            </w:tcMar>
            <w:shd w:fill="E3ECF3"/>
          </w:tcPr>
          <w:p>
            <w:pPr>
              <w:spacing w:after="40" w:before="40" w:line="245" w:lineRule="auto"/>
            </w:pPr>
            <w:r>
              <w:rPr>
                <w:b/>
                <w:sz w:val="21"/>
              </w:rPr>
              <w:t>Dependency or missing test</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C1</w:t>
            </w:r>
          </w:p>
        </w:tc>
        <w:tc>
          <w:tcPr>
            <w:tcW w:type="dxa" w:w="4925"/>
            <w:vAlign w:val="center"/>
            <w:tcMar>
              <w:top w:w="85" w:type="dxa"/>
              <w:left w:w="85" w:type="dxa"/>
              <w:bottom w:w="85" w:type="dxa"/>
              <w:right w:w="85" w:type="dxa"/>
            </w:tcMar>
            <w:shd w:fill="FFFFFF"/>
          </w:tcPr>
          <w:p>
            <w:pPr>
              <w:spacing w:after="40" w:before="40" w:line="245" w:lineRule="auto"/>
            </w:pPr>
            <w:r>
              <w:rPr>
                <w:sz w:val="21"/>
              </w:rPr>
              <w:t>Held jointly with executable interpretation for the supplied sequence-specific capabilities. Exact opcode alphabet is loose.</w:t>
            </w:r>
          </w:p>
        </w:tc>
        <w:tc>
          <w:tcPr>
            <w:tcW w:type="dxa" w:w="4464"/>
            <w:vAlign w:val="center"/>
            <w:tcMar>
              <w:top w:w="85" w:type="dxa"/>
              <w:left w:w="85" w:type="dxa"/>
              <w:bottom w:w="85" w:type="dxa"/>
              <w:right w:w="85" w:type="dxa"/>
            </w:tcMar>
            <w:shd w:fill="FFFFFF"/>
          </w:tcPr>
          <w:p>
            <w:pPr>
              <w:spacing w:after="40" w:before="40" w:line="245" w:lineRule="auto"/>
            </w:pPr>
            <w:r>
              <w:rPr>
                <w:sz w:val="21"/>
              </w:rPr>
              <w:t>Borrowed information/constructor account [S1–S3]; supplied intervention fidelity. P1 tests recoding.</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C2</w:t>
            </w:r>
          </w:p>
        </w:tc>
        <w:tc>
          <w:tcPr>
            <w:tcW w:type="dxa" w:w="4925"/>
            <w:vAlign w:val="center"/>
            <w:tcMar>
              <w:top w:w="85" w:type="dxa"/>
              <w:left w:w="85" w:type="dxa"/>
              <w:bottom w:w="85" w:type="dxa"/>
              <w:right w:w="85" w:type="dxa"/>
            </w:tcMar>
            <w:shd w:fill="FFFFFF"/>
          </w:tcPr>
          <w:p>
            <w:pPr>
              <w:spacing w:after="40" w:before="40" w:line="245" w:lineRule="auto"/>
            </w:pPr>
            <w:r>
              <w:rPr>
                <w:sz w:val="21"/>
              </w:rPr>
              <w:t>Held for new sequence-based solutions from the stated ancestor. Individual change mechanisms are substitutable routes.</w:t>
            </w:r>
          </w:p>
        </w:tc>
        <w:tc>
          <w:tcPr>
            <w:tcW w:type="dxa" w:w="4464"/>
            <w:vAlign w:val="center"/>
            <w:tcMar>
              <w:top w:w="85" w:type="dxa"/>
              <w:left w:w="85" w:type="dxa"/>
              <w:bottom w:w="85" w:type="dxa"/>
              <w:right w:w="85" w:type="dxa"/>
            </w:tcMar>
            <w:shd w:fill="FFFFFF"/>
          </w:tcPr>
          <w:p>
            <w:pPr>
              <w:spacing w:after="40" w:before="40" w:line="245" w:lineRule="auto"/>
            </w:pPr>
            <w:r>
              <w:rPr>
                <w:sz w:val="21"/>
              </w:rPr>
              <w:t>No hidden writing or imported solution; P2 checks that restriction.</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C3</w:t>
            </w:r>
          </w:p>
        </w:tc>
        <w:tc>
          <w:tcPr>
            <w:tcW w:type="dxa" w:w="4925"/>
            <w:vAlign w:val="center"/>
            <w:tcMar>
              <w:top w:w="85" w:type="dxa"/>
              <w:left w:w="85" w:type="dxa"/>
              <w:bottom w:w="85" w:type="dxa"/>
              <w:right w:w="85" w:type="dxa"/>
            </w:tcMar>
            <w:shd w:fill="FFFFFF"/>
          </w:tcPr>
          <w:p>
            <w:pPr>
              <w:spacing w:after="40" w:before="40" w:line="245" w:lineRule="auto"/>
            </w:pPr>
            <w:r>
              <w:rPr>
                <w:sz w:val="21"/>
              </w:rPr>
              <w:t>Held for J2 at the functional level. Task rewards are loose as a necessary detail; their contribution here is unknown.</w:t>
            </w:r>
          </w:p>
        </w:tc>
        <w:tc>
          <w:tcPr>
            <w:tcW w:type="dxa" w:w="4464"/>
            <w:vAlign w:val="center"/>
            <w:tcMar>
              <w:top w:w="85" w:type="dxa"/>
              <w:left w:w="85" w:type="dxa"/>
              <w:bottom w:w="85" w:type="dxa"/>
              <w:right w:w="85" w:type="dxa"/>
            </w:tcMar>
            <w:shd w:fill="FFFFFF"/>
          </w:tcPr>
          <w:p>
            <w:pPr>
              <w:spacing w:after="40" w:before="40" w:line="245" w:lineRule="auto"/>
            </w:pPr>
            <w:r>
              <w:rPr>
                <w:sz w:val="21"/>
              </w:rPr>
              <w:t>Population dynamics and the noise regime; P3 separates reward contribution from passive persistence.</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C4</w:t>
            </w:r>
          </w:p>
        </w:tc>
        <w:tc>
          <w:tcPr>
            <w:tcW w:type="dxa" w:w="4925"/>
            <w:vAlign w:val="center"/>
            <w:tcMar>
              <w:top w:w="85" w:type="dxa"/>
              <w:left w:w="85" w:type="dxa"/>
              <w:bottom w:w="85" w:type="dxa"/>
              <w:right w:w="85" w:type="dxa"/>
            </w:tcMar>
            <w:shd w:fill="FFFFFF"/>
          </w:tcPr>
          <w:p>
            <w:pPr>
              <w:spacing w:after="40" w:before="40" w:line="245" w:lineRule="auto"/>
            </w:pPr>
            <w:r>
              <w:rPr>
                <w:sz w:val="21"/>
              </w:rPr>
              <w:t>Held for J3 by the finite-domain limit. A particular growth schedule is loose.</w:t>
            </w:r>
          </w:p>
        </w:tc>
        <w:tc>
          <w:tcPr>
            <w:tcW w:type="dxa" w:w="4464"/>
            <w:vAlign w:val="center"/>
            <w:tcMar>
              <w:top w:w="85" w:type="dxa"/>
              <w:left w:w="85" w:type="dxa"/>
              <w:bottom w:w="85" w:type="dxa"/>
              <w:right w:w="85" w:type="dxa"/>
            </w:tcMar>
            <w:shd w:fill="FFFFFF"/>
          </w:tcPr>
          <w:p>
            <w:pPr>
              <w:spacing w:after="40" w:before="40" w:line="245" w:lineRule="auto"/>
            </w:pPr>
            <w:r>
              <w:rPr>
                <w:sz w:val="21"/>
              </w:rPr>
              <w:t>No empirical dependency for the finite count; scaling feasibility remains unknown.</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C5</w:t>
            </w:r>
          </w:p>
        </w:tc>
        <w:tc>
          <w:tcPr>
            <w:tcW w:type="dxa" w:w="4925"/>
            <w:vAlign w:val="center"/>
            <w:tcMar>
              <w:top w:w="85" w:type="dxa"/>
              <w:left w:w="85" w:type="dxa"/>
              <w:bottom w:w="85" w:type="dxa"/>
              <w:right w:w="85" w:type="dxa"/>
            </w:tcMar>
            <w:shd w:fill="FFFFFF"/>
          </w:tcPr>
          <w:p>
            <w:pPr>
              <w:spacing w:after="40" w:before="40" w:line="245" w:lineRule="auto"/>
            </w:pPr>
            <w:r>
              <w:rPr>
                <w:sz w:val="21"/>
              </w:rPr>
              <w:t>Held if J6 is required. NAND-specific reuse is unknown.</w:t>
            </w:r>
          </w:p>
        </w:tc>
        <w:tc>
          <w:tcPr>
            <w:tcW w:type="dxa" w:w="4464"/>
            <w:vAlign w:val="center"/>
            <w:tcMar>
              <w:top w:w="85" w:type="dxa"/>
              <w:left w:w="85" w:type="dxa"/>
              <w:bottom w:w="85" w:type="dxa"/>
              <w:right w:w="85" w:type="dxa"/>
            </w:tcMar>
            <w:shd w:fill="FFFFFF"/>
          </w:tcPr>
          <w:p>
            <w:pPr>
              <w:spacing w:after="40" w:before="40" w:line="245" w:lineRule="auto"/>
            </w:pPr>
            <w:r>
              <w:rPr>
                <w:sz w:val="21"/>
              </w:rPr>
              <w:t>Added cumulative-reuse criterion; P5 and lineage traces.</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C6</w:t>
            </w:r>
          </w:p>
        </w:tc>
        <w:tc>
          <w:tcPr>
            <w:tcW w:type="dxa" w:w="4925"/>
            <w:vAlign w:val="center"/>
            <w:tcMar>
              <w:top w:w="85" w:type="dxa"/>
              <w:left w:w="85" w:type="dxa"/>
              <w:bottom w:w="85" w:type="dxa"/>
              <w:right w:w="85" w:type="dxa"/>
            </w:tcMar>
            <w:shd w:fill="FFFFFF"/>
          </w:tcPr>
          <w:p>
            <w:pPr>
              <w:spacing w:after="40" w:before="40" w:line="245" w:lineRule="auto"/>
            </w:pPr>
            <w:r>
              <w:rPr>
                <w:sz w:val="21"/>
              </w:rPr>
              <w:t>Unknown as a distinguishing condition for explanation. Explicit circuit syntax is loose.</w:t>
            </w:r>
          </w:p>
        </w:tc>
        <w:tc>
          <w:tcPr>
            <w:tcW w:type="dxa" w:w="4464"/>
            <w:vAlign w:val="center"/>
            <w:tcMar>
              <w:top w:w="85" w:type="dxa"/>
              <w:left w:w="85" w:type="dxa"/>
              <w:bottom w:w="85" w:type="dxa"/>
              <w:right w:w="85" w:type="dxa"/>
            </w:tcMar>
            <w:shd w:fill="FFFFFF"/>
          </w:tcPr>
          <w:p>
            <w:pPr>
              <w:spacing w:after="40" w:before="40" w:line="245" w:lineRule="auto"/>
            </w:pPr>
            <w:r>
              <w:rPr>
                <w:sz w:val="21"/>
              </w:rPr>
              <w:t>Borrowed conjecture-and-criticism account [S4]; P6 probes causal use, not sufficiency.</w:t>
            </w:r>
          </w:p>
        </w:tc>
      </w:tr>
      <w:tr>
        <w:trPr>
          <w:cantSplit/>
        </w:trPr>
        <w:tc>
          <w:tcPr>
            <w:tcW w:type="dxa" w:w="691"/>
            <w:vAlign w:val="center"/>
            <w:tcMar>
              <w:top w:w="85" w:type="dxa"/>
              <w:left w:w="85" w:type="dxa"/>
              <w:bottom w:w="85" w:type="dxa"/>
              <w:right w:w="85" w:type="dxa"/>
            </w:tcMar>
            <w:shd w:fill="FFFFFF"/>
          </w:tcPr>
          <w:p>
            <w:pPr>
              <w:spacing w:after="40" w:before="40" w:line="245" w:lineRule="auto"/>
              <w:jc w:val="center"/>
            </w:pPr>
            <w:r>
              <w:rPr>
                <w:sz w:val="21"/>
              </w:rPr>
              <w:t>C7</w:t>
            </w:r>
          </w:p>
        </w:tc>
        <w:tc>
          <w:tcPr>
            <w:tcW w:type="dxa" w:w="4925"/>
            <w:vAlign w:val="center"/>
            <w:tcMar>
              <w:top w:w="85" w:type="dxa"/>
              <w:left w:w="85" w:type="dxa"/>
              <w:bottom w:w="85" w:type="dxa"/>
              <w:right w:w="85" w:type="dxa"/>
            </w:tcMar>
            <w:shd w:fill="FFFFFF"/>
          </w:tcPr>
          <w:p>
            <w:pPr>
              <w:spacing w:after="40" w:before="40" w:line="245" w:lineRule="auto"/>
            </w:pPr>
            <w:r>
              <w:rPr>
                <w:sz w:val="21"/>
              </w:rPr>
              <w:t>Unknown as a distinguishing condition for explanation.</w:t>
            </w:r>
          </w:p>
        </w:tc>
        <w:tc>
          <w:tcPr>
            <w:tcW w:type="dxa" w:w="4464"/>
            <w:vAlign w:val="center"/>
            <w:tcMar>
              <w:top w:w="85" w:type="dxa"/>
              <w:left w:w="85" w:type="dxa"/>
              <w:bottom w:w="85" w:type="dxa"/>
              <w:right w:w="85" w:type="dxa"/>
            </w:tcMar>
            <w:shd w:fill="FFFFFF"/>
          </w:tcPr>
          <w:p>
            <w:pPr>
              <w:spacing w:after="40" w:before="40" w:line="245" w:lineRule="auto"/>
            </w:pPr>
            <w:r>
              <w:rPr>
                <w:sz w:val="21"/>
              </w:rPr>
              <w:t>Same dependency; P7 probes revision and its lookup rival.</w:t>
            </w:r>
          </w:p>
        </w:tc>
      </w:tr>
    </w:tbl>
    <w:p>
      <w:pPr>
        <w:spacing w:after="20"/>
      </w:pPr>
    </w:p>
    <w:p>
      <w:r>
        <w:rPr>
          <w:b/>
        </w:rPr>
        <w:t>Remove, swap and poke — result:</w:t>
      </w:r>
      <w:r>
        <w:t xml:space="preserve"> exact alphabet, a particular curriculum and a third population of choosers can be removed or exchanged without defeating the stated jobs. Removing all content-preservation routes together defeats retention; removing all writing routes defeats novel sequence construction. These group tests do not identify a unique implementation. C6–C7 remain untested proposals.</w:t>
      </w:r>
    </w:p>
    <w:p>
      <w:r>
        <w:rPr>
          <w:b/>
        </w:rPr>
        <w:t>Flip — result:</w:t>
      </w:r>
      <w:r>
        <w:t xml:space="preserve"> under unchanged rules, finite runs can acquire a task or fail to find it because these conditions are enabling constraints, not guarantees. Adding a guarantee would be a new claim. </w:t>
      </w:r>
      <w:r>
        <w:rPr>
          <w:b/>
        </w:rPr>
        <w:t>Reverse — not settled:</w:t>
      </w:r>
      <w:r>
        <w:t xml:space="preserve"> P3 changes reward consequences while holding founders fixed; changing an output log alone should not change computation. Adaptive rewards introduce genuine feedback, which P0 must preserve or characterize.</w:t>
      </w:r>
    </w:p>
    <w:p>
      <w:r>
        <w:rPr>
          <w:b/>
        </w:rPr>
        <w:t>Hidden answer and job origin — result:</w:t>
      </w:r>
      <w:r>
        <w:t xml:space="preserve"> defining progress by increasing task counts would hide forgetting and reuse failures. J6 and assay thresholds are openly added. </w:t>
      </w:r>
      <w:r>
        <w:rPr>
          <w:b/>
        </w:rPr>
        <w:t>Add a job — result:</w:t>
      </w:r>
      <w:r>
        <w:t xml:space="preserve"> consistent opcode recoding must preserve capability; this excludes a raw-symbol account without assuming a new capability.</w:t>
      </w:r>
    </w:p>
    <w:p>
      <w:r>
        <w:rPr>
          <w:b/>
        </w:rPr>
        <w:t>Look inside — result:</w:t>
      </w:r>
      <w:r>
        <w:t xml:space="preserve"> supplied circuit tracing constrains the joint program–interpreter account; explanatory processing inside a program remains unsettled. </w:t>
      </w:r>
      <w:r>
        <w:rPr>
          <w:b/>
        </w:rPr>
        <w:t>Rivals — result:</w:t>
      </w:r>
      <w:r>
        <w:t xml:space="preserve"> a fixed general evaluator with retained search history could satisfy C1–C5 without adaptive reward rules. Lookup and fixed discrimination procedures remain rivals to C6–C7.</w:t>
      </w:r>
    </w:p>
    <w:p>
      <w:r>
        <w:rPr>
          <w:b/>
        </w:rPr>
        <w:t>Pairs that pull — not settled:</w:t>
      </w:r>
      <w:r>
        <w:t xml:space="preserve"> instruction change creates candidates while damaging retained arrangements; reinforcement of old tasks can consume opportunities for new ones. Measure births, loss and acquisition together. </w:t>
      </w:r>
      <w:r>
        <w:rPr>
          <w:b/>
        </w:rPr>
        <w:t>Patches — result:</w:t>
      </w:r>
      <w:r>
        <w:t xml:space="preserve"> “the environment” cannot absorb every failure; name interpreter, inputs, rewards, resources and retained state separately. Record every later alteration as a new claim.</w:t>
      </w:r>
    </w:p>
    <w:p>
      <w:r>
        <w:rPr>
          <w:b/>
        </w:rPr>
        <w:t>Change-list omissions — result:</w:t>
      </w:r>
      <w:r>
        <w:t xml:space="preserve"> these tests exclude host reconstruction, unlimited resources and guaranteed indefinite growth. </w:t>
      </w:r>
      <w:r>
        <w:rPr>
          <w:b/>
        </w:rPr>
        <w:t>Provenance — result:</w:t>
      </w:r>
      <w:r>
        <w:t xml:space="preserve"> proposed conditions are built; imported machinery and the designer's gate-test solutions are supplied knowledge. Holding a part in place under these tests does not settle its accuracy outside them.</w:t>
      </w:r>
    </w:p>
    <w:p>
      <w:r>
        <w:t>The next step is P0: quantify the effect of reloading before interpreting the six environments as a comparison of knowledge-creation mechanisms.</w:t>
      </w:r>
    </w:p>
    <w:p>
      <w:pPr>
        <w:spacing w:before="240"/>
      </w:pPr>
      <w:r>
        <w:rPr>
          <w:b/>
        </w:rPr>
        <w:t>END OF REPORT</w:t>
      </w:r>
    </w:p>
    <w:sectPr w:rsidR="00FC693F" w:rsidRPr="0006063C" w:rsidSect="00034616">
      <w:footerReference w:type="default" r:id="rId20"/>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pdf/1210.7439" TargetMode="External"/><Relationship Id="rId10" Type="http://schemas.openxmlformats.org/officeDocument/2006/relationships/hyperlink" Target="https://www.constructortheory.org/wp-content/uploads/2016/03/ct-info.pdf" TargetMode="External"/><Relationship Id="rId11" Type="http://schemas.openxmlformats.org/officeDocument/2006/relationships/hyperlink" Target="https://arxiv.org/pdf/1407.0681" TargetMode="External"/><Relationship Id="rId12" Type="http://schemas.openxmlformats.org/officeDocument/2006/relationships/hyperlink" Target="https://aeon.co/essays/how-close-are-we-to-creating-artificial-intelligence" TargetMode="External"/><Relationship Id="rId13" Type="http://schemas.openxmlformats.org/officeDocument/2006/relationships/hyperlink" Target="https://github.com/devosoft/avida/wiki/List-of-actions" TargetMode="External"/><Relationship Id="rId14" Type="http://schemas.openxmlformats.org/officeDocument/2006/relationships/hyperlink" Target="https://github.com/devosoft/avida/wiki/Events-file" TargetMode="External"/><Relationship Id="rId15" Type="http://schemas.openxmlformats.org/officeDocument/2006/relationships/hyperlink" Target="https://github.com/devosoft/avida/wiki/Environment-file" TargetMode="External"/><Relationship Id="rId16" Type="http://schemas.openxmlformats.org/officeDocument/2006/relationships/hyperlink" Target="https://github.com/devosoft/avida/wiki/Analyze-mode---testing-a-genome-sequence" TargetMode="External"/><Relationship Id="rId17" Type="http://schemas.openxmlformats.org/officeDocument/2006/relationships/hyperlink" Target="https://github.com/devosoft/avida/blob/master/avida-core/support/config/avida.cfg" TargetMode="External"/><Relationship Id="rId18" Type="http://schemas.openxmlformats.org/officeDocument/2006/relationships/hyperlink" Target="https://www.constructortheory.org/research/" TargetMode="External"/><Relationship Id="rId19" Type="http://schemas.openxmlformats.org/officeDocument/2006/relationships/hyperlink" Target="https://www.chiaramarletto.com/books/the-science-of-can-and-cant/"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Avida knowledge creation and constructor theory</dc:title>
  <dc:subject>Conditions and experimental predictions with a hard-to-vary assessment</dc:subject>
  <dc:creator>OpenAI</dc:creator>
  <cp:keywords>Avida, constructor theory, knowledge creation, hard to vary</cp:keywords>
  <dc:description>generated by python-docx</dc:description>
  <cp:lastModifiedBy/>
  <cp:revision>1</cp:revision>
  <dcterms:created xsi:type="dcterms:W3CDTF">2013-12-23T23:15:00Z</dcterms:created>
  <dcterms:modified xsi:type="dcterms:W3CDTF">2013-12-23T23:15:00Z</dcterms:modified>
  <cp:category/>
</cp:coreProperties>
</file>