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UNDE</w:t>
        <w:br/>
        <w:t>Методология расчёта и прогноз MAU</w:t>
        <w:br/>
        <w:t>(Казахстан + ОАЭ, по моллам)</w:t>
      </w:r>
    </w:p>
    <w:p>
      <w:r/>
    </w:p>
    <w:p>
      <w:pPr>
        <w:jc w:val="center"/>
      </w:pPr>
      <w:r>
        <w:rPr>
          <w:i/>
        </w:rPr>
        <w:t>Версия: 1.0</w:t>
        <w:br/>
        <w:t>Дата: 8 февраля 2026</w:t>
        <w:br/>
        <w:t>Статус: внутренний рабочий документ</w:t>
      </w:r>
    </w:p>
    <w:p>
      <w:r>
        <w:br w:type="page"/>
      </w:r>
    </w:p>
    <w:p>
      <w:pPr>
        <w:pStyle w:val="Heading1"/>
      </w:pPr>
      <w:r>
        <w:t>1. Резюме: какие MAU использовать в финансовой модели</w:t>
      </w:r>
    </w:p>
    <w:p>
      <w:r>
        <w:t>Этот документ фиксирует (1) какие значения MAU заложены в текущую финансовую модель UNDE, (2) как MAU правильно считать в разрезе конкретных торговых центров (моллов), и (3) как связать целевые MAU из модели с потенциалом и реальностью по выбранным ТЦ в Казахстане и ОАЭ.</w:t>
      </w:r>
    </w:p>
    <w:p>
      <w:r>
        <w:t>Ключевые выводы:</w:t>
      </w:r>
    </w:p>
    <w:p>
      <w:pPr>
        <w:pStyle w:val="ListBullet"/>
      </w:pPr>
      <w:r>
        <w:t>В базовом сценарии финансовой модели MAU (конец года) = 2 500 (Год 1) → 15 000 (Год 2) → 45 000 (Год 3). [INT-1]</w:t>
      </w:r>
    </w:p>
    <w:p>
      <w:pPr>
        <w:pStyle w:val="ListBullet"/>
      </w:pPr>
      <w:r>
        <w:t>В Год 3 модель даёт квартальные значения MAU (конец периода): 20 000 → 28 000 → 36 000 → 45 000. [INT-1]</w:t>
      </w:r>
    </w:p>
    <w:p>
      <w:pPr>
        <w:pStyle w:val="ListBullet"/>
      </w:pPr>
      <w:r>
        <w:t>Если вам нужен «средний MAU за Год 3» (для расчёта переменных затрат/инфраструктуры), то при линейном росте между квартальными точками получается ~28 500 MAU в среднем за год (расчёт в разделе 3). [INT-1]</w:t>
      </w:r>
    </w:p>
    <w:p>
      <w:pPr>
        <w:pStyle w:val="ListBullet"/>
      </w:pPr>
      <w:r>
        <w:t>Юнит роста UNDE - Mall Seed: 500+ MAU в одном молле + 10+ активных бизнесов + k-factor &gt; 1.0 в рамках одного молла. [INT-2]</w:t>
      </w:r>
    </w:p>
    <w:p>
      <w:pPr>
        <w:pStyle w:val="ListBullet"/>
      </w:pPr>
      <w:r>
        <w:t>Цель по продукту на M6 (в разрезе молла): MAU/молл &gt; 2 000. [INT-2]</w:t>
      </w:r>
    </w:p>
    <w:p>
      <w:pPr>
        <w:pStyle w:val="ListBullet"/>
      </w:pPr>
      <w:r>
        <w:t>С партнёрской программой в финансовой модели рассматривается сценарий Год 3: 100 000–150 000 MAU и 18–25 моллов. [INT-3]</w:t>
      </w:r>
    </w:p>
    <w:p>
      <w:r>
        <w:t>Важно: финансовая модель оперирует MAU как «конец периода» (end-of-period). Для операционных расчётов (например, затрат на AI API на пользователя в месяц) обычно нужен средний MAU за период - в этом документе мы показываем, как его корректно получить из квартальных точек.</w:t>
      </w:r>
    </w:p>
    <w:p>
      <w:r>
        <w:br w:type="page"/>
      </w:r>
    </w:p>
    <w:p>
      <w:pPr>
        <w:pStyle w:val="Heading1"/>
      </w:pPr>
      <w:r>
        <w:t>2. Определения: что именно считаем как MAU</w:t>
      </w:r>
    </w:p>
    <w:p>
      <w:r>
        <w:t>2.1. MAU по моллу (MAU_mall)</w:t>
      </w:r>
    </w:p>
    <w:p>
      <w:r>
        <w:t>MAU_mall - количество уникальных пользователей, которые за последние 30 дней совершили хотя бы одно «активное действие» в конкретном торговом центре (по mall_id). Это ключевой показатель для UNDE, потому что сетевые эффекты и ценность для бизнеса локальны внутри одного молла. [INT-2]</w:t>
      </w:r>
    </w:p>
    <w:p>
      <w:r>
        <w:t>Рекомендуемая спецификация активного действия (event):</w:t>
      </w:r>
    </w:p>
    <w:p>
      <w:pPr>
        <w:pStyle w:val="ListBullet"/>
      </w:pPr>
      <w:r>
        <w:t>открытие приложения внутри геозоны молла и/или с выбранным mall_id</w:t>
      </w:r>
    </w:p>
    <w:p>
      <w:pPr>
        <w:pStyle w:val="ListBullet"/>
      </w:pPr>
      <w:r>
        <w:t>поиск товара/категории в молле</w:t>
      </w:r>
    </w:p>
    <w:p>
      <w:pPr>
        <w:pStyle w:val="ListBullet"/>
      </w:pPr>
      <w:r>
        <w:t>просмотр/сохранение образа (look) и переход на «где купить»</w:t>
      </w:r>
    </w:p>
    <w:p>
      <w:pPr>
        <w:pStyle w:val="ListBullet"/>
      </w:pPr>
      <w:r>
        <w:t>построение маршрута внутри молла</w:t>
      </w:r>
    </w:p>
    <w:p>
      <w:pPr>
        <w:pStyle w:val="ListBullet"/>
      </w:pPr>
      <w:r>
        <w:t>клик по офферу/пушу магазина, полученному по proximity</w:t>
      </w:r>
    </w:p>
    <w:p>
      <w:r>
        <w:t>Примечание: конкретный список событий зависит от финальной аналитической схемы (Amplitude/Mixpanel/GA4). Главное правило - MAU должен отражать реальную ценность (навигация/поиск/рекомендации), а не установки.</w:t>
      </w:r>
    </w:p>
    <w:p>
      <w:r>
        <w:t>2.2. Глобальный MAU (Global MAU)</w:t>
      </w:r>
    </w:p>
    <w:p>
      <w:r>
        <w:t>Global MAU - уникальные пользователи по всей системе за 30 дней без двойного счёта. Если пользователь активен в двух моллах в одном месяце, он считается один раз в Global MAU, но дважды - в MAU_mall (в каждом молле отдельно).</w:t>
      </w:r>
    </w:p>
    <w:p>
      <w:r>
        <w:t>2.3. Почему нельзя считать только глобальные метрики</w:t>
      </w:r>
    </w:p>
    <w:p>
      <w:r>
        <w:t>В стратегии монетизации UNDE подчёркивается, что «глобальные метрики скрывают реальную картину»: 100 000 установок могут означать 1 000 MAU в 100 моллах (нет критической массы нигде). [INT-2] Поэтому в аналитике нужно всегда держать два уровня: (а) MAU_mall и (б) Global MAU.</w:t>
      </w:r>
    </w:p>
    <w:p>
      <w:r>
        <w:br w:type="page"/>
      </w:r>
    </w:p>
    <w:p>
      <w:pPr>
        <w:pStyle w:val="Heading1"/>
      </w:pPr>
      <w:r>
        <w:t>3. MAU в текущей финансовой модели: значения и «средний MAU»</w:t>
      </w:r>
    </w:p>
    <w:p>
      <w:r>
        <w:t>Ниже - значения MAU и количества моллов, заложенные в финансовую модель UNDE (базовый сценарий). [INT-1]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Показатель</w:t>
            </w:r>
          </w:p>
        </w:tc>
        <w:tc>
          <w:tcPr>
            <w:tcW w:type="dxa" w:w="2436"/>
          </w:tcPr>
          <w:p>
            <w:r>
              <w:t>Год 1</w:t>
            </w:r>
          </w:p>
        </w:tc>
        <w:tc>
          <w:tcPr>
            <w:tcW w:type="dxa" w:w="2436"/>
          </w:tcPr>
          <w:p>
            <w:r>
              <w:t>Год 2</w:t>
            </w:r>
          </w:p>
        </w:tc>
        <w:tc>
          <w:tcPr>
            <w:tcW w:type="dxa" w:w="2436"/>
          </w:tcPr>
          <w:p>
            <w:r>
              <w:t>Год 3</w:t>
            </w:r>
          </w:p>
        </w:tc>
      </w:tr>
      <w:tr>
        <w:tc>
          <w:tcPr>
            <w:tcW w:type="dxa" w:w="2436"/>
          </w:tcPr>
          <w:p>
            <w:r>
              <w:t>MAU (конец года)</w:t>
            </w:r>
          </w:p>
        </w:tc>
        <w:tc>
          <w:tcPr>
            <w:tcW w:type="dxa" w:w="2436"/>
          </w:tcPr>
          <w:p>
            <w:r>
              <w:t>2 500</w:t>
            </w:r>
          </w:p>
        </w:tc>
        <w:tc>
          <w:tcPr>
            <w:tcW w:type="dxa" w:w="2436"/>
          </w:tcPr>
          <w:p>
            <w:r>
              <w:t>15 000</w:t>
            </w:r>
          </w:p>
        </w:tc>
        <w:tc>
          <w:tcPr>
            <w:tcW w:type="dxa" w:w="2436"/>
          </w:tcPr>
          <w:p>
            <w:r>
              <w:t>45 000</w:t>
            </w:r>
          </w:p>
        </w:tc>
      </w:tr>
      <w:tr>
        <w:tc>
          <w:tcPr>
            <w:tcW w:type="dxa" w:w="2436"/>
          </w:tcPr>
          <w:p>
            <w:r>
              <w:t>Моллы (конец года)</w:t>
            </w:r>
          </w:p>
        </w:tc>
        <w:tc>
          <w:tcPr>
            <w:tcW w:type="dxa" w:w="2436"/>
          </w:tcPr>
          <w:p>
            <w:r>
              <w:t>2</w:t>
            </w:r>
          </w:p>
        </w:tc>
        <w:tc>
          <w:tcPr>
            <w:tcW w:type="dxa" w:w="2436"/>
          </w:tcPr>
          <w:p>
            <w:r>
              <w:t>5</w:t>
            </w:r>
          </w:p>
        </w:tc>
        <w:tc>
          <w:tcPr>
            <w:tcW w:type="dxa" w:w="2436"/>
          </w:tcPr>
          <w:p>
            <w:r>
              <w:t>10</w:t>
            </w:r>
          </w:p>
        </w:tc>
      </w:tr>
    </w:tbl>
    <w:p>
      <w:r>
        <w:t>Источник таблицы: финансовая модель, сводка за 3 года. [INT-1]</w:t>
      </w:r>
    </w:p>
    <w:p>
      <w:r>
        <w:t>3.1. Квартальная динамика MAU в Год 3 (конец периода)</w:t>
      </w:r>
    </w:p>
    <w:p>
      <w:r>
        <w:t>Финмодель задаёт MAU (конец периода) и количество моллов по кварталам в Год 3. [INT-1]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r>
              <w:t>Показатель</w:t>
            </w:r>
          </w:p>
        </w:tc>
        <w:tc>
          <w:tcPr>
            <w:tcW w:type="dxa" w:w="1624"/>
          </w:tcPr>
          <w:p>
            <w:r>
              <w:t>Q1</w:t>
            </w:r>
          </w:p>
        </w:tc>
        <w:tc>
          <w:tcPr>
            <w:tcW w:type="dxa" w:w="1624"/>
          </w:tcPr>
          <w:p>
            <w:r>
              <w:t>Q2</w:t>
            </w:r>
          </w:p>
        </w:tc>
        <w:tc>
          <w:tcPr>
            <w:tcW w:type="dxa" w:w="1624"/>
          </w:tcPr>
          <w:p>
            <w:r>
              <w:t>Q3</w:t>
            </w:r>
          </w:p>
        </w:tc>
        <w:tc>
          <w:tcPr>
            <w:tcW w:type="dxa" w:w="1624"/>
          </w:tcPr>
          <w:p>
            <w:r>
              <w:t>Q4</w:t>
            </w:r>
          </w:p>
        </w:tc>
        <w:tc>
          <w:tcPr>
            <w:tcW w:type="dxa" w:w="1624"/>
          </w:tcPr>
          <w:p>
            <w:r>
              <w:t>Итого/конец года</w:t>
            </w:r>
          </w:p>
        </w:tc>
      </w:tr>
      <w:tr>
        <w:tc>
          <w:tcPr>
            <w:tcW w:type="dxa" w:w="1624"/>
          </w:tcPr>
          <w:p>
            <w:r>
              <w:t>MAU (конец периода)</w:t>
            </w:r>
          </w:p>
        </w:tc>
        <w:tc>
          <w:tcPr>
            <w:tcW w:type="dxa" w:w="1624"/>
          </w:tcPr>
          <w:p>
            <w:r>
              <w:t>20 000</w:t>
            </w:r>
          </w:p>
        </w:tc>
        <w:tc>
          <w:tcPr>
            <w:tcW w:type="dxa" w:w="1624"/>
          </w:tcPr>
          <w:p>
            <w:r>
              <w:t>28 000</w:t>
            </w:r>
          </w:p>
        </w:tc>
        <w:tc>
          <w:tcPr>
            <w:tcW w:type="dxa" w:w="1624"/>
          </w:tcPr>
          <w:p>
            <w:r>
              <w:t>36 000</w:t>
            </w:r>
          </w:p>
        </w:tc>
        <w:tc>
          <w:tcPr>
            <w:tcW w:type="dxa" w:w="1624"/>
          </w:tcPr>
          <w:p>
            <w:r>
              <w:t>45 000</w:t>
            </w:r>
          </w:p>
        </w:tc>
        <w:tc>
          <w:tcPr>
            <w:tcW w:type="dxa" w:w="1624"/>
          </w:tcPr>
          <w:p>
            <w:r>
              <w:t>45 000</w:t>
            </w:r>
          </w:p>
        </w:tc>
      </w:tr>
      <w:tr>
        <w:tc>
          <w:tcPr>
            <w:tcW w:type="dxa" w:w="1624"/>
          </w:tcPr>
          <w:p>
            <w:r>
              <w:t>Моллы (конец периода)</w:t>
            </w:r>
          </w:p>
        </w:tc>
        <w:tc>
          <w:tcPr>
            <w:tcW w:type="dxa" w:w="1624"/>
          </w:tcPr>
          <w:p>
            <w:r>
              <w:t>6</w:t>
            </w:r>
          </w:p>
        </w:tc>
        <w:tc>
          <w:tcPr>
            <w:tcW w:type="dxa" w:w="1624"/>
          </w:tcPr>
          <w:p>
            <w:r>
              <w:t>7</w:t>
            </w:r>
          </w:p>
        </w:tc>
        <w:tc>
          <w:tcPr>
            <w:tcW w:type="dxa" w:w="1624"/>
          </w:tcPr>
          <w:p>
            <w:r>
              <w:t>8</w:t>
            </w:r>
          </w:p>
        </w:tc>
        <w:tc>
          <w:tcPr>
            <w:tcW w:type="dxa" w:w="1624"/>
          </w:tcPr>
          <w:p>
            <w:r>
              <w:t>10</w:t>
            </w:r>
          </w:p>
        </w:tc>
        <w:tc>
          <w:tcPr>
            <w:tcW w:type="dxa" w:w="1624"/>
          </w:tcPr>
          <w:p>
            <w:r>
              <w:t>10</w:t>
            </w:r>
          </w:p>
        </w:tc>
      </w:tr>
    </w:tbl>
    <w:p>
      <w:r>
        <w:t>Источник таблицы: финансовая модель, раздел «Год 3: Full Ecosystem». [INT-1]</w:t>
      </w:r>
    </w:p>
    <w:p>
      <w:r>
        <w:t>3.2. Как получить «средний MAU за Год 3» из квартальных точек</w:t>
      </w:r>
    </w:p>
    <w:p>
      <w:r>
        <w:t>Если принимать рост MAU внутри каждого квартала линейным между точками конца квартала, то средний MAU в квартале можно оценить как среднее между MAU на начало и конец квартала. Тогда:</w:t>
      </w:r>
    </w:p>
    <w:p>
      <w:r>
        <w:rPr>
          <w:b w:val="0"/>
        </w:rPr>
        <w:t>• Q1 средний MAU ≈ (15 000 + 20 000) / 2 = 17 500</w:t>
        <w:br/>
      </w:r>
      <w:r>
        <w:t>• Q2 средний MAU ≈ (20 000 + 28 000) / 2 = 24 000</w:t>
        <w:br/>
      </w:r>
      <w:r>
        <w:t>• Q3 средний MAU ≈ (28 000 + 36 000) / 2 = 32 000</w:t>
        <w:br/>
      </w:r>
      <w:r>
        <w:t>• Q4 средний MAU ≈ (36 000 + 45 000) / 2 = 40 500</w:t>
        <w:br/>
      </w:r>
      <w:r>
        <w:t>• Средний MAU за год ≈ (17 500 + 24 000 + 32 000 + 40 500) / 4 = 28 500</w:t>
        <w:br/>
      </w:r>
      <w:r>
        <w:t>Где 15 000 - это MAU на конец Года 2 (и, соответственно, начало Года 3). [INT-1]</w:t>
      </w:r>
    </w:p>
    <w:p>
      <w:r>
        <w:t>Эта оценка подходит для приблизительных расчётов переменных затрат «на пользователя в месяц» и для sanity-check (понимание, какой MAU «в среднем» мы реально обслуживаем в течение года).</w:t>
      </w:r>
    </w:p>
    <w:p>
      <w:r>
        <w:t>3.3. Имплицитный MAU на один молл (проверка реалистичности)</w:t>
      </w:r>
    </w:p>
    <w:p>
      <w:r>
        <w:t>В базовом сценарии Год 3 заканчивается на 45 000 MAU и 10 моллах. Это означает средний показатель на конец года: 45 000 / 10 = 4 500 MAU на молл. [INT-1]</w:t>
      </w:r>
    </w:p>
    <w:p>
      <w:r>
        <w:t>Сопоставление с продуктовой целью: в стратегии метрик целевое значение на M6 - MAU/молл &gt; 2 000. [INT-2] То есть финмодель предполагает, что к концу Года 3 средний молл выходит примерно на ~4 500 MAU, что является логичным ростом относительно цели M6.</w:t>
      </w:r>
    </w:p>
    <w:p>
      <w:r>
        <w:t>3.4. Альтернативный сценарий (партнёрская программа)</w:t>
      </w:r>
    </w:p>
    <w:p>
      <w:r>
        <w:t>Финансовая модель отдельно рассматривает сценарий «с партнёрской программой»: в Год 3 MAU = 100 000–150 000 и 18–25 моллов (вместо 45 000 и 8–10/10 моллов в базовом). [INT-3]</w:t>
      </w:r>
    </w:p>
    <w:p>
      <w:r>
        <w:br w:type="page"/>
      </w:r>
    </w:p>
    <w:p>
      <w:pPr>
        <w:pStyle w:val="Heading1"/>
      </w:pPr>
      <w:r>
        <w:t>4. Bottom-up: как оценить потенциал MAU по конкретным ТЦ</w:t>
      </w:r>
    </w:p>
    <w:p>
      <w:r>
        <w:t>Задача: связать плановые MAU из финмодели с реальными ТЦ в Казахстане и ОАЭ. Самый прозрачный способ - взять фактическую посещаемость (footfall) ТЦ и оценить, какую долю посетителей нужно конвертировать в MAU, чтобы достичь Mall Seed (500 MAU), M6 цели (2 000 MAU) и средних значений, имплицитных в Год 3 (4 500 MAU на молл).</w:t>
      </w:r>
    </w:p>
    <w:p>
      <w:r>
        <w:t>4.1. Ключевое допущение: сколько раз человек посещает ТЦ в месяц</w:t>
      </w:r>
    </w:p>
    <w:p>
      <w:r>
        <w:t>В Business Model UNDE для первичного B2C сегмента указано поведение: посещают ТЦ 2–4 раза в месяц. [INT-4] Мы используем этот диапазон, чтобы перевести «footfall (визиты)» в оценку «уникальные посетители в месяц».</w:t>
      </w:r>
    </w:p>
    <w:p>
      <w:r>
        <w:t>Формулы:</w:t>
      </w:r>
    </w:p>
    <w:p>
      <w:pPr>
        <w:pStyle w:val="ListBullet"/>
      </w:pPr>
      <w:r>
        <w:t>• UniqueVisitors_month ≈ Footfall_month / VisitsPerPerson_month</w:t>
      </w:r>
    </w:p>
    <w:p>
      <w:pPr>
        <w:pStyle w:val="ListBullet"/>
      </w:pPr>
      <w:r>
        <w:t>• RequiredAdoption ≈ TargetMAU / UniqueVisitors_month</w:t>
      </w:r>
    </w:p>
    <w:p>
      <w:r>
        <w:t>4.2. Факты по посещаемости выбранных ТЦ (KZ + UAE)</w:t>
      </w:r>
    </w:p>
    <w:p>
      <w:r>
        <w:t>Важно: публичные цифры по посещаемости почти всегда относятся к визитам (footfall), а не к уникальным людям. Поэтому ниже сначала фиксируем «визиты», затем даём диапазон оценок «уникальные посетители в месяц».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</w:tcPr>
          <w:p>
            <w:r>
              <w:t>ТЦ</w:t>
            </w:r>
          </w:p>
        </w:tc>
        <w:tc>
          <w:tcPr>
            <w:tcW w:type="dxa" w:w="1392"/>
          </w:tcPr>
          <w:p>
            <w:r>
              <w:t>Страна</w:t>
            </w:r>
          </w:p>
        </w:tc>
        <w:tc>
          <w:tcPr>
            <w:tcW w:type="dxa" w:w="1392"/>
          </w:tcPr>
          <w:p>
            <w:r>
              <w:t>Посещаемость (публичный факт)</w:t>
            </w:r>
          </w:p>
        </w:tc>
        <w:tc>
          <w:tcPr>
            <w:tcW w:type="dxa" w:w="1392"/>
          </w:tcPr>
          <w:p>
            <w:r>
              <w:t>Оценка визитов/мес</w:t>
            </w:r>
          </w:p>
        </w:tc>
        <w:tc>
          <w:tcPr>
            <w:tcW w:type="dxa" w:w="1392"/>
          </w:tcPr>
          <w:p>
            <w:r>
              <w:t>Оценка уникальных/мес (2-4 визита)</w:t>
            </w:r>
          </w:p>
        </w:tc>
        <w:tc>
          <w:tcPr>
            <w:tcW w:type="dxa" w:w="1392"/>
          </w:tcPr>
          <w:p>
            <w:r>
              <w:t>Adoption для 2 000 MAU (M6)</w:t>
            </w:r>
          </w:p>
        </w:tc>
        <w:tc>
          <w:tcPr>
            <w:tcW w:type="dxa" w:w="1392"/>
          </w:tcPr>
          <w:p>
            <w:r>
              <w:t>Adoption для 4 500 MAU (EOY Г3)</w:t>
            </w:r>
          </w:p>
        </w:tc>
      </w:tr>
      <w:tr>
        <w:tc>
          <w:tcPr>
            <w:tcW w:type="dxa" w:w="1392"/>
          </w:tcPr>
          <w:p>
            <w:r>
              <w:t>Aport Mall West</w:t>
            </w:r>
          </w:p>
        </w:tc>
        <w:tc>
          <w:tcPr>
            <w:tcW w:type="dxa" w:w="1392"/>
          </w:tcPr>
          <w:p>
            <w:r>
              <w:t>KZ</w:t>
            </w:r>
          </w:p>
        </w:tc>
        <w:tc>
          <w:tcPr>
            <w:tcW w:type="dxa" w:w="1392"/>
          </w:tcPr>
          <w:p>
            <w:r>
              <w:t>1 000 000 посещений/мес [EXT-1]</w:t>
            </w:r>
          </w:p>
        </w:tc>
        <w:tc>
          <w:tcPr>
            <w:tcW w:type="dxa" w:w="1392"/>
          </w:tcPr>
          <w:p>
            <w:r>
              <w:t>1 000 000</w:t>
            </w:r>
          </w:p>
        </w:tc>
        <w:tc>
          <w:tcPr>
            <w:tcW w:type="dxa" w:w="1392"/>
          </w:tcPr>
          <w:p>
            <w:r>
              <w:t>250 000 - 500 000</w:t>
            </w:r>
          </w:p>
        </w:tc>
        <w:tc>
          <w:tcPr>
            <w:tcW w:type="dxa" w:w="1392"/>
          </w:tcPr>
          <w:p>
            <w:r>
              <w:t>0.40% - 0.80%</w:t>
            </w:r>
          </w:p>
        </w:tc>
        <w:tc>
          <w:tcPr>
            <w:tcW w:type="dxa" w:w="1392"/>
          </w:tcPr>
          <w:p>
            <w:r>
              <w:t>0.90% - 1.80%</w:t>
            </w:r>
          </w:p>
        </w:tc>
      </w:tr>
      <w:tr>
        <w:tc>
          <w:tcPr>
            <w:tcW w:type="dxa" w:w="1392"/>
          </w:tcPr>
          <w:p>
            <w:r>
              <w:t>MEGA Alma-Ata</w:t>
            </w:r>
          </w:p>
        </w:tc>
        <w:tc>
          <w:tcPr>
            <w:tcW w:type="dxa" w:w="1392"/>
          </w:tcPr>
          <w:p>
            <w:r>
              <w:t>KZ</w:t>
            </w:r>
          </w:p>
        </w:tc>
        <w:tc>
          <w:tcPr>
            <w:tcW w:type="dxa" w:w="1392"/>
          </w:tcPr>
          <w:p>
            <w:r>
              <w:t>16 000 000 посещений/год [EXT-2]</w:t>
            </w:r>
          </w:p>
        </w:tc>
        <w:tc>
          <w:tcPr>
            <w:tcW w:type="dxa" w:w="1392"/>
          </w:tcPr>
          <w:p>
            <w:r>
              <w:t>1 333 333</w:t>
            </w:r>
          </w:p>
        </w:tc>
        <w:tc>
          <w:tcPr>
            <w:tcW w:type="dxa" w:w="1392"/>
          </w:tcPr>
          <w:p>
            <w:r>
              <w:t>333 333 - 666 667</w:t>
            </w:r>
          </w:p>
        </w:tc>
        <w:tc>
          <w:tcPr>
            <w:tcW w:type="dxa" w:w="1392"/>
          </w:tcPr>
          <w:p>
            <w:r>
              <w:t>0.30% - 0.60%</w:t>
            </w:r>
          </w:p>
        </w:tc>
        <w:tc>
          <w:tcPr>
            <w:tcW w:type="dxa" w:w="1392"/>
          </w:tcPr>
          <w:p>
            <w:r>
              <w:t>0.68% - 1.35%</w:t>
            </w:r>
          </w:p>
        </w:tc>
      </w:tr>
      <w:tr>
        <w:tc>
          <w:tcPr>
            <w:tcW w:type="dxa" w:w="1392"/>
          </w:tcPr>
          <w:p>
            <w:r>
              <w:t>Dostyk Plaza</w:t>
            </w:r>
          </w:p>
        </w:tc>
        <w:tc>
          <w:tcPr>
            <w:tcW w:type="dxa" w:w="1392"/>
          </w:tcPr>
          <w:p>
            <w:r>
              <w:t>KZ</w:t>
            </w:r>
          </w:p>
        </w:tc>
        <w:tc>
          <w:tcPr>
            <w:tcW w:type="dxa" w:w="1392"/>
          </w:tcPr>
          <w:p>
            <w:r>
              <w:t>13 500 000 посещений/год [EXT-3]</w:t>
            </w:r>
          </w:p>
        </w:tc>
        <w:tc>
          <w:tcPr>
            <w:tcW w:type="dxa" w:w="1392"/>
          </w:tcPr>
          <w:p>
            <w:r>
              <w:t>1 125 000</w:t>
            </w:r>
          </w:p>
        </w:tc>
        <w:tc>
          <w:tcPr>
            <w:tcW w:type="dxa" w:w="1392"/>
          </w:tcPr>
          <w:p>
            <w:r>
              <w:t>281 250 - 562 500</w:t>
            </w:r>
          </w:p>
        </w:tc>
        <w:tc>
          <w:tcPr>
            <w:tcW w:type="dxa" w:w="1392"/>
          </w:tcPr>
          <w:p>
            <w:r>
              <w:t>0.36% - 0.71%</w:t>
            </w:r>
          </w:p>
        </w:tc>
        <w:tc>
          <w:tcPr>
            <w:tcW w:type="dxa" w:w="1392"/>
          </w:tcPr>
          <w:p>
            <w:r>
              <w:t>0.80% - 1.60%</w:t>
            </w:r>
          </w:p>
        </w:tc>
      </w:tr>
      <w:tr>
        <w:tc>
          <w:tcPr>
            <w:tcW w:type="dxa" w:w="1392"/>
          </w:tcPr>
          <w:p>
            <w:r>
              <w:t>Aport Mall East</w:t>
            </w:r>
          </w:p>
        </w:tc>
        <w:tc>
          <w:tcPr>
            <w:tcW w:type="dxa" w:w="1392"/>
          </w:tcPr>
          <w:p>
            <w:r>
              <w:t>KZ</w:t>
            </w:r>
          </w:p>
        </w:tc>
        <w:tc>
          <w:tcPr>
            <w:tcW w:type="dxa" w:w="1392"/>
          </w:tcPr>
          <w:p>
            <w:r>
              <w:t>9 000 000 посещений/год (первый год) [EXT-4]</w:t>
            </w:r>
          </w:p>
        </w:tc>
        <w:tc>
          <w:tcPr>
            <w:tcW w:type="dxa" w:w="1392"/>
          </w:tcPr>
          <w:p>
            <w:r>
              <w:t>750 000</w:t>
            </w:r>
          </w:p>
        </w:tc>
        <w:tc>
          <w:tcPr>
            <w:tcW w:type="dxa" w:w="1392"/>
          </w:tcPr>
          <w:p>
            <w:r>
              <w:t>187 500 - 375 000</w:t>
            </w:r>
          </w:p>
        </w:tc>
        <w:tc>
          <w:tcPr>
            <w:tcW w:type="dxa" w:w="1392"/>
          </w:tcPr>
          <w:p>
            <w:r>
              <w:t>0.53% - 1.07%</w:t>
            </w:r>
          </w:p>
        </w:tc>
        <w:tc>
          <w:tcPr>
            <w:tcW w:type="dxa" w:w="1392"/>
          </w:tcPr>
          <w:p>
            <w:r>
              <w:t>1.20% - 2.40%</w:t>
            </w:r>
          </w:p>
        </w:tc>
      </w:tr>
      <w:tr>
        <w:tc>
          <w:tcPr>
            <w:tcW w:type="dxa" w:w="1392"/>
          </w:tcPr>
          <w:p>
            <w:r>
              <w:t>Mall of the Emirates</w:t>
            </w:r>
          </w:p>
        </w:tc>
        <w:tc>
          <w:tcPr>
            <w:tcW w:type="dxa" w:w="1392"/>
          </w:tcPr>
          <w:p>
            <w:r>
              <w:t>UAE</w:t>
            </w:r>
          </w:p>
        </w:tc>
        <w:tc>
          <w:tcPr>
            <w:tcW w:type="dxa" w:w="1392"/>
          </w:tcPr>
          <w:p>
            <w:r>
              <w:t>40 000 000+ посещений/год [EXT-5], [EXT-7]</w:t>
            </w:r>
          </w:p>
        </w:tc>
        <w:tc>
          <w:tcPr>
            <w:tcW w:type="dxa" w:w="1392"/>
          </w:tcPr>
          <w:p>
            <w:r>
              <w:t>3 333 333</w:t>
            </w:r>
          </w:p>
        </w:tc>
        <w:tc>
          <w:tcPr>
            <w:tcW w:type="dxa" w:w="1392"/>
          </w:tcPr>
          <w:p>
            <w:r>
              <w:t>833 333 - 1 666 667</w:t>
            </w:r>
          </w:p>
        </w:tc>
        <w:tc>
          <w:tcPr>
            <w:tcW w:type="dxa" w:w="1392"/>
          </w:tcPr>
          <w:p>
            <w:r>
              <w:t>0.12% - 0.24%</w:t>
            </w:r>
          </w:p>
        </w:tc>
        <w:tc>
          <w:tcPr>
            <w:tcW w:type="dxa" w:w="1392"/>
          </w:tcPr>
          <w:p>
            <w:r>
              <w:t>0.27% - 0.54%</w:t>
            </w:r>
          </w:p>
        </w:tc>
      </w:tr>
      <w:tr>
        <w:tc>
          <w:tcPr>
            <w:tcW w:type="dxa" w:w="1392"/>
          </w:tcPr>
          <w:p>
            <w:r>
              <w:t>Ibn Battuta Mall</w:t>
            </w:r>
          </w:p>
        </w:tc>
        <w:tc>
          <w:tcPr>
            <w:tcW w:type="dxa" w:w="1392"/>
          </w:tcPr>
          <w:p>
            <w:r>
              <w:t>UAE</w:t>
            </w:r>
          </w:p>
        </w:tc>
        <w:tc>
          <w:tcPr>
            <w:tcW w:type="dxa" w:w="1392"/>
          </w:tcPr>
          <w:p>
            <w:r>
              <w:t>20 000 000+ посещений/год [EXT-6]</w:t>
            </w:r>
          </w:p>
        </w:tc>
        <w:tc>
          <w:tcPr>
            <w:tcW w:type="dxa" w:w="1392"/>
          </w:tcPr>
          <w:p>
            <w:r>
              <w:t>1 666 667</w:t>
            </w:r>
          </w:p>
        </w:tc>
        <w:tc>
          <w:tcPr>
            <w:tcW w:type="dxa" w:w="1392"/>
          </w:tcPr>
          <w:p>
            <w:r>
              <w:t>416 667 - 833 333</w:t>
            </w:r>
          </w:p>
        </w:tc>
        <w:tc>
          <w:tcPr>
            <w:tcW w:type="dxa" w:w="1392"/>
          </w:tcPr>
          <w:p>
            <w:r>
              <w:t>0.24% - 0.48%</w:t>
            </w:r>
          </w:p>
        </w:tc>
        <w:tc>
          <w:tcPr>
            <w:tcW w:type="dxa" w:w="1392"/>
          </w:tcPr>
          <w:p>
            <w:r>
              <w:t>0.54% - 1.08%</w:t>
            </w:r>
          </w:p>
        </w:tc>
      </w:tr>
    </w:tbl>
    <w:p>
      <w:r>
        <w:t>Примечания к таблице: (1) диапазон уникальных посетителей построен из допущения 2-4 визита/чел/мес [INT-4]; (2) «Adoption» - доля уникальных посетителей, которых нужно сделать активными пользователями UNDE за 30 дней.</w:t>
      </w:r>
    </w:p>
    <w:p>
      <w:r>
        <w:t>4.3. Интерпретация: что означают получившиеся проценты</w:t>
      </w:r>
    </w:p>
    <w:p>
      <w:r>
        <w:t>Получившиеся проценты - это не «доля всех посетителей», а доля адресуемой аудитории, которую мы реально активируем (приложение + действие) в 30-дневном окне. Например, для Mall of the Emirates при 40+ млн визитов в год, даже 0.27%–0.54% от уникальных посетителей в месяц достаточно, чтобы выйти на 4 500 MAU. Это подчёркивает, что достижение целевых MAU в крупных моллах скорее упирается в execution (онбординг, контент, акции, партнёры), а не в отсутствие трафика.</w:t>
      </w:r>
    </w:p>
    <w:p>
      <w:r>
        <w:br w:type="page"/>
      </w:r>
    </w:p>
    <w:p>
      <w:pPr>
        <w:pStyle w:val="Heading1"/>
      </w:pPr>
      <w:r>
        <w:t>5. Как собирать общий MAU (Казахстан + ОАЭ) без самообмана</w:t>
      </w:r>
    </w:p>
    <w:p>
      <w:r>
        <w:t>5.1. Финмодель не привязана к географиям - это сознательно</w:t>
      </w:r>
    </w:p>
    <w:p>
      <w:r>
        <w:t>Текущая финмодель задаёт агрегированный рост MAU и число моллов по годам/кварталам (например, 10 моллов и 45k MAU к концу Года 3). [INT-1] Она не фиксирует, сколько из этих моллов будут в Казахстане, а сколько в ОАЭ - это решение GTM и партнёрств.</w:t>
      </w:r>
    </w:p>
    <w:p>
      <w:r>
        <w:t>5.2. Рекомендованная структура модели MAU для двух стран</w:t>
      </w:r>
    </w:p>
    <w:p>
      <w:r>
        <w:t>Чтобы корректно учитывать одновременно KZ и UAE, достаточно трёх уровней:</w:t>
      </w:r>
    </w:p>
    <w:p>
      <w:pPr>
        <w:pStyle w:val="ListBullet"/>
      </w:pPr>
      <w:r>
        <w:t>MAU_mall (по каждому ТЦ отдельно) - главный операционный KPI и база для монетизации в ТЦ.</w:t>
      </w:r>
    </w:p>
    <w:p>
      <w:pPr>
        <w:pStyle w:val="ListBullet"/>
      </w:pPr>
      <w:r>
        <w:t>MAU_country (KZ, UAE) - сумма MAU_mall по стране с учётом возможного overlap внутри страны/города.</w:t>
      </w:r>
    </w:p>
    <w:p>
      <w:pPr>
        <w:pStyle w:val="ListBullet"/>
      </w:pPr>
      <w:r>
        <w:t>Global MAU - общий MAU без двойного счёта пользователей, активных в нескольких странах/моллах.</w:t>
      </w:r>
    </w:p>
    <w:p>
      <w:r>
        <w:t>5.3. Практический способ избежать двойного счёта (overlap)</w:t>
      </w:r>
    </w:p>
    <w:p>
      <w:r>
        <w:t>Если вам нужен «Global MAU» без двойного счёта, используйте правило «домашнего молла» в 30-дневном окне: каждому пользователю присваивается тот mall_id, где он был активнее всего (или где совершил последнее активное действие). Так Global MAU считается один раз на пользователя, но аналитика по моллам остаётся.</w:t>
      </w:r>
    </w:p>
    <w:p>
      <w:r>
        <w:t>5.4. Что поставить в финмодель на Год 3 прямо сейчас</w:t>
      </w:r>
    </w:p>
    <w:p>
      <w:r>
        <w:t>Если вопрос стоит именно как «какое число MAU использовать в финмодели на 3-й год», то ответ из текущих документов такой:</w:t>
        <w:br/>
        <w:t>• Базовый сценарий: MAU (конец Года 3) = 45 000.</w:t>
        <w:br/>
        <w:t>• Для расчёта «в среднем» по Году 3 (например, инфраструктура): ~28 500 средний MAU за год (при линейном росте между квартальными точками).</w:t>
        <w:br/>
        <w:t>• Upside (если включаем партнёрскую программу): MAU (конец Года 3) = 100 000–150 000.</w:t>
        <w:br/>
        <w:t>Источники: [INT-1], [INT-3].</w:t>
      </w:r>
    </w:p>
    <w:p>
      <w:r>
        <w:br w:type="page"/>
      </w:r>
    </w:p>
    <w:p>
      <w:pPr>
        <w:pStyle w:val="Heading1"/>
      </w:pPr>
      <w:r>
        <w:t>6. Что нужно уточнить, чтобы MAU по ТЦ стал «железобетонным»</w:t>
      </w:r>
    </w:p>
    <w:p>
      <w:r>
        <w:t>Даже при наличии публичных цифр по посещаемости, для точного прогноза MAU по конкретным ТЦ нужно закрыть 3 пробела в данных (без них мы неизбежно работаем диапазонами):</w:t>
      </w:r>
    </w:p>
    <w:p>
      <w:pPr>
        <w:pStyle w:val="ListBullet"/>
      </w:pPr>
      <w:r>
        <w:t>Что именно означает опубликованная посещаемость (визиты vs уникальные посетители; год/месяц; методика подсчёта).</w:t>
      </w:r>
    </w:p>
    <w:p>
      <w:pPr>
        <w:pStyle w:val="ListBullet"/>
      </w:pPr>
      <w:r>
        <w:t>Фактическая частота посещений именно в нашем сегменте (fashion аудитория 25–45) для конкретного города/молла.</w:t>
      </w:r>
    </w:p>
    <w:p>
      <w:pPr>
        <w:pStyle w:val="ListBullet"/>
      </w:pPr>
      <w:r>
        <w:t>Фактическая конверсия в активацию и удержание (D7/D30) после офлайн-акций и партнёрских интеграций.</w:t>
      </w:r>
    </w:p>
    <w:p>
      <w:r>
        <w:t>Рекомендуемая практика: при входе в новый молл запускать «MAU-пайплайн» на 4 недели: выгрузка всех активаций по mall_id → ретеншн D7/D30 → расчёт Mall Seed → принятие решения об экспансии. [INT-2]</w:t>
      </w:r>
    </w:p>
    <w:p>
      <w:r>
        <w:br w:type="page"/>
      </w:r>
    </w:p>
    <w:p>
      <w:pPr>
        <w:pStyle w:val="Heading1"/>
      </w:pPr>
      <w:r>
        <w:t>Приложение A. Источники и ссылки</w:t>
      </w:r>
    </w:p>
    <w:p>
      <w:r>
        <w:t>Внутренние источники (UNDE):</w:t>
      </w:r>
    </w:p>
    <w:p>
      <w:pPr>
        <w:pStyle w:val="ListBullet"/>
      </w:pPr>
      <w:r>
        <w:t>INT-1: UNDE_Financial_Model_v5.1 (финансовая модель), разделы 3.1–3.4 и 3.3 «Год 3: Full Ecosystem».</w:t>
      </w:r>
    </w:p>
    <w:p>
      <w:pPr>
        <w:pStyle w:val="ListBullet"/>
      </w:pPr>
      <w:r>
        <w:t>INT-2: UNDE_Monetization_Strategy_v2 (метрики успеха): Mall Seed = 500+ MAU + 10+ активных бизнесов + k-factor &gt; 1.0; цель M6: MAU/молл &gt; 2 000.</w:t>
      </w:r>
    </w:p>
    <w:p>
      <w:pPr>
        <w:pStyle w:val="ListBullet"/>
      </w:pPr>
      <w:r>
        <w:t>INT-3: UNDE_Financial_Model_v5 (RU) / раздел 7.3: эффект партнёрской программы (Год 3: 100–150k MAU, 18–25 моллов).</w:t>
      </w:r>
    </w:p>
    <w:p>
      <w:pPr>
        <w:pStyle w:val="ListBullet"/>
      </w:pPr>
      <w:r>
        <w:t>INT-4: UNDE_Business_Model_v3: первичный сегмент, поведение «посещают ТЦ 2–4 раза в месяц».</w:t>
      </w:r>
    </w:p>
    <w:p>
      <w:r>
        <w:t>Внешние источники (публичные):</w:t>
      </w:r>
    </w:p>
    <w:p>
      <w:pPr>
        <w:pStyle w:val="ListBullet"/>
      </w:pPr>
      <w:r>
        <w:t xml:space="preserve">EXT-1: Eurasia RED: Aport Mall West - «1 млн. человек посетителей в месяц». </w:t>
      </w:r>
      <w:hyperlink r:id="rId9">
        <w:r>
          <w:rPr>
            <w:color w:val="0000FF"/>
            <w:u w:val="single"/>
          </w:rPr>
          <w:t>https://www.eurasiared.com/aport-mall-2/</w:t>
        </w:r>
      </w:hyperlink>
    </w:p>
    <w:p>
      <w:pPr>
        <w:pStyle w:val="ListBullet"/>
      </w:pPr>
      <w:r>
        <w:t xml:space="preserve">EXT-2: Forbes Kazakhstan: MEGA Alma-Ata - «ежегодно посещают более 16 млн человек» (публикация к 18-летию ТЦ). </w:t>
      </w:r>
      <w:hyperlink r:id="rId10">
        <w:r>
          <w:rPr>
            <w:color w:val="0000FF"/>
            <w:u w:val="single"/>
          </w:rPr>
          <w:t>https://forbes.kz/articles/18-letie-mega-alma-ata-kak-torgovyy-tsentr-izmenil-rynok-reteyla-732742</w:t>
        </w:r>
      </w:hyperlink>
    </w:p>
    <w:p>
      <w:pPr>
        <w:pStyle w:val="ListBullet"/>
      </w:pPr>
      <w:r>
        <w:t xml:space="preserve">EXT-3: TSPM: Dostyk Plaza press release - «annual footfall exceeds 13.5 million». </w:t>
      </w:r>
      <w:hyperlink r:id="rId11">
        <w:r>
          <w:rPr>
            <w:color w:val="0000FF"/>
            <w:u w:val="single"/>
          </w:rPr>
          <w:t>https://tspm.kz/en/press/press-releases/dostyk-plaza-10-years-with-you-everything-is-just-beginning/</w:t>
        </w:r>
      </w:hyperlink>
    </w:p>
    <w:p>
      <w:pPr>
        <w:pStyle w:val="ListBullet"/>
      </w:pPr>
      <w:r>
        <w:t xml:space="preserve">EXT-4: 24KZ: Aport Mall East - «за год его посетили более 9 миллионов покупателей». </w:t>
      </w:r>
      <w:hyperlink r:id="rId12">
        <w:r>
          <w:rPr>
            <w:color w:val="0000FF"/>
            <w:u w:val="single"/>
          </w:rPr>
          <w:t>https://24.kz/ru/news/social/676578-krupnejshemu-mollu-strany-aport-mall-east-ispolnyaetsya-odin-god</w:t>
        </w:r>
      </w:hyperlink>
    </w:p>
    <w:p>
      <w:pPr>
        <w:pStyle w:val="ListBullet"/>
      </w:pPr>
      <w:r>
        <w:t xml:space="preserve">EXT-5: Majid Al Futtaim corporate site: Mall of the Emirates - «welcomes more than 40 million visitors each year». </w:t>
      </w:r>
      <w:hyperlink r:id="rId13">
        <w:r>
          <w:rPr>
            <w:color w:val="0000FF"/>
            <w:u w:val="single"/>
          </w:rPr>
          <w:t>https://www.majidalfuttaim.com/en/what-we-do/our-industries/brand/mall-of-the-emirates</w:t>
        </w:r>
      </w:hyperlink>
    </w:p>
    <w:p>
      <w:pPr>
        <w:pStyle w:val="ListBullet"/>
      </w:pPr>
      <w:r>
        <w:t xml:space="preserve">EXT-6: Ibn Battuta Mall official site (future plans): «With more than 20 million visitors a year…». </w:t>
      </w:r>
      <w:hyperlink r:id="rId14">
        <w:r>
          <w:rPr>
            <w:color w:val="0000FF"/>
            <w:u w:val="single"/>
          </w:rPr>
          <w:t>https://beta.ibnbattutamall.com/en/future-plans</w:t>
        </w:r>
      </w:hyperlink>
    </w:p>
    <w:p>
      <w:pPr>
        <w:pStyle w:val="ListBullet"/>
      </w:pPr>
      <w:r>
        <w:t xml:space="preserve">EXT-7: AP News: Mall of the Emirates drew over 40 million visitors in 2024 (контекст реконструкции). </w:t>
      </w:r>
      <w:hyperlink r:id="rId15">
        <w:r>
          <w:rPr>
            <w:color w:val="0000FF"/>
            <w:u w:val="single"/>
          </w:rPr>
          <w:t>https://apnews.com/article/435c527373e27a94d97fb5a98c7754b0</w:t>
        </w:r>
      </w:hyperlink>
    </w:p>
    <w:p/>
    <w:p>
      <w:r>
        <w:t>Дата обращения ко всем внешним источникам: 8 февраля 2026.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eurasiared.com/aport-mall-2/" TargetMode="External"/><Relationship Id="rId10" Type="http://schemas.openxmlformats.org/officeDocument/2006/relationships/hyperlink" Target="https://forbes.kz/articles/18-letie-mega-alma-ata-kak-torgovyy-tsentr-izmenil-rynok-reteyla-732742" TargetMode="External"/><Relationship Id="rId11" Type="http://schemas.openxmlformats.org/officeDocument/2006/relationships/hyperlink" Target="https://tspm.kz/en/press/press-releases/dostyk-plaza-10-years-with-you-everything-is-just-beginning/" TargetMode="External"/><Relationship Id="rId12" Type="http://schemas.openxmlformats.org/officeDocument/2006/relationships/hyperlink" Target="https://24.kz/ru/news/social/676578-krupnejshemu-mollu-strany-aport-mall-east-ispolnyaetsya-odin-god" TargetMode="External"/><Relationship Id="rId13" Type="http://schemas.openxmlformats.org/officeDocument/2006/relationships/hyperlink" Target="https://www.majidalfuttaim.com/en/what-we-do/our-industries/brand/mall-of-the-emirates" TargetMode="External"/><Relationship Id="rId14" Type="http://schemas.openxmlformats.org/officeDocument/2006/relationships/hyperlink" Target="https://beta.ibnbattutamall.com/en/future-plans" TargetMode="External"/><Relationship Id="rId15" Type="http://schemas.openxmlformats.org/officeDocument/2006/relationships/hyperlink" Target="https://apnews.com/article/435c527373e27a94d97fb5a98c7754b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