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UNDE</w:t>
      </w:r>
    </w:p>
    <w:p>
      <w:pPr>
        <w:spacing w:after="80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Юнит-экономика и анализ CAC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Внутренний документ | Февраль 2026 | v1.0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Контекст: сколько ритейлеры тратят на 1 клиента в ТЦ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Этот документ анализирует, сколько офлайн-ритейлеры в целевых ТЦ (Алматы, Казахстан и Дубай, ОАЭ) тратят на маркетинг и доступ к трафику в пересчёте на одного посетителя, и что это значит для B2B-ценообразования и юнит-экономики UNDE.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1.1. Три слоя затрат ритейлера на 1 посетителя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Ритейлеры в ТЦ несут три категории расходов, которые можно атрибутировать на каждого посетителя: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13"/>
        <w:gridCol w:w="1813"/>
      </w:tblGrid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 затрат</w:t>
            </w:r>
          </w:p>
        </w:tc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Дубай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Drive-to-store (перформанс)</w:t>
            </w:r>
          </w:p>
        </w:tc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Прямые расходы на рекламу, чтобы привести человека в магазин (CPV/CPF)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$0.15–$0.35/визит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$0.60–$1.50/визит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CAC (аренда/OCR)</w:t>
            </w:r>
          </w:p>
        </w:tc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Доля продаж, уходящая на аренду; OCR = 11–12.6%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~$1.5–3/посетитель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~$4–8/посетитель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Маркетинговый бюджет (9.1% выручки)</w:t>
            </w:r>
          </w:p>
        </w:tc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Общая аллокация на маркетинг по бенчмарку Gartner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~$1–3/посетитель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~$3–7/посетитель</w:t>
            </w:r>
          </w:p>
        </w:tc>
      </w:tr>
      <w:tr>
        <w:tc>
          <w:tcPr>
            <w:tcW w:type="dxa" w:w="2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ИТОГО на 1 посетителя</w:t>
            </w:r>
          </w:p>
        </w:tc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Суммарные затраты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$2.5–$6</w:t>
            </w:r>
          </w:p>
        </w:tc>
        <w:tc>
          <w:tcPr>
            <w:tcW w:type="dxa" w:w="181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$7–$15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4560" w:sz="1"/>
              <w:left w:val="single" w:color="E94560" w:sz="6"/>
              <w:bottom w:val="single" w:color="E94560" w:sz="1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Важно: это затраты на ЛЮБОГО посетителя, включая тех, кто просто проходит мимо. UNDE даёт квалифицированного посетителя — человека, который уже получил персональную рекомендацию и идёт целенаправленно. Конверсия такого визита оценивается в 40–60% vs средние 20–25%.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Совокупная ценность 1 MAU UNDE для экосистемы ТЦ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 MAU UNDE — это не клиент для 1 магазина. Это человек, который получает рекомендации в несколько магазинов за одно посещение, генерируя ценность для всей экосистемы.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2.1. Допущения по активности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Размер ТЦ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200–300 магазинов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Целевой формат для MVP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Fashion-релевантные магазины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Фокус категории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Магазины-партнёры UNDE (старт)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10–20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Первая фаза партнёрств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Рекомендаций на 1 визит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магазинов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Выход AI-стилиста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Визитов в ТЦ на 1 MAU/мес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Активные посетители ТЦ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Касаний с магазинами на 1 MAU/мес</w:t>
            </w:r>
          </w:p>
        </w:tc>
        <w:tc>
          <w:tcPr>
            <w:tcW w:type="dxa" w:w="24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6–20</w:t>
            </w:r>
          </w:p>
        </w:tc>
        <w:tc>
          <w:tcPr>
            <w:tcW w:type="dxa" w:w="34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Рекомендации × визиты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2.2. Совокупная ценность 1 MAU (все магазины суммарно)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Дубай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Касаний с магазинами / мес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6–20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6–20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Ценность 1 касания (CPV)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$0.15–$0.35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$0.60–$1.50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Совокупная ценность (CPV)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$0.9–$7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$3.6–$30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Ценность 1 касания (маркетинг)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$1–$3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$3–$7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Совокупная ценность (маркетинг)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$6–$60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$18–$140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Выручка UNDE на 1 MAU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Выручка генерируется отдельными магазинами-партнёрами, но агрегируется по всей экосистеме на 1 пользователя.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3.1. Валидация модели выручки (два подхода)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Сверху вниз (от ценности экосистемы):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Дубай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Общая ценность экосистемы на 1 MAU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$6–$60/мес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$18–$140/мес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Доля UNDE (ранняя стадия)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20–30%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Реалистичный ARPU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$1.5–$7/мес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$3–$15/мес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Снизу вверх (от модели Mall Seed):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Расчёт</w:t>
            </w:r>
          </w:p>
        </w:tc>
        <w:tc>
          <w:tcPr>
            <w:tcW w:type="dxa" w:w="27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per MAU</w:t>
            </w:r>
          </w:p>
        </w:tc>
      </w:tr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Фаза 3: Подписки</w:t>
            </w:r>
          </w:p>
        </w:tc>
        <w:tc>
          <w:tcPr>
            <w:tcW w:type="dxa" w:w="3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магазинов × $500–$2,000/мес ÷ 500 MAU</w:t>
            </w:r>
          </w:p>
        </w:tc>
        <w:tc>
          <w:tcPr>
            <w:tcW w:type="dxa" w:w="27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$10–$40/мес</w:t>
            </w:r>
          </w:p>
        </w:tc>
      </w:tr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Фаза 2: Earn-to-Buy</w:t>
            </w:r>
          </w:p>
        </w:tc>
        <w:tc>
          <w:tcPr>
            <w:tcW w:type="dxa" w:w="3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магазинов × $300–$1,000/мес ÷ 500 MAU</w:t>
            </w:r>
          </w:p>
        </w:tc>
        <w:tc>
          <w:tcPr>
            <w:tcW w:type="dxa" w:w="27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$6–$20/мес</w:t>
            </w:r>
          </w:p>
        </w:tc>
      </w:tr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Фаза 1: Ранняя стадия</w:t>
            </w:r>
          </w:p>
        </w:tc>
        <w:tc>
          <w:tcPr>
            <w:tcW w:type="dxa" w:w="3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Консервативная оценка</w:t>
            </w:r>
          </w:p>
        </w:tc>
        <w:tc>
          <w:tcPr>
            <w:tcW w:type="dxa" w:w="27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$1.5–$7/мес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4560" w:sz="1"/>
              <w:left w:val="single" w:color="E94560" w:sz="6"/>
              <w:bottom w:val="single" w:color="E94560" w:sz="1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Оба подхода сходятся на ARPU $1.5–$7 для Казахстана и $3–$15 для Дубая на ранних стадиях, с значительным ростом по мере подключения новых магазинов и углубления зависимости.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Юнит-экономика на 1 MAU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4.1. Текущее состояние (500 MAU / Mall Seed)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Дубай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Выручка на 1 MAU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$1.5–$7/мес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$3–$15/мес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Себестоимость 1 MAU (API + инфра)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~$2/мес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~$2/мес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Маржа на 1 MAU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-$0.5 ... +$5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 ... +$13</w:t>
            </w:r>
          </w:p>
        </w:tc>
      </w:tr>
      <w:tr>
        <w:tc>
          <w:tcPr>
            <w:tcW w:type="dxa" w:w="3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Маржинальность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-33% ... +71%</w:t>
            </w:r>
          </w:p>
        </w:tc>
        <w:tc>
          <w:tcPr>
            <w:tcW w:type="dxa" w:w="2763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+33% ... +87%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4560" w:sz="1"/>
              <w:left w:val="single" w:color="E94560" w:sz="6"/>
              <w:bottom w:val="single" w:color="E94560" w:sz="1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Breakeven ARPU = $2/мес. При Mall Seed (500 MAU) это $1,000/мес суммарно от всех партнёров, или ~$100/мес на магазин — меньше 1 дня аренды для типичного ритейлера.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4.2. Анализ точки безубыточности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Порог безубыточности очень низкий: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Breakeven ARPU</w:t>
            </w:r>
          </w:p>
        </w:tc>
        <w:tc>
          <w:tcPr>
            <w:tcW w:type="dxa" w:w="4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$2/мес на 1 MAU</w:t>
            </w:r>
          </w:p>
        </w:tc>
      </w:tr>
      <w:tr>
        <w:tc>
          <w:tcPr>
            <w:tcW w:type="dxa" w:w="4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При 500 MAU (Mall Seed)</w:t>
            </w:r>
          </w:p>
        </w:tc>
        <w:tc>
          <w:tcPr>
            <w:tcW w:type="dxa" w:w="4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$1,000/мес суммарно</w:t>
            </w:r>
          </w:p>
        </w:tc>
      </w:tr>
      <w:tr>
        <w:tc>
          <w:tcPr>
            <w:tcW w:type="dxa" w:w="4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При 10 магазинах-партнёрах</w:t>
            </w:r>
          </w:p>
        </w:tc>
        <w:tc>
          <w:tcPr>
            <w:tcW w:type="dxa" w:w="4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$100/мес на магазин</w:t>
            </w:r>
          </w:p>
        </w:tc>
      </w:tr>
      <w:tr>
        <w:tc>
          <w:tcPr>
            <w:tcW w:type="dxa" w:w="4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Контекст: средняя дневная аренда</w:t>
            </w:r>
          </w:p>
        </w:tc>
        <w:tc>
          <w:tcPr>
            <w:tcW w:type="dxa" w:w="4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$50–$200 (КЗ) / $200–$800 (Дубай)</w:t>
            </w:r>
          </w:p>
        </w:tc>
      </w:tr>
      <w:tr>
        <w:tc>
          <w:tcPr>
            <w:tcW w:type="dxa" w:w="4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Стоимость UNDE как % от аренды</w:t>
            </w:r>
          </w:p>
        </w:tc>
        <w:tc>
          <w:tcPr>
            <w:tcW w:type="dxa" w:w="4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&lt;2%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4.3. Эффект масштаба на себестоимость 1 MAU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Себестоимость инфраструктуры на 1 пользователя значительно снижается при масштабировании за счёт оптимизации промптов, кэширования, батчинга и собственной инфраструктуры: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Масштаб MAU</w:t>
            </w:r>
          </w:p>
        </w:tc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Себестоимость 1 MAU</w:t>
            </w:r>
          </w:p>
        </w:tc>
        <w:tc>
          <w:tcPr>
            <w:tcW w:type="dxa" w:w="4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Драйвер</w:t>
            </w:r>
          </w:p>
        </w:tc>
      </w:tr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500 (текущий)</w:t>
            </w:r>
          </w:p>
        </w:tc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~$2.00</w:t>
            </w:r>
          </w:p>
        </w:tc>
        <w:tc>
          <w:tcPr>
            <w:tcW w:type="dxa" w:w="4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Текущие цены API</w:t>
            </w:r>
          </w:p>
        </w:tc>
      </w:tr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~$1.2–$1.5</w:t>
            </w:r>
          </w:p>
        </w:tc>
        <w:tc>
          <w:tcPr>
            <w:tcW w:type="dxa" w:w="4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Оптимизация промптов, кэширование, батчинг</w:t>
            </w:r>
          </w:p>
        </w:tc>
      </w:tr>
      <w:tr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10,000+</w:t>
            </w:r>
          </w:p>
        </w:tc>
        <w:tc>
          <w:tcPr>
            <w:tcW w:type="dxa" w:w="2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~$0.5–$0.8</w:t>
            </w:r>
          </w:p>
        </w:tc>
        <w:tc>
          <w:tcPr>
            <w:tcW w:type="dxa" w:w="40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Экономия масштаба, собственная инфра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4560" w:sz="1"/>
              <w:left w:val="single" w:color="E94560" w:sz="6"/>
              <w:bottom w:val="single" w:color="E94560" w:sz="1"/>
              <w:right w:val="single" w:color="E94560" w:sz="1"/>
            </w:tcBorders>
            <w:shd w:fill="FF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Маржа растёт с обеих сторон: ARPU растёт (больше магазинов-партнёров, глубже зависимость), а себестоимость/MAU падает (масштаб). При 10K MAU и $0.7 себестоимости, даже консервативный ARPU $3 даёт 77% маржи.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Обоснование B2B-ценообразования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Цена UNDE $3–10 за подтверждённый визит (из финмодели) позиционируется внутри существующей структуры затрат ритейлера: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Ценовой якорь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Казахстан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Дубай</w:t>
            </w:r>
          </w:p>
        </w:tc>
        <w:tc>
          <w:tcPr>
            <w:tcW w:type="dxa" w:w="26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UNDE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Пол: сырой CPV (drive-to-store)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$0.15–$0.35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$0.60–$1.50</w:t>
            </w:r>
          </w:p>
        </w:tc>
        <w:tc>
          <w:tcPr>
            <w:tcW w:type="dxa" w:w="26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Середина: доля марк. бюджета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$1–$3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$3–$7</w:t>
            </w:r>
          </w:p>
        </w:tc>
        <w:tc>
          <w:tcPr>
            <w:tcW w:type="dxa" w:w="26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Потолок: аренда + маркетинг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$3–$6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$8–$15</w:t>
            </w:r>
          </w:p>
        </w:tc>
        <w:tc>
          <w:tcPr>
            <w:tcW w:type="dxa" w:w="26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UNDE CPV (модель)</w:t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$3–$10/визит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Премия UNDE над сырым CPV обоснована тремя факторами: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Подтверждённые визиты </w:t>
      </w:r>
      <w:r>
        <w:rPr>
          <w:rFonts w:ascii="Arial" w:cs="Arial" w:eastAsia="Arial" w:hAnsi="Arial"/>
          <w:sz w:val="22"/>
          <w:szCs w:val="22"/>
        </w:rPr>
        <w:t xml:space="preserve">(верификация через геозону, а не показы)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Квалифицированный трафик </w:t>
      </w:r>
      <w:r>
        <w:rPr>
          <w:rFonts w:ascii="Arial" w:cs="Arial" w:eastAsia="Arial" w:hAnsi="Arial"/>
          <w:sz w:val="22"/>
          <w:szCs w:val="22"/>
        </w:rPr>
        <w:t xml:space="preserve">(пользователь получил персональную рекомендацию перед визитом)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Конверсия в 2–3 раза выше </w:t>
      </w:r>
      <w:r>
        <w:rPr>
          <w:rFonts w:ascii="Arial" w:cs="Arial" w:eastAsia="Arial" w:hAnsi="Arial"/>
          <w:sz w:val="22"/>
          <w:szCs w:val="22"/>
        </w:rPr>
        <w:t xml:space="preserve">органического трафика (40–60% vs 20–25%)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Прогноз выручки на 1 молл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2526"/>
        <w:gridCol w:w="1500"/>
      </w:tblGrid>
      <w:tr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Магазины</w:t>
            </w:r>
          </w:p>
        </w:tc>
        <w:tc>
          <w:tcPr>
            <w:tcW w:type="dxa" w:w="2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Выручка/молл/мес</w:t>
            </w:r>
          </w:p>
        </w:tc>
        <w:tc>
          <w:tcPr>
            <w:tcW w:type="dxa" w:w="1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Маржа</w:t>
            </w:r>
          </w:p>
        </w:tc>
      </w:tr>
      <w:tr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Mall Seed (год 1)</w:t>
            </w:r>
          </w:p>
        </w:tc>
        <w:tc>
          <w:tcPr>
            <w:tcW w:type="dxa" w:w="1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$1,000–$5,000</w:t>
            </w:r>
          </w:p>
        </w:tc>
        <w:tc>
          <w:tcPr>
            <w:tcW w:type="dxa" w:w="1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-30% до +50%</w:t>
            </w:r>
          </w:p>
        </w:tc>
      </w:tr>
      <w:tr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Рост (год 2)</w:t>
            </w:r>
          </w:p>
        </w:tc>
        <w:tc>
          <w:tcPr>
            <w:tcW w:type="dxa" w:w="1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25–30</w:t>
            </w:r>
          </w:p>
        </w:tc>
        <w:tc>
          <w:tcPr>
            <w:tcW w:type="dxa" w:w="2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$6,000–$20,000</w:t>
            </w:r>
          </w:p>
        </w:tc>
        <w:tc>
          <w:tcPr>
            <w:tcW w:type="dxa" w:w="1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+40–60%</w:t>
            </w:r>
          </w:p>
        </w:tc>
      </w:tr>
      <w:tr>
        <w:tc>
          <w:tcPr>
            <w:tcW w:type="dxa" w:w="1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Зрелость (год 3)</w:t>
            </w:r>
          </w:p>
        </w:tc>
        <w:tc>
          <w:tcPr>
            <w:tcW w:type="dxa" w:w="1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1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526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$25,000–$100,000</w:t>
            </w:r>
          </w:p>
        </w:tc>
        <w:tc>
          <w:tcPr>
            <w:tcW w:type="dxa" w:w="15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+70–85%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Ключевые выводы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 MAU UNDE = ценность для нескольких магазинов. </w:t>
      </w:r>
      <w:r>
        <w:rPr>
          <w:rFonts w:ascii="Arial" w:cs="Arial" w:eastAsia="Arial" w:hAnsi="Arial"/>
          <w:sz w:val="22"/>
          <w:szCs w:val="22"/>
        </w:rPr>
        <w:t xml:space="preserve">Совокупная ценность экосистемы на 1 MAU — $6–50/мес, UNDE захватывает растущую долю.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Низкий порог безубыточности. </w:t>
      </w:r>
      <w:r>
        <w:rPr>
          <w:rFonts w:ascii="Arial" w:cs="Arial" w:eastAsia="Arial" w:hAnsi="Arial"/>
          <w:sz w:val="22"/>
          <w:szCs w:val="22"/>
        </w:rPr>
        <w:t xml:space="preserve">$2/мес ARPU = $100/мес на магазин = меньше 1 дня аренды.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Казахстан = полигон, Дубай = двигатель прибыли. </w:t>
      </w:r>
      <w:r>
        <w:rPr>
          <w:rFonts w:ascii="Arial" w:cs="Arial" w:eastAsia="Arial" w:hAnsi="Arial"/>
          <w:sz w:val="22"/>
          <w:szCs w:val="22"/>
        </w:rPr>
        <w:t xml:space="preserve">В Казахстане маржа может быть околонулевой на старте; Дубай прибылен с первого Mall Seed.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Маржа растёт с обеих сторон. </w:t>
      </w:r>
      <w:r>
        <w:rPr>
          <w:rFonts w:ascii="Arial" w:cs="Arial" w:eastAsia="Arial" w:hAnsi="Arial"/>
          <w:sz w:val="22"/>
          <w:szCs w:val="22"/>
        </w:rPr>
        <w:t xml:space="preserve">ARPU вверх (больше партнёров), себестоимость/MAU вниз (масштаб).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$3–10/визит — защитимая цена. </w:t>
      </w:r>
      <w:r>
        <w:rPr>
          <w:rFonts w:ascii="Arial" w:cs="Arial" w:eastAsia="Arial" w:hAnsi="Arial"/>
          <w:sz w:val="22"/>
          <w:szCs w:val="22"/>
        </w:rPr>
        <w:t xml:space="preserve">Премия над сырым CPV обоснована подтверждением, квалификацией и ростом конверсии.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unde.ai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unde.ai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UNDE | Unit Economics &amp; CAC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2026-02-08T15:02:05.396Z</dcterms:created>
  <dcterms:modified xsi:type="dcterms:W3CDTF">2026-02-08T15:02:05.396Z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