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1F4E79"/>
          <w:sz w:val="36"/>
          <w:szCs w:val="36"/>
        </w:rPr>
        <w:t xml:space="preserve">RESEARCH PROPOSAL</w:t>
      </w:r>
    </w:p>
    <w:p>
      <w:pPr>
        <w:pBdr>
          <w:bottom w:val="single" w:color="2E75B6" w:sz="6" w:space="4"/>
        </w:pBdr>
        <w:spacing w:after="120" w:before="120"/>
        <w:jc w:val="center"/>
      </w:pPr>
      <w:r>
        <w:rPr>
          <w:rFonts w:ascii="Arial" w:cs="Arial" w:eastAsia="Arial" w:hAnsi="Arial"/>
          <w:b/>
          <w:bCs/>
          <w:color w:val="2E75B6"/>
          <w:sz w:val="30"/>
          <w:szCs w:val="30"/>
        </w:rPr>
        <w:t xml:space="preserve">AI-Based Discovery of Pre-Neoplastic Genomic Biomarkers</w:t>
      </w:r>
    </w:p>
    <w:p>
      <w:pPr>
        <w:spacing w:after="400" w:before="100"/>
        <w:jc w:val="center"/>
      </w:pPr>
      <w:r>
        <w:rPr>
          <w:rFonts w:ascii="Arial" w:cs="Arial" w:eastAsia="Arial" w:hAnsi="Arial"/>
          <w:b/>
          <w:bCs/>
          <w:color w:val="2E75B6"/>
          <w:sz w:val="28"/>
          <w:szCs w:val="28"/>
        </w:rPr>
        <w:t xml:space="preserve">for Grade 0 Brain Cancer Detection Using Multi-Omics Data</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Proposed By</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Full Name]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Affiliation</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University / Institution]</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[Your Email Address]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April 2026</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Target Journal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Frontiers in Artificial Intelligence (Medicine &amp; Public Health) / JMIR AI</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Study Type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Computational Bioinformatics — No wet lab required</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100% publicly available (KAIST 2026 / TCGA / CGGA / GTEx)</w:t>
            </w:r>
          </w:p>
        </w:tc>
      </w:tr>
    </w:tbl>
    <w:p>
      <w:pPr>
        <w:spacing w:after="60" w:before="60"/>
      </w:pPr>
      <w:r>
        <w:t xml:space="preserve"/>
      </w:r>
    </w:p>
    <w:p>
      <w:r>
        <w:br w:type="page"/>
      </w:r>
    </w:p>
    <w:p>
      <w:pPr>
        <w:pStyle w:val="Heading1"/>
        <w:spacing w:after="160" w:before="320"/>
      </w:pPr>
      <w:r>
        <w:rPr>
          <w:rFonts w:ascii="Arial" w:cs="Arial" w:eastAsia="Arial" w:hAnsi="Arial"/>
          <w:b/>
          <w:bCs/>
          <w:color w:val="1F4E79"/>
          <w:sz w:val="28"/>
          <w:szCs w:val="28"/>
        </w:rPr>
        <w:t xml:space="preserve">Abstract</w:t>
      </w:r>
    </w:p>
    <w:p>
      <w:pPr>
        <w:pBdr>
          <w:bottom w:val="single" w:color="2E75B6" w:sz="4" w:space="1"/>
        </w:pBdr>
        <w:spacing w:after="160" w:before="160"/>
      </w:pPr>
      <w:r>
        <w:t xml:space="preserve"/>
      </w:r>
    </w:p>
    <w:p>
      <w:pPr>
        <w:spacing w:after="100" w:before="80"/>
        <w:jc w:val="both"/>
      </w:pPr>
      <w:r>
        <w:rPr>
          <w:rFonts w:ascii="Arial" w:cs="Arial" w:eastAsia="Arial" w:hAnsi="Arial"/>
          <w:sz w:val="22"/>
          <w:szCs w:val="22"/>
        </w:rPr>
        <w:t xml:space="preserve">Brain cancer detection currently relies on imaging after a visible tumor has formed, missing the critical window when intervention could be most effective. Recent landmark research published in Science (Park et al., January 2026) demonstrated for the first time that IDH-mutant gliomas — the most common malignant brain tumors in adults under 50 — originate from genetically altered Glial Progenitor Cells (GPCs) in histologically normal-appearing cortical tissue, months or years before any detectable tumor mass forms. This pre-cancerous state, which we term "Grade 0," has never been studied using artificial intelligence or machine learning methods.</w:t>
      </w:r>
    </w:p>
    <w:p>
      <w:pPr>
        <w:spacing w:after="60" w:before="60"/>
      </w:pPr>
      <w:r>
        <w:t xml:space="preserve"/>
      </w:r>
    </w:p>
    <w:p>
      <w:pPr>
        <w:spacing w:after="100" w:before="80"/>
        <w:jc w:val="both"/>
      </w:pPr>
      <w:r>
        <w:rPr>
          <w:rFonts w:ascii="Arial" w:cs="Arial" w:eastAsia="Arial" w:hAnsi="Arial"/>
          <w:sz w:val="22"/>
          <w:szCs w:val="22"/>
        </w:rPr>
        <w:t xml:space="preserve">This study proposes to apply explainable AI (XAI) and multi-omics machine learning to publicly available genomic datasets — including the newly released KAIST 2026 dataset (GSE275791, PRJNA1149448, GSE302642), TCGA-LGG/GBM, GTEx healthy brain tissue, and the CGGA validation cohort — to discover a genomic biomarker signature capable of identifying Grade 0 pre-cancerous brain tissue. This would be the first AI-driven study to operationalize the biological discovery of Park et al. (2026) and could lay the groundwork for a clinical early-warning test for IDH-mutant glioma decades before tumor formation.</w:t>
      </w:r>
    </w:p>
    <w:p>
      <w:pPr>
        <w:spacing w:after="60" w:before="60"/>
      </w:pPr>
      <w:r>
        <w:t xml:space="preserve"/>
      </w:r>
    </w:p>
    <w:p>
      <w:pPr>
        <w:spacing w:after="80" w:before="120"/>
      </w:pPr>
      <w:r>
        <w:rPr>
          <w:rFonts w:ascii="Arial" w:cs="Arial" w:eastAsia="Arial" w:hAnsi="Arial"/>
          <w:b/>
          <w:bCs/>
          <w:sz w:val="22"/>
          <w:szCs w:val="22"/>
        </w:rPr>
        <w:t xml:space="preserve">Keywords: </w:t>
      </w:r>
      <w:r>
        <w:rPr>
          <w:rFonts w:ascii="Arial" w:cs="Arial" w:eastAsia="Arial" w:hAnsi="Arial"/>
          <w:i/>
          <w:iCs/>
          <w:sz w:val="22"/>
          <w:szCs w:val="22"/>
        </w:rPr>
        <w:t xml:space="preserve">Grade 0 brain cancer, pre-neoplastic biomarkers, IDH mutation, glial progenitor cells, explainable AI, multi-omics, spatial transcriptomics, TCGA, machine learning, glioma early detection</w:t>
      </w:r>
    </w:p>
    <w:p>
      <w:r>
        <w:br w:type="page"/>
      </w:r>
    </w:p>
    <w:p>
      <w:pPr>
        <w:pStyle w:val="Heading1"/>
        <w:spacing w:after="160" w:before="320"/>
      </w:pPr>
      <w:r>
        <w:rPr>
          <w:rFonts w:ascii="Arial" w:cs="Arial" w:eastAsia="Arial" w:hAnsi="Arial"/>
          <w:b/>
          <w:bCs/>
          <w:color w:val="1F4E79"/>
          <w:sz w:val="28"/>
          <w:szCs w:val="28"/>
        </w:rPr>
        <w:t xml:space="preserve">1. Background and Rationale</w:t>
      </w:r>
    </w:p>
    <w:p>
      <w:pPr>
        <w:pBdr>
          <w:bottom w:val="single" w:color="2E75B6" w:sz="4" w:space="1"/>
        </w:pBdr>
        <w:spacing w:after="160" w:before="160"/>
      </w:pPr>
      <w:r>
        <w:t xml:space="preserve"/>
      </w:r>
    </w:p>
    <w:p>
      <w:pPr>
        <w:pStyle w:val="Heading2"/>
        <w:spacing w:after="120" w:before="240"/>
      </w:pPr>
      <w:r>
        <w:rPr>
          <w:rFonts w:ascii="Arial" w:cs="Arial" w:eastAsia="Arial" w:hAnsi="Arial"/>
          <w:b/>
          <w:bCs/>
          <w:color w:val="2E75B6"/>
          <w:sz w:val="24"/>
          <w:szCs w:val="24"/>
        </w:rPr>
        <w:t xml:space="preserve">1.1 The Problem: Brain Cancer Is Detected Too Late</w:t>
      </w:r>
    </w:p>
    <w:p>
      <w:pPr>
        <w:spacing w:after="100" w:before="80"/>
        <w:jc w:val="both"/>
      </w:pPr>
      <w:r>
        <w:rPr>
          <w:rFonts w:ascii="Arial" w:cs="Arial" w:eastAsia="Arial" w:hAnsi="Arial"/>
          <w:sz w:val="22"/>
          <w:szCs w:val="22"/>
        </w:rPr>
        <w:t xml:space="preserve">Glioma is among the most lethal of all cancers. The current WHO classification grades brain tumors from Grade 1 (low-grade, slow-growing) to Grade 4 (glioblastoma, median survival under 15 months). By the time a tumor reaches Grade 1 — the earliest clinically recognized stage — it has already been developing silently for years. No diagnostic test currently exists to detect brain cancer before a visible mass forms. This late-detection problem is the primary reason survival rates for high-grade glioma remain so poor despite decades of research.</w:t>
      </w:r>
    </w:p>
    <w:p>
      <w:pPr>
        <w:pStyle w:val="Heading2"/>
        <w:spacing w:after="120" w:before="240"/>
      </w:pPr>
      <w:r>
        <w:rPr>
          <w:rFonts w:ascii="Arial" w:cs="Arial" w:eastAsia="Arial" w:hAnsi="Arial"/>
          <w:b/>
          <w:bCs/>
          <w:color w:val="2E75B6"/>
          <w:sz w:val="24"/>
          <w:szCs w:val="24"/>
        </w:rPr>
        <w:t xml:space="preserve">1.2 The 2026 Breakthrough: "Grade 0" Is Biologically Real</w:t>
      </w:r>
    </w:p>
    <w:p>
      <w:pPr>
        <w:spacing w:after="100" w:before="80"/>
        <w:jc w:val="both"/>
      </w:pPr>
      <w:r>
        <w:rPr>
          <w:rFonts w:ascii="Arial" w:cs="Arial" w:eastAsia="Arial" w:hAnsi="Arial"/>
          <w:sz w:val="22"/>
          <w:szCs w:val="22"/>
        </w:rPr>
        <w:t xml:space="preserve">In January 2026, a joint team from KAIST and Yonsei University Severance Hospital published a landmark study in Science (Park et al., 2026; DOI: 10.1126/science.adt0559). Through ultrasensitive deep sequencing of 142 tissue samples from 70 patients — including tumor, peritumoral cortex, and blood — they discovered that IDH mutations were already present in histologically normal brain tissue in approximately 38% of glioma patients. Using spatial transcriptomics, they confirmed these pre-cancerous cells were Glial Progenitor Cells (GPCs), including oligodendrocyte progenitor cells (OPCs), located in the cerebral cortex — a state that precedes visible tumor formation and which this proposal terms "Grade 0."</w:t>
      </w:r>
    </w:p>
    <w:p>
      <w:pPr>
        <w:spacing w:after="100" w:before="80"/>
        <w:jc w:val="both"/>
      </w:pPr>
      <w:r>
        <w:rPr>
          <w:rFonts w:ascii="Arial" w:cs="Arial" w:eastAsia="Arial" w:hAnsi="Arial"/>
          <w:sz w:val="22"/>
          <w:szCs w:val="22"/>
        </w:rPr>
        <w:t xml:space="preserve">This proves for the first time that brain cancer does not emerge suddenly; it progresses silently through an identifiable molecular stage. However, this work was entirely biological — no AI or machine learning analysis was applied to the data. The genomic signatures that distinguish Grade 0 tissue from both healthy tissue and from established Grade 2-4 tumors remain undefined. This is the gap this study targets.</w:t>
      </w:r>
    </w:p>
    <w:p>
      <w:pPr>
        <w:pStyle w:val="Heading2"/>
        <w:spacing w:after="120" w:before="240"/>
      </w:pPr>
      <w:r>
        <w:rPr>
          <w:rFonts w:ascii="Arial" w:cs="Arial" w:eastAsia="Arial" w:hAnsi="Arial"/>
          <w:b/>
          <w:bCs/>
          <w:color w:val="2E75B6"/>
          <w:sz w:val="24"/>
          <w:szCs w:val="24"/>
        </w:rPr>
        <w:t xml:space="preserve">1.3 The Opportunity: AI Has Never Been Applied to This Problem</w:t>
      </w:r>
    </w:p>
    <w:p>
      <w:pPr>
        <w:spacing w:after="100" w:before="80"/>
        <w:jc w:val="both"/>
      </w:pPr>
      <w:r>
        <w:rPr>
          <w:rFonts w:ascii="Arial" w:cs="Arial" w:eastAsia="Arial" w:hAnsi="Arial"/>
          <w:sz w:val="22"/>
          <w:szCs w:val="22"/>
        </w:rPr>
        <w:t xml:space="preserve">Despite explosive growth in AI applications to brain cancer research — from tumor segmentation to grade classification and survival prediction — no study has applied machine learning to the detection of pre-neoplastic brain tissue. The KAIST dataset, released publicly alongside the 2026 Science paper, provides the first-ever sequenced collection of Grade 0 tissue. Combined with TCGA's large-scale glioma genomics and GTEx's healthy brain transcriptomics, a robust multi-omics AI model is now computationally feasible — entirely without laboratory access.</w:t>
      </w:r>
    </w:p>
    <w:p>
      <w:r>
        <w:br w:type="page"/>
      </w:r>
    </w:p>
    <w:p>
      <w:pPr>
        <w:pStyle w:val="Heading1"/>
        <w:spacing w:after="160" w:before="320"/>
      </w:pPr>
      <w:r>
        <w:rPr>
          <w:rFonts w:ascii="Arial" w:cs="Arial" w:eastAsia="Arial" w:hAnsi="Arial"/>
          <w:b/>
          <w:bCs/>
          <w:color w:val="1F4E79"/>
          <w:sz w:val="28"/>
          <w:szCs w:val="28"/>
        </w:rPr>
        <w:t xml:space="preserve">2. Research Objectives</w:t>
      </w:r>
    </w:p>
    <w:p>
      <w:pPr>
        <w:pBdr>
          <w:bottom w:val="single" w:color="2E75B6" w:sz="4" w:space="1"/>
        </w:pBdr>
        <w:spacing w:after="160" w:before="160"/>
      </w:pPr>
      <w:r>
        <w:t xml:space="preserve"/>
      </w:r>
    </w:p>
    <w:p>
      <w:pPr>
        <w:spacing w:after="100" w:before="80"/>
        <w:jc w:val="left"/>
      </w:pPr>
      <w:r>
        <w:rPr>
          <w:rFonts w:ascii="Arial" w:cs="Arial" w:eastAsia="Arial" w:hAnsi="Arial"/>
          <w:sz w:val="22"/>
          <w:szCs w:val="22"/>
        </w:rPr>
        <w:t xml:space="preserve">This study has four primary objectives: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To identify differential genomic, transcriptomic, and epigenomic signatures between histologically normal brain tissue harboring IDH mutations (Grade 0), confirmed tumor tissue (Grades 2-4), and true healthy brain tissue using multi-omics analysis.</w:t>
      </w:r>
    </w:p>
    <w:p>
      <w:pPr>
        <w:pStyle w:val="ListParagraph"/>
        <w:numPr>
          <w:ilvl w:val="0"/>
          <w:numId w:val="2"/>
        </w:numPr>
        <w:spacing w:after="60" w:before="60"/>
      </w:pPr>
      <w:r>
        <w:rPr>
          <w:rFonts w:ascii="Arial" w:cs="Arial" w:eastAsia="Arial" w:hAnsi="Arial"/>
          <w:sz w:val="22"/>
          <w:szCs w:val="22"/>
        </w:rPr>
        <w:t xml:space="preserve">To develop and train an explainable AI (XAI) model capable of classifying brain tissue into Grade 0 (pre-cancerous), Grade 2-4 (tumor), and Normal (healthy) categories based on genomic features alone.</w:t>
      </w:r>
    </w:p>
    <w:p>
      <w:pPr>
        <w:pStyle w:val="ListParagraph"/>
        <w:numPr>
          <w:ilvl w:val="0"/>
          <w:numId w:val="2"/>
        </w:numPr>
        <w:spacing w:after="60" w:before="60"/>
      </w:pPr>
      <w:r>
        <w:rPr>
          <w:rFonts w:ascii="Arial" w:cs="Arial" w:eastAsia="Arial" w:hAnsi="Arial"/>
          <w:sz w:val="22"/>
          <w:szCs w:val="22"/>
        </w:rPr>
        <w:t xml:space="preserve">To discover a minimal, clinically interpretable genomic biomarker panel — specifically targeting IDH mutation co-occurring signatures, GPC/OPC gene expression markers, and DNA methylation changes — that distinguishes Grade 0 tissue with high sensitivity and specificity.</w:t>
      </w:r>
    </w:p>
    <w:p>
      <w:pPr>
        <w:pStyle w:val="ListParagraph"/>
        <w:numPr>
          <w:ilvl w:val="0"/>
          <w:numId w:val="2"/>
        </w:numPr>
        <w:spacing w:after="60" w:before="60"/>
      </w:pPr>
      <w:r>
        <w:rPr>
          <w:rFonts w:ascii="Arial" w:cs="Arial" w:eastAsia="Arial" w:hAnsi="Arial"/>
          <w:sz w:val="22"/>
          <w:szCs w:val="22"/>
        </w:rPr>
        <w:t xml:space="preserve">To validate the proposed biomarker panel on an independent cohort (CGGA) and assess its potential as a foundation for a future non-invasive early detection test.</w:t>
      </w:r>
    </w:p>
    <w:p>
      <w:r>
        <w:br w:type="page"/>
      </w:r>
    </w:p>
    <w:p>
      <w:pPr>
        <w:pStyle w:val="Heading1"/>
        <w:spacing w:after="160" w:before="320"/>
      </w:pPr>
      <w:r>
        <w:rPr>
          <w:rFonts w:ascii="Arial" w:cs="Arial" w:eastAsia="Arial" w:hAnsi="Arial"/>
          <w:b/>
          <w:bCs/>
          <w:color w:val="1F4E79"/>
          <w:sz w:val="28"/>
          <w:szCs w:val="28"/>
        </w:rPr>
        <w:t xml:space="preserve">3. Novelty and Scientific Contribution</w:t>
      </w:r>
    </w:p>
    <w:p>
      <w:pPr>
        <w:pBdr>
          <w:bottom w:val="single" w:color="2E75B6" w:sz="4" w:space="1"/>
        </w:pBdr>
        <w:spacing w:after="160" w:before="160"/>
      </w:pPr>
      <w:r>
        <w:t xml:space="preserve"/>
      </w:r>
    </w:p>
    <w:p>
      <w:pPr>
        <w:spacing w:after="100" w:before="80"/>
        <w:jc w:val="left"/>
      </w:pPr>
      <w:r>
        <w:rPr>
          <w:rFonts w:ascii="Arial" w:cs="Arial" w:eastAsia="Arial" w:hAnsi="Arial"/>
          <w:sz w:val="22"/>
          <w:szCs w:val="22"/>
        </w:rPr>
        <w:t xml:space="preserve">This research makes the following original contributions to the field:</w:t>
      </w:r>
    </w:p>
    <w:p>
      <w:pPr>
        <w:spacing w:after="60" w:before="60"/>
      </w:pPr>
      <w:r>
        <w:t xml:space="preserve"/>
      </w:r>
    </w:p>
    <w:p>
      <w:pPr>
        <w:pStyle w:val="ListParagraph"/>
        <w:numPr>
          <w:ilvl w:val="0"/>
          <w:numId w:val="3"/>
        </w:numPr>
        <w:spacing w:after="60" w:before="60"/>
      </w:pPr>
      <w:r>
        <w:rPr>
          <w:rFonts w:ascii="Arial" w:cs="Arial" w:eastAsia="Arial" w:hAnsi="Arial"/>
          <w:b/>
          <w:bCs/>
          <w:sz w:val="22"/>
          <w:szCs w:val="22"/>
        </w:rPr>
        <w:t xml:space="preserve">First AI study on Grade 0: </w:t>
      </w:r>
      <w:r>
        <w:rPr>
          <w:rFonts w:ascii="Arial" w:cs="Arial" w:eastAsia="Arial" w:hAnsi="Arial"/>
          <w:sz w:val="22"/>
          <w:szCs w:val="22"/>
        </w:rPr>
        <w:t xml:space="preserve">First AI study on Grade 0 brain cancer:</w:t>
      </w:r>
    </w:p>
    <w:p>
      <w:pPr>
        <w:pStyle w:val="ListParagraph"/>
        <w:numPr>
          <w:ilvl w:val="0"/>
          <w:numId w:val="3"/>
        </w:numPr>
        <w:spacing w:after="60" w:before="60"/>
      </w:pPr>
      <w:r>
        <w:rPr>
          <w:rFonts w:ascii="Arial" w:cs="Arial" w:eastAsia="Arial" w:hAnsi="Arial"/>
          <w:sz w:val="22"/>
          <w:szCs w:val="22"/>
        </w:rPr>
        <w:t xml:space="preserve">No existing published work applies machine learning to pre-neoplastic brain tissue sequencing data. This study is the direct AI-application follow-up to the Park et al. (2026) biological discovery.</w:t>
      </w:r>
    </w:p>
    <w:p>
      <w:pPr>
        <w:spacing w:after="60" w:before="60"/>
      </w:pPr>
      <w:r>
        <w:t xml:space="preserve"/>
      </w:r>
    </w:p>
    <w:p>
      <w:pPr>
        <w:pStyle w:val="ListParagraph"/>
        <w:numPr>
          <w:ilvl w:val="0"/>
          <w:numId w:val="3"/>
        </w:numPr>
        <w:spacing w:after="60" w:before="60"/>
      </w:pPr>
      <w:r>
        <w:rPr>
          <w:rFonts w:ascii="Arial" w:cs="Arial" w:eastAsia="Arial" w:hAnsi="Arial"/>
          <w:b/>
          <w:bCs/>
          <w:sz w:val="22"/>
          <w:szCs w:val="22"/>
        </w:rPr>
        <w:t xml:space="preserve">First use of KAIST 2026 dataset in an AI study: </w:t>
      </w: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The KAIST dataset (GSE275791, PRJNA1149448, GSE302642) was released publicly in January 2026 and has not yet been used in any machine learning or bioinformatics AI publication.</w:t>
      </w:r>
    </w:p>
    <w:p>
      <w:pPr>
        <w:spacing w:after="60" w:before="60"/>
      </w:pPr>
      <w:r>
        <w:t xml:space="preserve"/>
      </w:r>
    </w:p>
    <w:p>
      <w:pPr>
        <w:pStyle w:val="ListParagraph"/>
        <w:numPr>
          <w:ilvl w:val="0"/>
          <w:numId w:val="3"/>
        </w:numPr>
        <w:spacing w:after="60" w:before="60"/>
      </w:pPr>
      <w:r>
        <w:rPr>
          <w:rFonts w:ascii="Arial" w:cs="Arial" w:eastAsia="Arial" w:hAnsi="Arial"/>
          <w:b/>
          <w:bCs/>
          <w:sz w:val="22"/>
          <w:szCs w:val="22"/>
        </w:rPr>
        <w:t xml:space="preserve">Novel 4-class multi-omics framework: </w:t>
      </w: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By integrating KAIST (Grade 0), TCGA (Grades 2-4), and GTEx (healthy normal) into a single analytical framework, this study creates the first multi-omics Grade 0-to-Grade 4 cancer progression dataset for AI modeling.</w:t>
      </w:r>
    </w:p>
    <w:p>
      <w:pPr>
        <w:spacing w:after="60" w:before="60"/>
      </w:pPr>
      <w:r>
        <w:t xml:space="preserve"/>
      </w:r>
    </w:p>
    <w:p>
      <w:pPr>
        <w:pStyle w:val="ListParagraph"/>
        <w:numPr>
          <w:ilvl w:val="0"/>
          <w:numId w:val="3"/>
        </w:numPr>
        <w:spacing w:after="60" w:before="60"/>
      </w:pPr>
      <w:r>
        <w:rPr>
          <w:rFonts w:ascii="Arial" w:cs="Arial" w:eastAsia="Arial" w:hAnsi="Arial"/>
          <w:b/>
          <w:bCs/>
          <w:sz w:val="22"/>
          <w:szCs w:val="22"/>
        </w:rPr>
        <w:t xml:space="preserve">Clinically actionable output: </w:t>
      </w:r>
      <w:r>
        <w:rPr>
          <w:rFonts w:ascii="Arial" w:cs="Arial" w:eastAsia="Arial" w:hAnsi="Arial"/>
          <w:sz w:val="22"/>
          <w:szCs w:val="22"/>
        </w:rPr>
        <w:t xml:space="preserve"/>
      </w:r>
    </w:p>
    <w:p>
      <w:pPr>
        <w:pStyle w:val="ListParagraph"/>
        <w:numPr>
          <w:ilvl w:val="0"/>
          <w:numId w:val="3"/>
        </w:numPr>
        <w:spacing w:after="60" w:before="60"/>
      </w:pPr>
      <w:r>
        <w:rPr>
          <w:rFonts w:ascii="Arial" w:cs="Arial" w:eastAsia="Arial" w:hAnsi="Arial"/>
          <w:sz w:val="22"/>
          <w:szCs w:val="22"/>
        </w:rPr>
        <w:t xml:space="preserve">The explainable biomarker panel produced by this study could, in future work, underpin a blood-based or CSF-based early detection test, similar in concept to liquid biopsy approaches used in other cancers.</w:t>
      </w:r>
    </w:p>
    <w:p>
      <w:r>
        <w:br w:type="page"/>
      </w:r>
    </w:p>
    <w:p>
      <w:pPr>
        <w:pStyle w:val="Heading1"/>
        <w:spacing w:after="160" w:before="320"/>
      </w:pPr>
      <w:r>
        <w:rPr>
          <w:rFonts w:ascii="Arial" w:cs="Arial" w:eastAsia="Arial" w:hAnsi="Arial"/>
          <w:b/>
          <w:bCs/>
          <w:color w:val="1F4E79"/>
          <w:sz w:val="28"/>
          <w:szCs w:val="28"/>
        </w:rPr>
        <w:t xml:space="preserve">4. Methodology</w:t>
      </w:r>
    </w:p>
    <w:p>
      <w:pPr>
        <w:pBdr>
          <w:bottom w:val="single" w:color="2E75B6" w:sz="4" w:space="1"/>
        </w:pBdr>
        <w:spacing w:after="160" w:before="160"/>
      </w:pPr>
      <w:r>
        <w:t xml:space="preserve"/>
      </w:r>
    </w:p>
    <w:p>
      <w:pPr>
        <w:pStyle w:val="Heading2"/>
        <w:spacing w:after="120" w:before="240"/>
      </w:pPr>
      <w:r>
        <w:rPr>
          <w:rFonts w:ascii="Arial" w:cs="Arial" w:eastAsia="Arial" w:hAnsi="Arial"/>
          <w:b/>
          <w:bCs/>
          <w:color w:val="2E75B6"/>
          <w:sz w:val="24"/>
          <w:szCs w:val="24"/>
        </w:rPr>
        <w:t xml:space="preserve">4.1 Study Design Overview</w:t>
      </w:r>
    </w:p>
    <w:p>
      <w:pPr>
        <w:spacing w:after="100" w:before="80"/>
        <w:jc w:val="both"/>
      </w:pPr>
      <w:r>
        <w:rPr>
          <w:rFonts w:ascii="Arial" w:cs="Arial" w:eastAsia="Arial" w:hAnsi="Arial"/>
          <w:sz w:val="22"/>
          <w:szCs w:val="22"/>
        </w:rPr>
        <w:t xml:space="preserve">This is a fully computational, retrospective multi-omics study. No patient recruitment, biological laboratory work, or clinical access is required. All data is publicly available and freely downloadable. The study follows a four-phase pipeline: data integration, exploratory analysis, AI model development, and independent validation.</w:t>
      </w:r>
    </w:p>
    <w:p>
      <w:pPr>
        <w:pStyle w:val="Heading2"/>
        <w:spacing w:after="120" w:before="240"/>
      </w:pPr>
      <w:r>
        <w:rPr>
          <w:rFonts w:ascii="Arial" w:cs="Arial" w:eastAsia="Arial" w:hAnsi="Arial"/>
          <w:b/>
          <w:bCs/>
          <w:color w:val="2E75B6"/>
          <w:sz w:val="24"/>
          <w:szCs w:val="24"/>
        </w:rPr>
        <w:t xml:space="preserve">4.2 Datasets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200"/>
        <w:gridCol w:w="1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Dataset</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Role in Study</w:t>
            </w:r>
          </w:p>
        </w:tc>
        <w:tc>
          <w:tcPr>
            <w:tcW w:type="dxa" w:w="14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Sample Size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Data Types</w:t>
            </w:r>
          </w:p>
        </w:tc>
        <w:tc>
          <w:tcPr>
            <w:tcW w:type="dxa" w:w="1960"/>
            <w:tcBorders>
              <w:top w:val="single" w:color="AAAAAA" w:sz="1"/>
              <w:left w:val="single" w:color="AAAAAA" w:sz="1"/>
              <w:bottom w:val="single" w:color="AAAAAA" w:sz="1"/>
              <w:right w:val="single" w:color="AAAAAA" w:sz="1"/>
            </w:tcBorders>
            <w:shd w:fill="1F4E79" w:val="clear"/>
            <w:tcMar>
              <w:top w:type="dxa" w:w="80"/>
              <w:left w:type="dxa" w:w="100"/>
              <w:bottom w:type="dxa" w:w="80"/>
              <w:right w:type="dxa" w:w="100"/>
            </w:tcMar>
          </w:tcPr>
          <w:p>
            <w:r>
              <w:rPr>
                <w:rFonts w:ascii="Arial" w:cs="Arial" w:eastAsia="Arial" w:hAnsi="Arial"/>
                <w:b/>
                <w:bCs/>
                <w:color w:val="FFFFFF"/>
                <w:sz w:val="18"/>
                <w:szCs w:val="18"/>
              </w:rPr>
              <w:t xml:space="preserve">Access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KAIST 2026
(GSE275791,
PRJNA1149448,
GSE302642)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Grade 0 anchor
— pre-cancerous
normal tissue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70 individuals,
142 tissue
samples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WGS, panel
sequencing,
spatial
transcriptomics</w:t>
            </w:r>
          </w:p>
        </w:tc>
        <w:tc>
          <w:tcPr>
            <w:tcW w:type="dxa" w:w="19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Free, public</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TCGA-LGG +
TCGA-GBM</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Main training
data — Grades
2, 3, 4 glioma</w:t>
            </w:r>
          </w:p>
        </w:tc>
        <w:tc>
          <w:tcPr>
            <w:tcW w:type="dxa" w:w="14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~1,100 samples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DNA methylation,
RNA-seq,
somatic mutations,
CNV</w:t>
            </w:r>
          </w:p>
        </w:tc>
        <w:tc>
          <w:tcPr>
            <w:tcW w:type="dxa" w:w="19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Free, public</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GTEx
(Brain tissue)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True healthy
normal baseline
control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~1,000 samples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RNA-seq, gene
expression
profiles</w:t>
            </w:r>
          </w:p>
        </w:tc>
        <w:tc>
          <w:tcPr>
            <w:tcW w:type="dxa" w:w="196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Free, public</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CGGA</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Independent
validation
cohort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1,000+ glioma
samples</w:t>
            </w:r>
          </w:p>
        </w:tc>
        <w:tc>
          <w:tcPr>
            <w:tcW w:type="dxa" w:w="2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WES, methylation,
mRNA-seq,
IDH status</w:t>
            </w:r>
          </w:p>
        </w:tc>
        <w:tc>
          <w:tcPr>
            <w:tcW w:type="dxa" w:w="196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Free, public</w:t>
            </w:r>
          </w:p>
        </w:tc>
      </w:tr>
    </w:tbl>
    <w:p>
      <w:pPr>
        <w:spacing w:after="60" w:before="60"/>
      </w:pPr>
      <w:r>
        <w:t xml:space="preserve"/>
      </w:r>
    </w:p>
    <w:p>
      <w:pPr>
        <w:pStyle w:val="Heading2"/>
        <w:spacing w:after="120" w:before="240"/>
      </w:pPr>
      <w:r>
        <w:rPr>
          <w:rFonts w:ascii="Arial" w:cs="Arial" w:eastAsia="Arial" w:hAnsi="Arial"/>
          <w:b/>
          <w:bCs/>
          <w:color w:val="2E75B6"/>
          <w:sz w:val="24"/>
          <w:szCs w:val="24"/>
        </w:rPr>
        <w:t xml:space="preserve">4.3 Data Types and Preprocessing</w:t>
      </w:r>
    </w:p>
    <w:p>
      <w:pPr>
        <w:spacing w:after="80" w:before="180"/>
      </w:pPr>
      <w:r>
        <w:rPr>
          <w:rFonts w:ascii="Arial" w:cs="Arial" w:eastAsia="Arial" w:hAnsi="Arial"/>
          <w:b/>
          <w:bCs/>
          <w:i/>
          <w:iCs/>
          <w:color w:val="404040"/>
          <w:sz w:val="22"/>
          <w:szCs w:val="22"/>
        </w:rPr>
        <w:t xml:space="preserve">4.3.1 From KAIST Dataset (Grade 0 anchor)</w:t>
      </w:r>
    </w:p>
    <w:p>
      <w:pPr>
        <w:pStyle w:val="ListParagraph"/>
        <w:numPr>
          <w:ilvl w:val="0"/>
          <w:numId w:val="3"/>
        </w:numPr>
        <w:spacing w:after="60" w:before="60"/>
      </w:pPr>
      <w:r>
        <w:rPr>
          <w:rFonts w:ascii="Arial" w:cs="Arial" w:eastAsia="Arial" w:hAnsi="Arial"/>
          <w:sz w:val="22"/>
          <w:szCs w:val="22"/>
        </w:rPr>
        <w:t xml:space="preserve">Whole-genome sequencing (WGS) from tumor, peritumoral cortex, and blood</w:t>
      </w:r>
    </w:p>
    <w:p>
      <w:pPr>
        <w:pStyle w:val="ListParagraph"/>
        <w:numPr>
          <w:ilvl w:val="0"/>
          <w:numId w:val="3"/>
        </w:numPr>
        <w:spacing w:after="60" w:before="60"/>
      </w:pPr>
      <w:r>
        <w:rPr>
          <w:rFonts w:ascii="Arial" w:cs="Arial" w:eastAsia="Arial" w:hAnsi="Arial"/>
          <w:sz w:val="22"/>
          <w:szCs w:val="22"/>
        </w:rPr>
        <w:t xml:space="preserve">15-gene glioma panel sequencing — IDH1/2, TP53, ATRX, TERT promoter, 1p/19q status</w:t>
      </w:r>
    </w:p>
    <w:p>
      <w:pPr>
        <w:pStyle w:val="ListParagraph"/>
        <w:numPr>
          <w:ilvl w:val="0"/>
          <w:numId w:val="3"/>
        </w:numPr>
        <w:spacing w:after="60" w:before="60"/>
      </w:pPr>
      <w:r>
        <w:rPr>
          <w:rFonts w:ascii="Arial" w:cs="Arial" w:eastAsia="Arial" w:hAnsi="Arial"/>
          <w:sz w:val="22"/>
          <w:szCs w:val="22"/>
        </w:rPr>
        <w:t xml:space="preserve">Spatial transcriptomics — gene expression mapped to anatomical cortical locations</w:t>
      </w:r>
    </w:p>
    <w:p>
      <w:pPr>
        <w:pStyle w:val="ListParagraph"/>
        <w:numPr>
          <w:ilvl w:val="0"/>
          <w:numId w:val="3"/>
        </w:numPr>
        <w:spacing w:after="60" w:before="60"/>
      </w:pPr>
      <w:r>
        <w:rPr>
          <w:rFonts w:ascii="Arial" w:cs="Arial" w:eastAsia="Arial" w:hAnsi="Arial"/>
          <w:sz w:val="22"/>
          <w:szCs w:val="22"/>
        </w:rPr>
        <w:t xml:space="preserve">Preprocessing: alignment to GRCh38 reference genome, variant calling with GATK, spatial data processing with Seurat/Scanpy</w:t>
      </w:r>
    </w:p>
    <w:p>
      <w:pPr>
        <w:spacing w:after="80" w:before="180"/>
      </w:pPr>
      <w:r>
        <w:rPr>
          <w:rFonts w:ascii="Arial" w:cs="Arial" w:eastAsia="Arial" w:hAnsi="Arial"/>
          <w:b/>
          <w:bCs/>
          <w:i/>
          <w:iCs/>
          <w:color w:val="404040"/>
          <w:sz w:val="22"/>
          <w:szCs w:val="22"/>
        </w:rPr>
        <w:t xml:space="preserve">4.3.2 From TCGA (Grades 2-4)</w:t>
      </w:r>
    </w:p>
    <w:p>
      <w:pPr>
        <w:pStyle w:val="ListParagraph"/>
        <w:numPr>
          <w:ilvl w:val="0"/>
          <w:numId w:val="3"/>
        </w:numPr>
        <w:spacing w:after="60" w:before="60"/>
      </w:pPr>
      <w:r>
        <w:rPr>
          <w:rFonts w:ascii="Arial" w:cs="Arial" w:eastAsia="Arial" w:hAnsi="Arial"/>
          <w:sz w:val="22"/>
          <w:szCs w:val="22"/>
        </w:rPr>
        <w:t xml:space="preserve">DNA methylation (Illumina 450K array) — differential methylation analysis via minfi</w:t>
      </w:r>
    </w:p>
    <w:p>
      <w:pPr>
        <w:pStyle w:val="ListParagraph"/>
        <w:numPr>
          <w:ilvl w:val="0"/>
          <w:numId w:val="3"/>
        </w:numPr>
        <w:spacing w:after="60" w:before="60"/>
      </w:pPr>
      <w:r>
        <w:rPr>
          <w:rFonts w:ascii="Arial" w:cs="Arial" w:eastAsia="Arial" w:hAnsi="Arial"/>
          <w:sz w:val="22"/>
          <w:szCs w:val="22"/>
        </w:rPr>
        <w:t xml:space="preserve">RNA-seq gene expression — normalization with DESeq2, batch correction with ComBat-Seq</w:t>
      </w:r>
    </w:p>
    <w:p>
      <w:pPr>
        <w:pStyle w:val="ListParagraph"/>
        <w:numPr>
          <w:ilvl w:val="0"/>
          <w:numId w:val="3"/>
        </w:numPr>
        <w:spacing w:after="60" w:before="60"/>
      </w:pPr>
      <w:r>
        <w:rPr>
          <w:rFonts w:ascii="Arial" w:cs="Arial" w:eastAsia="Arial" w:hAnsi="Arial"/>
          <w:sz w:val="22"/>
          <w:szCs w:val="22"/>
        </w:rPr>
        <w:t xml:space="preserve">Somatic mutation calls — IDH1/2, EGFR, PTEN, CDKN2A/B, 1p/19q codeletion status</w:t>
      </w:r>
    </w:p>
    <w:p>
      <w:pPr>
        <w:pStyle w:val="ListParagraph"/>
        <w:numPr>
          <w:ilvl w:val="0"/>
          <w:numId w:val="3"/>
        </w:numPr>
        <w:spacing w:after="60" w:before="60"/>
      </w:pPr>
      <w:r>
        <w:rPr>
          <w:rFonts w:ascii="Arial" w:cs="Arial" w:eastAsia="Arial" w:hAnsi="Arial"/>
          <w:sz w:val="22"/>
          <w:szCs w:val="22"/>
        </w:rPr>
        <w:t xml:space="preserve">Copy number variation (CNV) — chromosome 7 gain, chromosome 10 loss</w:t>
      </w:r>
    </w:p>
    <w:p>
      <w:pPr>
        <w:spacing w:after="80" w:before="180"/>
      </w:pPr>
      <w:r>
        <w:rPr>
          <w:rFonts w:ascii="Arial" w:cs="Arial" w:eastAsia="Arial" w:hAnsi="Arial"/>
          <w:b/>
          <w:bCs/>
          <w:i/>
          <w:iCs/>
          <w:color w:val="404040"/>
          <w:sz w:val="22"/>
          <w:szCs w:val="22"/>
        </w:rPr>
        <w:t xml:space="preserve">4.3.3 From GTEx (Healthy Normal)</w:t>
      </w:r>
    </w:p>
    <w:p>
      <w:pPr>
        <w:pStyle w:val="ListParagraph"/>
        <w:numPr>
          <w:ilvl w:val="0"/>
          <w:numId w:val="3"/>
        </w:numPr>
        <w:spacing w:after="60" w:before="60"/>
      </w:pPr>
      <w:r>
        <w:rPr>
          <w:rFonts w:ascii="Arial" w:cs="Arial" w:eastAsia="Arial" w:hAnsi="Arial"/>
          <w:sz w:val="22"/>
          <w:szCs w:val="22"/>
        </w:rPr>
        <w:t xml:space="preserve">Brain-region-specific RNA-seq (frontal cortex, hippocampus, cerebellum)</w:t>
      </w:r>
    </w:p>
    <w:p>
      <w:pPr>
        <w:pStyle w:val="ListParagraph"/>
        <w:numPr>
          <w:ilvl w:val="0"/>
          <w:numId w:val="3"/>
        </w:numPr>
        <w:spacing w:after="60" w:before="60"/>
      </w:pPr>
      <w:r>
        <w:rPr>
          <w:rFonts w:ascii="Arial" w:cs="Arial" w:eastAsia="Arial" w:hAnsi="Arial"/>
          <w:sz w:val="22"/>
          <w:szCs w:val="22"/>
        </w:rPr>
        <w:t xml:space="preserve">Processed using GTEx V10 pipeline; filtered to brain regions relevant to glioma origin</w:t>
      </w:r>
    </w:p>
    <w:p>
      <w:pPr>
        <w:pStyle w:val="Heading2"/>
        <w:spacing w:after="120" w:before="240"/>
      </w:pPr>
      <w:r>
        <w:rPr>
          <w:rFonts w:ascii="Arial" w:cs="Arial" w:eastAsia="Arial" w:hAnsi="Arial"/>
          <w:b/>
          <w:bCs/>
          <w:color w:val="2E75B6"/>
          <w:sz w:val="24"/>
          <w:szCs w:val="24"/>
        </w:rPr>
        <w:t xml:space="preserve">4.4 Analytical Pipeline</w:t>
      </w:r>
    </w:p>
    <w:p>
      <w:pPr>
        <w:spacing w:after="80" w:before="180"/>
      </w:pPr>
      <w:r>
        <w:rPr>
          <w:rFonts w:ascii="Arial" w:cs="Arial" w:eastAsia="Arial" w:hAnsi="Arial"/>
          <w:b/>
          <w:bCs/>
          <w:i/>
          <w:iCs/>
          <w:color w:val="404040"/>
          <w:sz w:val="22"/>
          <w:szCs w:val="22"/>
        </w:rPr>
        <w:t xml:space="preserve">Phase 1: Multi-Omics Integration and Exploratory Analysis</w:t>
      </w:r>
    </w:p>
    <w:p>
      <w:pPr>
        <w:spacing w:after="100" w:before="80"/>
        <w:jc w:val="both"/>
      </w:pPr>
      <w:r>
        <w:rPr>
          <w:rFonts w:ascii="Arial" w:cs="Arial" w:eastAsia="Arial" w:hAnsi="Arial"/>
          <w:sz w:val="22"/>
          <w:szCs w:val="22"/>
        </w:rPr>
        <w:t xml:space="preserve">Data from all sources will be integrated using MOFA+ (Multi-Omics Factor Analysis), which identifies shared and dataset-specific latent factors across genomic, transcriptomic, and epigenomic layers. UMAP and t-SNE will be used to visualize whether Grade 0 samples cluster distinctly from normal tissue and established tumor grades. Differential gene expression between Grade 0 peritumoral tissue and both healthy GTEx samples and TCGA Grade 2 tumors will be performed using DESeq2.</w:t>
      </w:r>
    </w:p>
    <w:p>
      <w:pPr>
        <w:spacing w:after="80" w:before="180"/>
      </w:pPr>
      <w:r>
        <w:rPr>
          <w:rFonts w:ascii="Arial" w:cs="Arial" w:eastAsia="Arial" w:hAnsi="Arial"/>
          <w:b/>
          <w:bCs/>
          <w:i/>
          <w:iCs/>
          <w:color w:val="404040"/>
          <w:sz w:val="22"/>
          <w:szCs w:val="22"/>
        </w:rPr>
        <w:t xml:space="preserve">Phase 2: Biomarker Candidate Identification</w:t>
      </w:r>
    </w:p>
    <w:p>
      <w:pPr>
        <w:spacing w:after="100" w:before="80"/>
        <w:jc w:val="both"/>
      </w:pPr>
      <w:r>
        <w:rPr>
          <w:rFonts w:ascii="Arial" w:cs="Arial" w:eastAsia="Arial" w:hAnsi="Arial"/>
          <w:sz w:val="22"/>
          <w:szCs w:val="22"/>
        </w:rPr>
        <w:t xml:space="preserve">Feature selection will be performed using three complementary approaches to ensure robustness: (1) LASSO regularization to identify the minimal set of genomic features with predictive power; (2) Random Forest with SHAP (SHapley Additive exPlanations) values to rank feature importance; (3) Differential methylation analysis to identify CpG sites that transition from unmethylated in healthy tissue to hypermethylated in Grade 0 — reflecting the G-CIMP phenotype known to accompany IDH mutation. Candidate biomarkers will be filtered based on biological plausibility, prior literature support (GPR17 as OPC marker, IDH1 R132H, PDGFRA, OLIG2), and statistical significance (FDR &lt; 0.05).</w:t>
      </w:r>
    </w:p>
    <w:p>
      <w:pPr>
        <w:spacing w:after="80" w:before="180"/>
      </w:pPr>
      <w:r>
        <w:rPr>
          <w:rFonts w:ascii="Arial" w:cs="Arial" w:eastAsia="Arial" w:hAnsi="Arial"/>
          <w:b/>
          <w:bCs/>
          <w:i/>
          <w:iCs/>
          <w:color w:val="404040"/>
          <w:sz w:val="22"/>
          <w:szCs w:val="22"/>
        </w:rPr>
        <w:t xml:space="preserve">Phase 3: ML Model Development</w:t>
      </w:r>
    </w:p>
    <w:p>
      <w:pPr>
        <w:spacing w:after="100" w:before="80"/>
        <w:jc w:val="both"/>
      </w:pPr>
      <w:r>
        <w:rPr>
          <w:rFonts w:ascii="Arial" w:cs="Arial" w:eastAsia="Arial" w:hAnsi="Arial"/>
          <w:sz w:val="22"/>
          <w:szCs w:val="22"/>
        </w:rPr>
        <w:t xml:space="preserve">A multi-class classification model will be trained to distinguish four classes: Healthy Normal (GTEx), Grade 0 (KAIST peritumoral), Grade 2/3 (TCGA-LGG), and Grade 4 (TCGA-GBM). Candidate algorithms include XGBoost, Support Vector Machine (SVM), and Graph Neural Networks (GNN) with biological pathway-based edges. Model performance will be evaluated using 5-fold stratified cross-validation, with primary metrics of AUROC, sensitivity, specificity, and F1-score per class. Special attention will be paid to Grade 0 sensitivity, as false negatives carry the highest clinical consequence.</w:t>
      </w:r>
    </w:p>
    <w:p>
      <w:pPr>
        <w:spacing w:after="80" w:before="180"/>
      </w:pPr>
      <w:r>
        <w:rPr>
          <w:rFonts w:ascii="Arial" w:cs="Arial" w:eastAsia="Arial" w:hAnsi="Arial"/>
          <w:b/>
          <w:bCs/>
          <w:i/>
          <w:iCs/>
          <w:color w:val="404040"/>
          <w:sz w:val="22"/>
          <w:szCs w:val="22"/>
        </w:rPr>
        <w:t xml:space="preserve">Phase 4: XAI Interpretation</w:t>
      </w:r>
    </w:p>
    <w:p>
      <w:pPr>
        <w:spacing w:after="100" w:before="80"/>
        <w:jc w:val="both"/>
      </w:pPr>
      <w:r>
        <w:rPr>
          <w:rFonts w:ascii="Arial" w:cs="Arial" w:eastAsia="Arial" w:hAnsi="Arial"/>
          <w:sz w:val="22"/>
          <w:szCs w:val="22"/>
        </w:rPr>
        <w:t xml:space="preserve">Explainability is central to the scientific contribution. SHAP values will be computed for all model predictions to identify which genomic features most strongly distinguish Grade 0 tissue. Gene Set Enrichment Analysis (GSEA) will map top biomarkers to biological pathways (Reactome, KEGG). The output will be a ranked panel of 10-20 candidate Grade 0 biomarkers with biological interpretation — forming the core scientific contribution of the paper.</w:t>
      </w:r>
    </w:p>
    <w:p>
      <w:pPr>
        <w:spacing w:after="80" w:before="180"/>
      </w:pPr>
      <w:r>
        <w:rPr>
          <w:rFonts w:ascii="Arial" w:cs="Arial" w:eastAsia="Arial" w:hAnsi="Arial"/>
          <w:b/>
          <w:bCs/>
          <w:i/>
          <w:iCs/>
          <w:color w:val="404040"/>
          <w:sz w:val="22"/>
          <w:szCs w:val="22"/>
        </w:rPr>
        <w:t xml:space="preserve">Phase 5: Independent Validation</w:t>
      </w:r>
    </w:p>
    <w:p>
      <w:pPr>
        <w:spacing w:after="100" w:before="80"/>
        <w:jc w:val="both"/>
      </w:pPr>
      <w:r>
        <w:rPr>
          <w:rFonts w:ascii="Arial" w:cs="Arial" w:eastAsia="Arial" w:hAnsi="Arial"/>
          <w:sz w:val="22"/>
          <w:szCs w:val="22"/>
        </w:rPr>
        <w:t xml:space="preserve">The trained model and biomarker panel will be validated on the CGGA dataset, which includes matched normal and tumor glioma samples not used in training. This step confirms that the findings are not dataset-specific artifacts and demonstrates generalizability — a requirement for high-impact journal publication.</w:t>
      </w:r>
    </w:p>
    <w:p>
      <w:r>
        <w:br w:type="page"/>
      </w:r>
    </w:p>
    <w:p>
      <w:pPr>
        <w:pStyle w:val="Heading1"/>
        <w:spacing w:after="160" w:before="320"/>
      </w:pPr>
      <w:r>
        <w:rPr>
          <w:rFonts w:ascii="Arial" w:cs="Arial" w:eastAsia="Arial" w:hAnsi="Arial"/>
          <w:b/>
          <w:bCs/>
          <w:color w:val="1F4E79"/>
          <w:sz w:val="28"/>
          <w:szCs w:val="28"/>
        </w:rPr>
        <w:t xml:space="preserve">5. Work Plan and Timeline</w:t>
      </w:r>
    </w:p>
    <w:p>
      <w:pPr>
        <w:pBdr>
          <w:bottom w:val="single" w:color="2E75B6" w:sz="4" w:space="1"/>
        </w:pBdr>
        <w:spacing w:after="160" w:before="1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680"/>
        <w:gridCol w:w="248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Phase</w:t>
            </w:r>
          </w:p>
        </w:tc>
        <w:tc>
          <w:tcPr>
            <w:tcW w:type="dxa" w:w="300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Activity</w:t>
            </w:r>
          </w:p>
        </w:tc>
        <w:tc>
          <w:tcPr>
            <w:tcW w:type="dxa" w:w="268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Tools / Methods</w:t>
            </w:r>
          </w:p>
        </w:tc>
        <w:tc>
          <w:tcPr>
            <w:tcW w:type="dxa" w:w="2480"/>
            <w:tcBorders>
              <w:top w:val="single" w:color="AAAAAA" w:sz="1"/>
              <w:left w:val="single" w:color="AAAAAA" w:sz="1"/>
              <w:bottom w:val="single" w:color="AAAAAA" w:sz="1"/>
              <w:right w:val="single" w:color="AAAAAA" w:sz="1"/>
            </w:tcBorders>
            <w:shd w:fill="2E75B6" w:val="clear"/>
            <w:tcMar>
              <w:top w:type="dxa" w:w="80"/>
              <w:left w:type="dxa" w:w="100"/>
              <w:bottom w:type="dxa" w:w="80"/>
              <w:right w:type="dxa" w:w="100"/>
            </w:tcMar>
          </w:tcPr>
          <w:p>
            <w:r>
              <w:rPr>
                <w:rFonts w:ascii="Arial" w:cs="Arial" w:eastAsia="Arial" w:hAnsi="Arial"/>
                <w:b/>
                <w:bCs/>
                <w:color w:val="FFFFFF"/>
                <w:sz w:val="18"/>
                <w:szCs w:val="18"/>
              </w:rPr>
              <w:t xml:space="preserve">Timeline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Data acquisition and preprocessing</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NCBI SRA Toolkit, GDC Data Portal, R/Bioconductor (TCGAbiolinks), Python (pandas, scanpy)</w:t>
            </w:r>
          </w:p>
        </w:tc>
        <w:tc>
          <w:tcPr>
            <w:tcW w:type="dxa" w:w="2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Month 1-2</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2</w:t>
            </w:r>
          </w:p>
        </w:tc>
        <w:tc>
          <w:tcPr>
            <w:tcW w:type="dxa" w:w="30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Exploratory analysis and differential expression</w:t>
            </w:r>
          </w:p>
        </w:tc>
        <w:tc>
          <w:tcPr>
            <w:tcW w:type="dxa" w:w="2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DESeq2, edgeR, limma-voom; UMAP/t-SNE dimensionality reduction</w:t>
            </w:r>
          </w:p>
        </w:tc>
        <w:tc>
          <w:tcPr>
            <w:tcW w:type="dxa" w:w="24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Month 2-3</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Pre-cancerous biomarker identification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SHAP, LASSO, Random Forest feature selection; differential methylation analysis (minfi)</w:t>
            </w:r>
          </w:p>
        </w:tc>
        <w:tc>
          <w:tcPr>
            <w:tcW w:type="dxa" w:w="2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Month 3-5</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4</w:t>
            </w:r>
          </w:p>
        </w:tc>
        <w:tc>
          <w:tcPr>
            <w:tcW w:type="dxa" w:w="30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ML model development</w:t>
            </w:r>
          </w:p>
        </w:tc>
        <w:tc>
          <w:tcPr>
            <w:tcW w:type="dxa" w:w="2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XGBoost, SVM, Graph Neural Networks; 5-fold cross-validation; AUROC evaluation</w:t>
            </w:r>
          </w:p>
        </w:tc>
        <w:tc>
          <w:tcPr>
            <w:tcW w:type="dxa" w:w="24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Month 5-7</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XAI interpretation and biomarker ranking</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SHAP values, LIME, pathway enrichment (GSEA, Reactome)</w:t>
            </w:r>
          </w:p>
        </w:tc>
        <w:tc>
          <w:tcPr>
            <w:tcW w:type="dxa" w:w="2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Month 7-8</w:t>
            </w:r>
          </w:p>
        </w:tc>
      </w:tr>
      <w:tr>
        <w:tc>
          <w:tcPr>
            <w:tcW w:type="dxa" w:w="12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6</w:t>
            </w:r>
          </w:p>
        </w:tc>
        <w:tc>
          <w:tcPr>
            <w:tcW w:type="dxa" w:w="300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Validation on CGGA cohort</w:t>
            </w:r>
          </w:p>
        </w:tc>
        <w:tc>
          <w:tcPr>
            <w:tcW w:type="dxa" w:w="26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Independent dataset testing, confusion matrix, sensitivity/specificity analysis</w:t>
            </w:r>
          </w:p>
        </w:tc>
        <w:tc>
          <w:tcPr>
            <w:tcW w:type="dxa" w:w="2480"/>
            <w:tcBorders>
              <w:top w:val="single" w:color="AAAAAA" w:sz="1"/>
              <w:left w:val="single" w:color="AAAAAA" w:sz="1"/>
              <w:bottom w:val="single" w:color="AAAAAA" w:sz="1"/>
              <w:right w:val="single" w:color="AAAAAA" w:sz="1"/>
            </w:tcBorders>
            <w:shd w:fill="EBF3FB" w:val="clear"/>
            <w:tcMar>
              <w:top w:type="dxa" w:w="80"/>
              <w:left w:type="dxa" w:w="100"/>
              <w:bottom w:type="dxa" w:w="80"/>
              <w:right w:type="dxa" w:w="100"/>
            </w:tcMar>
          </w:tcPr>
          <w:p>
            <w:r>
              <w:rPr>
                <w:rFonts w:ascii="Arial" w:cs="Arial" w:eastAsia="Arial" w:hAnsi="Arial"/>
                <w:sz w:val="18"/>
                <w:szCs w:val="18"/>
              </w:rPr>
              <w:t xml:space="preserve">Month 8-9</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7</w:t>
            </w:r>
          </w:p>
        </w:tc>
        <w:tc>
          <w:tcPr>
            <w:tcW w:type="dxa" w:w="300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Manuscript writing and submission</w:t>
            </w:r>
          </w:p>
        </w:tc>
        <w:tc>
          <w:tcPr>
            <w:tcW w:type="dxa" w:w="26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Target: Frontiers in AI (Medicine) or JMIR AI</w:t>
            </w:r>
          </w:p>
        </w:tc>
        <w:tc>
          <w:tcPr>
            <w:tcW w:type="dxa" w:w="2480"/>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tcPr>
          <w:p>
            <w:r>
              <w:rPr>
                <w:rFonts w:ascii="Arial" w:cs="Arial" w:eastAsia="Arial" w:hAnsi="Arial"/>
                <w:sz w:val="18"/>
                <w:szCs w:val="18"/>
              </w:rPr>
              <w:t xml:space="preserve">Month 9-12</w:t>
            </w:r>
          </w:p>
        </w:tc>
      </w:tr>
    </w:tbl>
    <w:p>
      <w:pPr>
        <w:spacing w:after="60" w:before="60"/>
      </w:pPr>
      <w:r>
        <w:t xml:space="preserve"/>
      </w:r>
    </w:p>
    <w:p>
      <w:pPr>
        <w:pStyle w:val="Heading1"/>
        <w:spacing w:after="160" w:before="320"/>
      </w:pPr>
      <w:r>
        <w:rPr>
          <w:rFonts w:ascii="Arial" w:cs="Arial" w:eastAsia="Arial" w:hAnsi="Arial"/>
          <w:b/>
          <w:bCs/>
          <w:color w:val="1F4E79"/>
          <w:sz w:val="28"/>
          <w:szCs w:val="28"/>
        </w:rPr>
        <w:t xml:space="preserve">6. Expected Outcomes</w:t>
      </w:r>
    </w:p>
    <w:p>
      <w:pPr>
        <w:pBdr>
          <w:bottom w:val="single" w:color="2E75B6" w:sz="4" w:space="1"/>
        </w:pBdr>
        <w:spacing w:after="160" w:before="160"/>
      </w:pPr>
      <w:r>
        <w:t xml:space="preserve"/>
      </w:r>
    </w:p>
    <w:p>
      <w:pPr>
        <w:spacing w:after="100" w:before="80"/>
        <w:jc w:val="left"/>
      </w:pPr>
      <w:r>
        <w:rPr>
          <w:rFonts w:ascii="Arial" w:cs="Arial" w:eastAsia="Arial" w:hAnsi="Arial"/>
          <w:sz w:val="22"/>
          <w:szCs w:val="22"/>
        </w:rPr>
        <w:t xml:space="preserve">By the end of this study, the following deliverables are expected:</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A validated genomic biomarker panel (10-20 genes/methylation sites) capable of distinguishing pre-cancerous Grade 0 brain tissue from healthy tissue and established tumors.</w:t>
      </w:r>
    </w:p>
    <w:p>
      <w:pPr>
        <w:pStyle w:val="ListParagraph"/>
        <w:numPr>
          <w:ilvl w:val="0"/>
          <w:numId w:val="3"/>
        </w:numPr>
        <w:spacing w:after="60" w:before="60"/>
      </w:pPr>
      <w:r>
        <w:rPr>
          <w:rFonts w:ascii="Arial" w:cs="Arial" w:eastAsia="Arial" w:hAnsi="Arial"/>
          <w:sz w:val="22"/>
          <w:szCs w:val="22"/>
        </w:rPr>
        <w:t xml:space="preserve">A trained, explainable AI model with documented AUROC, sensitivity, and specificity for Grade 0 classification — the first of its kind.</w:t>
      </w:r>
    </w:p>
    <w:p>
      <w:pPr>
        <w:pStyle w:val="ListParagraph"/>
        <w:numPr>
          <w:ilvl w:val="0"/>
          <w:numId w:val="3"/>
        </w:numPr>
        <w:spacing w:after="60" w:before="60"/>
      </w:pPr>
      <w:r>
        <w:rPr>
          <w:rFonts w:ascii="Arial" w:cs="Arial" w:eastAsia="Arial" w:hAnsi="Arial"/>
          <w:sz w:val="22"/>
          <w:szCs w:val="22"/>
        </w:rPr>
        <w:t xml:space="preserve">A peer-reviewed open-access publication submitted to Frontiers in Artificial Intelligence (Medicine &amp; Public Health) or JMIR AI.</w:t>
      </w:r>
    </w:p>
    <w:p>
      <w:pPr>
        <w:pStyle w:val="ListParagraph"/>
        <w:numPr>
          <w:ilvl w:val="0"/>
          <w:numId w:val="3"/>
        </w:numPr>
        <w:spacing w:after="60" w:before="60"/>
      </w:pPr>
      <w:r>
        <w:rPr>
          <w:rFonts w:ascii="Arial" w:cs="Arial" w:eastAsia="Arial" w:hAnsi="Arial"/>
          <w:sz w:val="22"/>
          <w:szCs w:val="22"/>
        </w:rPr>
        <w:t xml:space="preserve">A reproducible, documented computational pipeline (Python/R code) shared via GitHub for the research community.</w:t>
      </w:r>
    </w:p>
    <w:p>
      <w:pPr>
        <w:pStyle w:val="ListParagraph"/>
        <w:numPr>
          <w:ilvl w:val="0"/>
          <w:numId w:val="3"/>
        </w:numPr>
        <w:spacing w:after="60" w:before="60"/>
      </w:pPr>
      <w:r>
        <w:rPr>
          <w:rFonts w:ascii="Arial" w:cs="Arial" w:eastAsia="Arial" w:hAnsi="Arial"/>
          <w:sz w:val="22"/>
          <w:szCs w:val="22"/>
        </w:rPr>
        <w:t xml:space="preserve">A research framework that future clinical studies can build upon to develop blood-based or CSF-based pre-cancer screening tests for glioma.</w:t>
      </w:r>
    </w:p>
    <w:p>
      <w:pPr>
        <w:pStyle w:val="Heading1"/>
        <w:spacing w:after="160" w:before="320"/>
      </w:pPr>
      <w:r>
        <w:rPr>
          <w:rFonts w:ascii="Arial" w:cs="Arial" w:eastAsia="Arial" w:hAnsi="Arial"/>
          <w:b/>
          <w:bCs/>
          <w:color w:val="1F4E79"/>
          <w:sz w:val="28"/>
          <w:szCs w:val="28"/>
        </w:rPr>
        <w:t xml:space="preserve">7. Clinical and Scientific Significance</w:t>
      </w:r>
    </w:p>
    <w:p>
      <w:pPr>
        <w:pBdr>
          <w:bottom w:val="single" w:color="2E75B6" w:sz="4" w:space="1"/>
        </w:pBdr>
        <w:spacing w:after="160" w:before="160"/>
      </w:pPr>
      <w:r>
        <w:t xml:space="preserve"/>
      </w:r>
    </w:p>
    <w:p>
      <w:pPr>
        <w:spacing w:after="100" w:before="80"/>
        <w:jc w:val="both"/>
      </w:pPr>
      <w:r>
        <w:rPr>
          <w:rFonts w:ascii="Arial" w:cs="Arial" w:eastAsia="Arial" w:hAnsi="Arial"/>
          <w:sz w:val="22"/>
          <w:szCs w:val="22"/>
        </w:rPr>
        <w:t xml:space="preserve">The ability to detect brain cancer before a tumor forms would represent a paradigm shift in neuro-oncology. Currently, even Grade 1 glioma patients face eventual disease progression and poor long-term prognosis because the tumor has already been growing for years before diagnosis. By identifying a Grade 0 molecular signature, this research opens the path toward:</w:t>
      </w:r>
    </w:p>
    <w:p>
      <w:pPr>
        <w:spacing w:after="60" w:before="60"/>
      </w:pPr>
      <w:r>
        <w:t xml:space="preserve"/>
      </w:r>
    </w:p>
    <w:p>
      <w:pPr>
        <w:pStyle w:val="ListParagraph"/>
        <w:numPr>
          <w:ilvl w:val="0"/>
          <w:numId w:val="3"/>
        </w:numPr>
        <w:spacing w:after="60" w:before="60"/>
      </w:pPr>
      <w:r>
        <w:rPr>
          <w:rFonts w:ascii="Arial" w:cs="Arial" w:eastAsia="Arial" w:hAnsi="Arial"/>
          <w:sz w:val="22"/>
          <w:szCs w:val="22"/>
        </w:rPr>
        <w:t xml:space="preserve">Interception medicine — monitoring high-risk individuals (family history, known genetic predisposition) for pre-tumoral genomic changes</w:t>
      </w:r>
    </w:p>
    <w:p>
      <w:pPr>
        <w:pStyle w:val="ListParagraph"/>
        <w:numPr>
          <w:ilvl w:val="0"/>
          <w:numId w:val="3"/>
        </w:numPr>
        <w:spacing w:after="60" w:before="60"/>
      </w:pPr>
      <w:r>
        <w:rPr>
          <w:rFonts w:ascii="Arial" w:cs="Arial" w:eastAsia="Arial" w:hAnsi="Arial"/>
          <w:sz w:val="22"/>
          <w:szCs w:val="22"/>
        </w:rPr>
        <w:t xml:space="preserve">Surgical planning improvement — identifying the true spatial extent of pre-cancerous cells beyond the visible tumor margin (explaining why even gross total resection often fails to prevent recurrence)</w:t>
      </w:r>
    </w:p>
    <w:p>
      <w:pPr>
        <w:pStyle w:val="ListParagraph"/>
        <w:numPr>
          <w:ilvl w:val="0"/>
          <w:numId w:val="3"/>
        </w:numPr>
        <w:spacing w:after="60" w:before="60"/>
      </w:pPr>
      <w:r>
        <w:rPr>
          <w:rFonts w:ascii="Arial" w:cs="Arial" w:eastAsia="Arial" w:hAnsi="Arial"/>
          <w:sz w:val="22"/>
          <w:szCs w:val="22"/>
        </w:rPr>
        <w:t xml:space="preserve">Drug target discovery — Grade 0 biomarkers may identify the specific molecular pathways active during the earliest phase of gliomagenesis, providing new therapeutic targets</w:t>
      </w:r>
    </w:p>
    <w:p>
      <w:pPr>
        <w:pStyle w:val="ListParagraph"/>
        <w:numPr>
          <w:ilvl w:val="0"/>
          <w:numId w:val="3"/>
        </w:numPr>
        <w:spacing w:after="60" w:before="60"/>
      </w:pPr>
      <w:r>
        <w:rPr>
          <w:rFonts w:ascii="Arial" w:cs="Arial" w:eastAsia="Arial" w:hAnsi="Arial"/>
          <w:sz w:val="22"/>
          <w:szCs w:val="22"/>
        </w:rPr>
        <w:t xml:space="preserve">Foundation for liquid biopsy — if Grade 0 GPC-derived cells shed cell-free DNA or RNA into the bloodstream, the identified biomarkers could form the basis of a non-invasive blood test</w:t>
      </w:r>
    </w:p>
    <w:p>
      <w:pPr>
        <w:pStyle w:val="Heading1"/>
        <w:spacing w:after="160" w:before="320"/>
      </w:pPr>
      <w:r>
        <w:rPr>
          <w:rFonts w:ascii="Arial" w:cs="Arial" w:eastAsia="Arial" w:hAnsi="Arial"/>
          <w:b/>
          <w:bCs/>
          <w:color w:val="1F4E79"/>
          <w:sz w:val="28"/>
          <w:szCs w:val="28"/>
        </w:rPr>
        <w:t xml:space="preserve">8. Required Resources</w:t>
      </w:r>
    </w:p>
    <w:p>
      <w:pPr>
        <w:pBdr>
          <w:bottom w:val="single" w:color="2E75B6" w:sz="4" w:space="1"/>
        </w:pBdr>
        <w:spacing w:after="160" w:before="160"/>
      </w:pPr>
      <w:r>
        <w:t xml:space="preserve"/>
      </w:r>
    </w:p>
    <w:p>
      <w:pPr>
        <w:spacing w:after="100" w:before="80"/>
        <w:jc w:val="left"/>
      </w:pPr>
      <w:r>
        <w:rPr>
          <w:rFonts w:ascii="Arial" w:cs="Arial" w:eastAsia="Arial" w:hAnsi="Arial"/>
          <w:sz w:val="22"/>
          <w:szCs w:val="22"/>
        </w:rPr>
        <w:t xml:space="preserve">This study requires no laboratory equipment, patient access, or institutional data agreements. All required resources are: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Computational</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Personal computer or free cloud platform (Google Colab, Kaggle, or university HPC cluster)</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Software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Python 3.10+, R 4.3+, standard open-source bioinformatics packages (all free)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Key packages</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Scanpy, Seurat, DESeq2, MOFA+, XGBoost, SHAP, minfi, TCGAbiolinks — all open source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Data storage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~50-100 GB free storage for downloaded datasets</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Cost</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Zero — all datasets and tools are freely available</w:t>
            </w:r>
          </w:p>
        </w:tc>
      </w:tr>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Time</w:t>
            </w:r>
          </w:p>
        </w:tc>
        <w:tc>
          <w:tcPr>
            <w:tcW w:type="dxa" w:w="6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20"/>
                <w:szCs w:val="20"/>
              </w:rPr>
              <w:t xml:space="preserve">Approximately 9-12 months for one researcher</w:t>
            </w:r>
          </w:p>
        </w:tc>
      </w:tr>
    </w:tbl>
    <w:p>
      <w:pPr>
        <w:pStyle w:val="Heading1"/>
        <w:spacing w:after="160" w:before="320"/>
      </w:pPr>
      <w:r>
        <w:rPr>
          <w:rFonts w:ascii="Arial" w:cs="Arial" w:eastAsia="Arial" w:hAnsi="Arial"/>
          <w:b/>
          <w:bCs/>
          <w:color w:val="1F4E79"/>
          <w:sz w:val="28"/>
          <w:szCs w:val="28"/>
        </w:rPr>
        <w:t xml:space="preserve">9. Ethical Considerations</w:t>
      </w:r>
    </w:p>
    <w:p>
      <w:pPr>
        <w:pBdr>
          <w:bottom w:val="single" w:color="2E75B6" w:sz="4" w:space="1"/>
        </w:pBdr>
        <w:spacing w:after="160" w:before="160"/>
      </w:pPr>
      <w:r>
        <w:t xml:space="preserve"/>
      </w:r>
    </w:p>
    <w:p>
      <w:pPr>
        <w:spacing w:after="100" w:before="80"/>
        <w:jc w:val="both"/>
      </w:pPr>
      <w:r>
        <w:rPr>
          <w:rFonts w:ascii="Arial" w:cs="Arial" w:eastAsia="Arial" w:hAnsi="Arial"/>
          <w:sz w:val="22"/>
          <w:szCs w:val="22"/>
        </w:rPr>
        <w:t xml:space="preserve">This study uses only de-identified, publicly available genomic datasets (TCGA, KAIST GEO, GTEx, CGGA) that were collected under their respective institutional ethics approvals. No new patient data will be collected. No human subjects research is involved. The study complies fully with the data use agreements of all repositories. No ethical review board approval is required for this type of computational secondary analysis.</w:t>
      </w:r>
    </w:p>
    <w:p>
      <w:pPr>
        <w:pStyle w:val="Heading1"/>
        <w:spacing w:after="160" w:before="320"/>
      </w:pPr>
      <w:r>
        <w:rPr>
          <w:rFonts w:ascii="Arial" w:cs="Arial" w:eastAsia="Arial" w:hAnsi="Arial"/>
          <w:b/>
          <w:bCs/>
          <w:color w:val="1F4E79"/>
          <w:sz w:val="28"/>
          <w:szCs w:val="28"/>
        </w:rPr>
        <w:t xml:space="preserve">10. Key References</w:t>
      </w:r>
    </w:p>
    <w:p>
      <w:pPr>
        <w:pBdr>
          <w:bottom w:val="single" w:color="2E75B6" w:sz="4" w:space="1"/>
        </w:pBdr>
        <w:spacing w:after="160" w:before="160"/>
      </w:pPr>
      <w:r>
        <w:t xml:space="preserve"/>
      </w:r>
    </w:p>
    <w:p>
      <w:pPr>
        <w:pStyle w:val="ListParagraph"/>
        <w:numPr>
          <w:ilvl w:val="0"/>
          <w:numId w:val="2"/>
        </w:numPr>
        <w:spacing w:after="60" w:before="60"/>
      </w:pPr>
      <w:r>
        <w:rPr>
          <w:rFonts w:ascii="Arial" w:cs="Arial" w:eastAsia="Arial" w:hAnsi="Arial"/>
          <w:sz w:val="22"/>
          <w:szCs w:val="22"/>
        </w:rPr>
        <w:t xml:space="preserve">Park, J.W., Kwak, J., Kim, K.W., et al. (2026). IDH-mutant gliomas arise from glial progenitor cells harboring the initial driver mutation. Science, 391(6781), eadt0559. https://doi.org/10.1126/science.adt0559</w:t>
      </w:r>
    </w:p>
    <w:p>
      <w:pPr>
        <w:pStyle w:val="ListParagraph"/>
        <w:numPr>
          <w:ilvl w:val="0"/>
          <w:numId w:val="2"/>
        </w:numPr>
        <w:spacing w:after="60" w:before="60"/>
      </w:pPr>
      <w:r>
        <w:rPr>
          <w:rFonts w:ascii="Arial" w:cs="Arial" w:eastAsia="Arial" w:hAnsi="Arial"/>
          <w:sz w:val="22"/>
          <w:szCs w:val="22"/>
        </w:rPr>
        <w:t xml:space="preserve">The Cancer Genome Atlas Research Network. (2015). Comprehensive, integrative genomic analysis of diffuse lower-grade gliomas. New England Journal of Medicine, 372(26), 2481-2498.</w:t>
      </w:r>
    </w:p>
    <w:p>
      <w:pPr>
        <w:pStyle w:val="ListParagraph"/>
        <w:numPr>
          <w:ilvl w:val="0"/>
          <w:numId w:val="2"/>
        </w:numPr>
        <w:spacing w:after="60" w:before="60"/>
      </w:pPr>
      <w:r>
        <w:rPr>
          <w:rFonts w:ascii="Arial" w:cs="Arial" w:eastAsia="Arial" w:hAnsi="Arial"/>
          <w:sz w:val="22"/>
          <w:szCs w:val="22"/>
        </w:rPr>
        <w:t xml:space="preserve">Ceccarelli, M., et al. (2016). Molecular profiling reveals biologically discrete subsets and pathways of progression in diffuse glioma. Cell, 164(3), 550-563.</w:t>
      </w:r>
    </w:p>
    <w:p>
      <w:pPr>
        <w:pStyle w:val="ListParagraph"/>
        <w:numPr>
          <w:ilvl w:val="0"/>
          <w:numId w:val="2"/>
        </w:numPr>
        <w:spacing w:after="60" w:before="60"/>
      </w:pPr>
      <w:r>
        <w:rPr>
          <w:rFonts w:ascii="Arial" w:cs="Arial" w:eastAsia="Arial" w:hAnsi="Arial"/>
          <w:sz w:val="22"/>
          <w:szCs w:val="22"/>
        </w:rPr>
        <w:t xml:space="preserve">GTEx Consortium. (2020). The GTEx Consortium atlas of genetic regulatory effects across human tissues. Science, 369(6509), 1318-1330.</w:t>
      </w:r>
    </w:p>
    <w:p>
      <w:pPr>
        <w:pStyle w:val="ListParagraph"/>
        <w:numPr>
          <w:ilvl w:val="0"/>
          <w:numId w:val="2"/>
        </w:numPr>
        <w:spacing w:after="60" w:before="60"/>
      </w:pPr>
      <w:r>
        <w:rPr>
          <w:rFonts w:ascii="Arial" w:cs="Arial" w:eastAsia="Arial" w:hAnsi="Arial"/>
          <w:sz w:val="22"/>
          <w:szCs w:val="22"/>
        </w:rPr>
        <w:t xml:space="preserve">Zhao, Z., et al. (2021). Chinese Glioma Genome Atlas (CGGA): A comprehensive resource with functional genomic data from Chinese glioma patients. Genomics, Proteomics &amp; Bioinformatics, 19(1), 1-12.</w:t>
      </w:r>
    </w:p>
    <w:p>
      <w:pPr>
        <w:pStyle w:val="ListParagraph"/>
        <w:numPr>
          <w:ilvl w:val="0"/>
          <w:numId w:val="2"/>
        </w:numPr>
        <w:spacing w:after="60" w:before="60"/>
      </w:pPr>
      <w:r>
        <w:rPr>
          <w:rFonts w:ascii="Arial" w:cs="Arial" w:eastAsia="Arial" w:hAnsi="Arial"/>
          <w:sz w:val="22"/>
          <w:szCs w:val="22"/>
        </w:rPr>
        <w:t xml:space="preserve">Argelaguet, R., et al. (2020). MOFA+: A statistical framework for comprehensive integration of multi-modal single-cell data. Genome Biology, 21(1), 111.</w:t>
      </w:r>
    </w:p>
    <w:p>
      <w:pPr>
        <w:pStyle w:val="ListParagraph"/>
        <w:numPr>
          <w:ilvl w:val="0"/>
          <w:numId w:val="2"/>
        </w:numPr>
        <w:spacing w:after="60" w:before="60"/>
      </w:pPr>
      <w:r>
        <w:rPr>
          <w:rFonts w:ascii="Arial" w:cs="Arial" w:eastAsia="Arial" w:hAnsi="Arial"/>
          <w:sz w:val="22"/>
          <w:szCs w:val="22"/>
        </w:rPr>
        <w:t xml:space="preserve">Lundberg, S.M., &amp; Lee, S.I. (2017). A unified approach to interpreting model predictions. Advances in Neural Information Processing Systems, 30.</w:t>
      </w:r>
    </w:p>
    <w:p>
      <w:pPr>
        <w:pStyle w:val="ListParagraph"/>
        <w:numPr>
          <w:ilvl w:val="0"/>
          <w:numId w:val="2"/>
        </w:numPr>
        <w:spacing w:after="60" w:before="60"/>
      </w:pPr>
      <w:r>
        <w:rPr>
          <w:rFonts w:ascii="Arial" w:cs="Arial" w:eastAsia="Arial" w:hAnsi="Arial"/>
          <w:sz w:val="22"/>
          <w:szCs w:val="22"/>
        </w:rPr>
        <w:t xml:space="preserve">Alum, E.U. (2025). AI-driven biomarker discovery: Enhancing precision in cancer diagnosis and prognosis. Discover Oncology, 16, 313.</w:t>
      </w:r>
    </w:p>
    <w:p>
      <w:pPr>
        <w:pStyle w:val="ListParagraph"/>
        <w:numPr>
          <w:ilvl w:val="0"/>
          <w:numId w:val="2"/>
        </w:numPr>
        <w:spacing w:after="60" w:before="60"/>
      </w:pPr>
      <w:r>
        <w:rPr>
          <w:rFonts w:ascii="Arial" w:cs="Arial" w:eastAsia="Arial" w:hAnsi="Arial"/>
          <w:sz w:val="22"/>
          <w:szCs w:val="22"/>
        </w:rPr>
        <w:t xml:space="preserve">Louis, D.N., et al. (2021). The 2021 WHO classification of tumors of the central nervous system: A summary. Neuro-Oncology, 23(8), 1231-1251.</w:t>
      </w:r>
    </w:p>
    <w:p>
      <w:pPr>
        <w:pStyle w:val="ListParagraph"/>
        <w:numPr>
          <w:ilvl w:val="0"/>
          <w:numId w:val="2"/>
        </w:numPr>
        <w:spacing w:after="60" w:before="60"/>
      </w:pPr>
      <w:r>
        <w:rPr>
          <w:rFonts w:ascii="Arial" w:cs="Arial" w:eastAsia="Arial" w:hAnsi="Arial"/>
          <w:sz w:val="22"/>
          <w:szCs w:val="22"/>
        </w:rPr>
        <w:t xml:space="preserve">Blanco-Carmona, E., et al. (2023). Tumor heterogeneity and tumor-microglia interactions in primary and recurrent IDH1-mutant gliomas. Cell Reports Medicine, 4, 101249.</w:t>
      </w:r>
    </w:p>
    <w:p>
      <w:pPr>
        <w:spacing w:after="60" w:before="60"/>
      </w:pPr>
      <w:r>
        <w:t xml:space="preserve"/>
      </w:r>
    </w:p>
    <w:p>
      <w:pPr>
        <w:pBdr>
          <w:bottom w:val="single" w:color="2E75B6" w:sz="4" w:space="1"/>
        </w:pBdr>
        <w:spacing w:after="160" w:before="160"/>
      </w:pPr>
      <w:r>
        <w:t xml:space="preserve"/>
      </w:r>
    </w:p>
    <w:p>
      <w:pPr>
        <w:spacing w:after="100" w:before="200"/>
        <w:jc w:val="center"/>
      </w:pPr>
      <w:r>
        <w:rPr>
          <w:rFonts w:ascii="Arial" w:cs="Arial" w:eastAsia="Arial" w:hAnsi="Arial"/>
          <w:i/>
          <w:iCs/>
          <w:color w:val="888888"/>
          <w:sz w:val="20"/>
          <w:szCs w:val="20"/>
        </w:rPr>
        <w:t xml:space="preserve">End of Proposal</w:t>
      </w:r>
    </w:p>
    <w:p>
      <w:pPr>
        <w:spacing w:after="60" w:before="60"/>
        <w:jc w:val="center"/>
      </w:pPr>
      <w:r>
        <w:rPr>
          <w:rFonts w:ascii="Arial" w:cs="Arial" w:eastAsia="Arial" w:hAnsi="Arial"/>
          <w:color w:val="AAAAAA"/>
          <w:sz w:val="18"/>
          <w:szCs w:val="18"/>
        </w:rPr>
        <w:t xml:space="preserve">For correspondence: [Your Email] | Prepared: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2026-04-01T10:49:19.412Z</dcterms:created>
  <dcterms:modified xsi:type="dcterms:W3CDTF">2026-04-01T10:49:19.413Z</dcterms:modified>
</cp:coreProperties>
</file>

<file path=docProps/custom.xml><?xml version="1.0" encoding="utf-8"?>
<Properties xmlns="http://schemas.openxmlformats.org/officeDocument/2006/custom-properties" xmlns:vt="http://schemas.openxmlformats.org/officeDocument/2006/docPropsVTypes"/>
</file>