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54F0D" w14:textId="77777777" w:rsidR="00CA4232" w:rsidRDefault="00000000">
      <w:pPr>
        <w:pStyle w:val="berschrift1"/>
      </w:pPr>
      <w:bookmarkStart w:id="0" w:name="X7e01e80522b365ce26aab1f029dcbe3dedba4c4"/>
      <w:r>
        <w:t>Explainable AI for Detecting Algorithmic Discrimination and De-biasing Systems: A State-of-the-Art Literature Review</w:t>
      </w:r>
    </w:p>
    <w:p w14:paraId="47966782" w14:textId="77777777" w:rsidR="00CA4232" w:rsidRDefault="00000000">
      <w:pPr>
        <w:pStyle w:val="FirstParagraph"/>
      </w:pPr>
      <w:r>
        <w:rPr>
          <w:b/>
          <w:bCs/>
        </w:rPr>
        <w:t>Date</w:t>
      </w:r>
      <w:r>
        <w:t>: November 24, 2025</w:t>
      </w:r>
      <w:r>
        <w:br/>
      </w:r>
      <w:r>
        <w:rPr>
          <w:b/>
          <w:bCs/>
        </w:rPr>
        <w:t>Word Count</w:t>
      </w:r>
      <w:r>
        <w:t>: ~13,500 words</w:t>
      </w:r>
      <w:r>
        <w:br/>
      </w:r>
      <w:r>
        <w:rPr>
          <w:b/>
          <w:bCs/>
        </w:rPr>
        <w:t>Literature Base</w:t>
      </w:r>
      <w:r>
        <w:t>: 204 papers across computer science, philosophy, HCI, and law</w:t>
      </w:r>
    </w:p>
    <w:p w14:paraId="700DD27F" w14:textId="77777777" w:rsidR="00CA4232" w:rsidRDefault="00B94AD1">
      <w:r>
        <w:rPr>
          <w:noProof/>
        </w:rPr>
        <w:pict w14:anchorId="6B757708">
          <v:rect id="_x0000_i1032" alt="" style="width:453.6pt;height:.05pt;mso-width-percent:0;mso-height-percent:0;mso-width-percent:0;mso-height-percent:0" o:hralign="center" o:hrstd="t" o:hr="t"/>
        </w:pict>
      </w:r>
    </w:p>
    <w:p w14:paraId="5D513E08" w14:textId="77777777" w:rsidR="00CA4232" w:rsidRDefault="00000000">
      <w:pPr>
        <w:pStyle w:val="berschrift2"/>
      </w:pPr>
      <w:bookmarkStart w:id="1" w:name="introduction"/>
      <w:r>
        <w:t>1. Introduction</w:t>
      </w:r>
    </w:p>
    <w:p w14:paraId="10C5A854" w14:textId="77777777" w:rsidR="00CA4232" w:rsidRDefault="00000000">
      <w:pPr>
        <w:pStyle w:val="FirstParagraph"/>
      </w:pPr>
      <w:r>
        <w:t>Algorithmic decision systems increasingly shape access to critical life opportunities—employment, credit, healthcare, housing, and criminal justice. Yet mounting evidence reveals that these systems can perpetuate and amplify historical patterns of discrimination against protected groups. ProPublica’s 2016 investigation of COMPAS, a widely deployed recidivism prediction tool, found that the algorithm falsely labeled Black defendants as high-risk at nearly twice the rate of white defendants (Angwin et al. 2016). Buolamwini and Gebru’s (2018) “Gender Shades” study demonstrated that commercial facial recognition systems exhibited error rates up to 34 percent higher for darker-skinned women compared to lighter-skinned men, revealing intersectional performance disparities across race and gender. In healthcare, Obermeyer et al. (2019) dissected an algorithm used to allocate health services to millions of patients, discovering that it systematically underestimated the health needs of Black patients because it relied on healthcare costs as a proxy for health need—a proxy variable that encoded historical inequities in healthcare access. These high-profile cases illustrate a fundamental problem: machine learning models trained on biased historical data can encode, automate, and scale discriminatory patterns while obscuring their operation behind computational complexity.</w:t>
      </w:r>
    </w:p>
    <w:p w14:paraId="09D755D1" w14:textId="77777777" w:rsidR="00CA4232" w:rsidRDefault="00000000">
      <w:pPr>
        <w:pStyle w:val="Textkrper"/>
      </w:pPr>
      <w:r>
        <w:t xml:space="preserve">The opacity of modern machine learning systems—particularly deep neural networks with millions of parameters—renders traditional auditing methods inadequate. Legal frameworks like Title VII’s disparate impact doctrine require demonstrating that employment practices cause unjustified disparate outcomes for protected groups, but algorithmic systems often make this evidence difficult to obtain (Barocas and Selbst 2016). Explainable artificial intelligence (XAI) has emerged as a promising technical solution to this transparency crisis. XAI methods aim to make model predictions interpretable by identifying which input features most influence specific decisions. Local Interpretable Model-agnostic Explanations (LIME), introduced by Ribeiro et al. (2016), approximates complex model behavior locally by fitting interpretable surrogate models around individual predictions. SHapley Additive exPlanations (SHAP), developed by Lundberg and Lee (2017), provides a unified framework for feature attribution grounded in cooperative game theory, assigning each feature an importance value for a particular prediction. These techniques </w:t>
      </w:r>
      <w:r>
        <w:lastRenderedPageBreak/>
        <w:t>promise to illuminate the “black box” of algorithmic decision-making, potentially revealing when models rely on protected attributes or their proxies.</w:t>
      </w:r>
    </w:p>
    <w:p w14:paraId="2503E85A" w14:textId="77777777" w:rsidR="00CA4232" w:rsidRDefault="00000000">
      <w:pPr>
        <w:pStyle w:val="Textkrper"/>
      </w:pPr>
      <w:r>
        <w:t>The hypothesis underlying much XAI deployment for discrimination detection is appealingly straightforward: if we can explain which features drive model predictions, we can identify and remedy discriminatory decision patterns. This logic has motivated the integration of SHAP and LIME into fairness auditing toolkits (Bellamy et al. 2018), their adoption in regulatory compliance frameworks, and their use by researchers investigating algorithmic bias across domains. A survey by Mehrabi et al. (2021) identifies explainability as a key strategy for bias detection and mitigation, citing numerous studies that employ feature attribution methods to audit algorithmic fairness. The promise is that explanation methods can democratize algorithmic accountability, making bias visible not just to technical experts but to affected stakeholders, regulators, and the public.</w:t>
      </w:r>
    </w:p>
    <w:p w14:paraId="21F58BBB" w14:textId="77777777" w:rsidR="00CA4232" w:rsidRDefault="00000000">
      <w:pPr>
        <w:pStyle w:val="Textkrper"/>
      </w:pPr>
      <w:r>
        <w:t>However, emerging research challenges this optimistic view. Slack et al. (2020) demonstrated that adversarial classifiers can produce misleading explanations while maintaining discriminatory behavior—specifically, they showed how to “fool” both LIME and SHAP into suggesting that a model makes fair decisions when it actually relies heavily on protected attributes. This vulnerability raises a critical question: if explanation methods can be manipulated to conceal discrimination, how reliable are they as auditing tools? Deck et al. (2024) conducted a systematic survey of claims about XAI’s fairness benefits, finding limited empirical evidence that explanations actually help humans detect bias or improve fairness outcomes. Their meta-analysis reveals a troubling gap between the theoretical promise of explainability and its demonstrated effectiveness in practice. These critiques suggest that the relationship between explanation and discrimination detection may be more complex and problematic than widely assumed.</w:t>
      </w:r>
    </w:p>
    <w:p w14:paraId="63FE3FE6" w14:textId="77777777" w:rsidR="00CA4232" w:rsidRDefault="00000000">
      <w:pPr>
        <w:pStyle w:val="Textkrper"/>
      </w:pPr>
      <w:r>
        <w:t>This literature review examines the state of research on explainable AI for detecting algorithmic discrimination, with particular focus on the gap between XAI’s theoretical promise and its practical limitations. The review proceeds in five sections beyond this introduction. Section 2 provides technical background on major XAI methods (LIME, SHAP, counterfactual explanations, gradient-based attribution) and their integration into fairness toolkits, while also introducing critical perspectives questioning post-hoc explainability. Section 3 analyzes case studies applying XAI to discrimination detection across criminal justice, healthcare, employment, and credit domains, examining both successes and failures. Section 4 presents a critical analysis organized around technical vulnerabilities (adversarial attacks, evaluation challenges), philosophical questions about the relationship between explainability and fairness, human-computer interaction research on how stakeholders interpret explanations, and legal-regulatory frameworks governing algorithmic accountability. Section 5 identifies specific research gaps where XAI methods fail to address key challenges in discrimination detection, including intersectional bias, adversarial robustness, and stakeholder-appropriate explanation. The review concludes by synthesizing implications for researchers, practitioners, and policymakers working to ensure algorithmic fairness.</w:t>
      </w:r>
    </w:p>
    <w:p w14:paraId="2BE658E3" w14:textId="77777777" w:rsidR="00CA4232" w:rsidRDefault="00B94AD1">
      <w:r>
        <w:rPr>
          <w:noProof/>
        </w:rPr>
        <w:pict w14:anchorId="41017266">
          <v:rect id="_x0000_i1031" alt="" style="width:453.6pt;height:.05pt;mso-width-percent:0;mso-height-percent:0;mso-width-percent:0;mso-height-percent:0" o:hralign="center" o:hrstd="t" o:hr="t"/>
        </w:pict>
      </w:r>
    </w:p>
    <w:p w14:paraId="7B7AF184" w14:textId="77777777" w:rsidR="00CD499E" w:rsidRDefault="00000000">
      <w:pPr>
        <w:pStyle w:val="FirstParagraph"/>
      </w:pPr>
      <w:r>
        <w:rPr>
          <w:b/>
          <w:bCs/>
        </w:rPr>
        <w:lastRenderedPageBreak/>
        <w:t>Word count</w:t>
      </w:r>
      <w:r>
        <w:t>: 1,023 words</w:t>
      </w:r>
      <w:r>
        <w:br/>
      </w:r>
      <w:r>
        <w:rPr>
          <w:b/>
          <w:bCs/>
        </w:rPr>
        <w:t>Papers cited</w:t>
      </w:r>
      <w:r>
        <w:t xml:space="preserve">: 9 </w:t>
      </w:r>
    </w:p>
    <w:p w14:paraId="3EECB962" w14:textId="7D497972" w:rsidR="00CA4232" w:rsidRDefault="00000000" w:rsidP="00CD499E">
      <w:pPr>
        <w:pStyle w:val="berschrift2"/>
      </w:pPr>
      <w:r>
        <w:t>2. Detailed Technical Background</w:t>
      </w:r>
    </w:p>
    <w:p w14:paraId="1A90B1EE" w14:textId="77777777" w:rsidR="00CA4232" w:rsidRDefault="00000000">
      <w:pPr>
        <w:pStyle w:val="Textkrper"/>
      </w:pPr>
      <w:r>
        <w:t>Understanding how explainable AI techniques detect algorithmic discrimination requires deep technical knowledge of how these methods work, what systems they’re suited for, and why they’re effective for fairness auditing. This section provides detailed technical foundations for the major XAI approaches used in discrimination detection: local approximation methods (LIME, SHAP), counterfactual explanations, gradient-based attribution, fairness-specific toolkits, and critically, the interpretable-by-design alternative that challenges the entire post-hoc explanation paradigm.</w:t>
      </w:r>
    </w:p>
    <w:p w14:paraId="3C06BC52" w14:textId="77777777" w:rsidR="00CA4232" w:rsidRDefault="00000000">
      <w:pPr>
        <w:pStyle w:val="berschrift3"/>
      </w:pPr>
      <w:bookmarkStart w:id="2" w:name="X8f4bc75820ec3bf408b69f5085cc37cef44490d"/>
      <w:r>
        <w:t>2.1 LIME: Local Interpretable Model-Agnostic Explanations</w:t>
      </w:r>
    </w:p>
    <w:p w14:paraId="69736CDB" w14:textId="77777777" w:rsidR="00CA4232" w:rsidRDefault="00000000">
      <w:pPr>
        <w:pStyle w:val="FirstParagraph"/>
      </w:pPr>
      <w:r>
        <w:t>LIME (Ribeiro, Singh, and Guestrin 2016) remains one of the most widely adopted XAI techniques for auditing algorithmic systems, precisely because it can explain any classifier’s predictions without requiring access to model internals—a critical advantage when auditing proprietary systems or complex ensemble models.</w:t>
      </w:r>
    </w:p>
    <w:p w14:paraId="0C23E9F3" w14:textId="77777777" w:rsidR="00CA4232" w:rsidRDefault="00000000">
      <w:pPr>
        <w:pStyle w:val="Textkrper"/>
      </w:pPr>
      <w:r>
        <w:rPr>
          <w:b/>
          <w:bCs/>
        </w:rPr>
        <w:t>Core Algorithm</w:t>
      </w:r>
      <w:r>
        <w:t>. LIME’s fundamental insight is that even highly non-linear models behave approximately linearly in a small neighborhood around any given prediction. The method works by:</w:t>
      </w:r>
    </w:p>
    <w:p w14:paraId="58D2C154" w14:textId="77777777" w:rsidR="00CA4232" w:rsidRDefault="00000000">
      <w:pPr>
        <w:pStyle w:val="Compact"/>
        <w:numPr>
          <w:ilvl w:val="0"/>
          <w:numId w:val="2"/>
        </w:numPr>
      </w:pPr>
      <w:r>
        <w:rPr>
          <w:b/>
          <w:bCs/>
        </w:rPr>
        <w:t>Perturbation sampling</w:t>
      </w:r>
      <w:r>
        <w:t>: Generate a dataset of perturbed samples z’ around the instance x being explained</w:t>
      </w:r>
    </w:p>
    <w:p w14:paraId="284F9A3E" w14:textId="77777777" w:rsidR="00CA4232" w:rsidRDefault="00000000">
      <w:pPr>
        <w:pStyle w:val="Compact"/>
        <w:numPr>
          <w:ilvl w:val="0"/>
          <w:numId w:val="2"/>
        </w:numPr>
      </w:pPr>
      <w:r>
        <w:rPr>
          <w:b/>
          <w:bCs/>
        </w:rPr>
        <w:t>Model querying</w:t>
      </w:r>
      <w:r>
        <w:t>: Obtain predictions f(z’) from the black-box model for each perturbation</w:t>
      </w:r>
    </w:p>
    <w:p w14:paraId="10DD177D" w14:textId="77777777" w:rsidR="00CA4232" w:rsidRDefault="00000000">
      <w:pPr>
        <w:pStyle w:val="Compact"/>
        <w:numPr>
          <w:ilvl w:val="0"/>
          <w:numId w:val="2"/>
        </w:numPr>
      </w:pPr>
      <w:r>
        <w:rPr>
          <w:b/>
          <w:bCs/>
        </w:rPr>
        <w:t>Proximity weighting</w:t>
      </w:r>
      <w:r>
        <w:t>: Weight each perturbed sample by its distance to x using kernel function π_x(z)</w:t>
      </w:r>
    </w:p>
    <w:p w14:paraId="0CDADD85" w14:textId="77777777" w:rsidR="00CA4232" w:rsidRDefault="00000000">
      <w:pPr>
        <w:pStyle w:val="Compact"/>
        <w:numPr>
          <w:ilvl w:val="0"/>
          <w:numId w:val="2"/>
        </w:numPr>
      </w:pPr>
      <w:r>
        <w:rPr>
          <w:b/>
          <w:bCs/>
        </w:rPr>
        <w:t>Local fitting</w:t>
      </w:r>
      <w:r>
        <w:t>: Train an interpretable model g (typically linear) on the weighted dataset</w:t>
      </w:r>
    </w:p>
    <w:p w14:paraId="4370F941" w14:textId="77777777" w:rsidR="00CA4232" w:rsidRDefault="00000000">
      <w:pPr>
        <w:pStyle w:val="FirstParagraph"/>
      </w:pPr>
      <w:r>
        <w:t>Formally, LIME solves the optimization problem:</w:t>
      </w:r>
    </w:p>
    <w:p w14:paraId="60170675" w14:textId="77777777" w:rsidR="00CA4232" w:rsidRDefault="00000000">
      <w:pPr>
        <w:pStyle w:val="Textkrper"/>
      </w:pPr>
      <w:r>
        <w:t>ξ(x) = argmin_{g∈G} L(f, g, π_x) + Ω(g)</w:t>
      </w:r>
    </w:p>
    <w:p w14:paraId="6E5F9A28" w14:textId="77777777" w:rsidR="00CA4232" w:rsidRDefault="00000000">
      <w:pPr>
        <w:pStyle w:val="Textkrper"/>
      </w:pPr>
      <w:r>
        <w:t>where: - G is the class of interpretable models (e.g., linear models, decision trees) - L(f, g, π_x) measures how unfaithful g is in approximating f in the locality defined by π_x - Ω(g) penalizes model complexity (e.g., number of non-zero coefficients) - π_x(z) is an exponential kernel: π_x(z) = exp(-D(x,z)²/σ²)</w:t>
      </w:r>
    </w:p>
    <w:p w14:paraId="64A9E0B2" w14:textId="77777777" w:rsidR="00CA4232" w:rsidRDefault="00000000">
      <w:pPr>
        <w:pStyle w:val="Textkrper"/>
      </w:pPr>
      <w:r>
        <w:t>For tabular data with d features, LIME represents explanations as:</w:t>
      </w:r>
    </w:p>
    <w:p w14:paraId="641E09B8" w14:textId="77777777" w:rsidR="00CA4232" w:rsidRDefault="00000000">
      <w:pPr>
        <w:pStyle w:val="Textkrper"/>
      </w:pPr>
      <w:r>
        <w:t>g(z’) = w₀ + Σᵢ wᵢz’ᵢ</w:t>
      </w:r>
    </w:p>
    <w:p w14:paraId="6F67B7C0" w14:textId="77777777" w:rsidR="00CA4232" w:rsidRDefault="00000000">
      <w:pPr>
        <w:pStyle w:val="Textkrper"/>
      </w:pPr>
      <w:r>
        <w:t>where z’ ∈ {0,1}^d is a binary vector indicating feature presence/absence, and weights wᵢ represent feature importance.</w:t>
      </w:r>
    </w:p>
    <w:p w14:paraId="79012DC4" w14:textId="77777777" w:rsidR="00CA4232" w:rsidRDefault="00000000">
      <w:pPr>
        <w:pStyle w:val="Textkrper"/>
      </w:pPr>
      <w:r>
        <w:rPr>
          <w:b/>
          <w:bCs/>
        </w:rPr>
        <w:lastRenderedPageBreak/>
        <w:t>Why LIME for discrimination detection</w:t>
      </w:r>
      <w:r>
        <w:t>. LIME’s model-agnostic design makes it invaluable for fairness auditing in several scenarios:</w:t>
      </w:r>
    </w:p>
    <w:p w14:paraId="3D45C37F" w14:textId="77777777" w:rsidR="00CA4232" w:rsidRDefault="00000000">
      <w:pPr>
        <w:pStyle w:val="Compact"/>
        <w:numPr>
          <w:ilvl w:val="0"/>
          <w:numId w:val="3"/>
        </w:numPr>
      </w:pPr>
      <w:r>
        <w:rPr>
          <w:b/>
          <w:bCs/>
        </w:rPr>
        <w:t>Proprietary systems</w:t>
      </w:r>
      <w:r>
        <w:t>: Auditing commercial algorithms (e.g., credit scoring, hiring tools) where model architecture is unknown</w:t>
      </w:r>
    </w:p>
    <w:p w14:paraId="3869AC63" w14:textId="77777777" w:rsidR="00CA4232" w:rsidRDefault="00000000">
      <w:pPr>
        <w:pStyle w:val="Compact"/>
        <w:numPr>
          <w:ilvl w:val="0"/>
          <w:numId w:val="3"/>
        </w:numPr>
      </w:pPr>
      <w:r>
        <w:rPr>
          <w:b/>
          <w:bCs/>
        </w:rPr>
        <w:t>Ensemble models</w:t>
      </w:r>
      <w:r>
        <w:t>: Explaining predictions from random forests, gradient boosting, or neural network ensembles</w:t>
      </w:r>
    </w:p>
    <w:p w14:paraId="49073638" w14:textId="77777777" w:rsidR="00CA4232" w:rsidRDefault="00000000">
      <w:pPr>
        <w:pStyle w:val="Compact"/>
        <w:numPr>
          <w:ilvl w:val="0"/>
          <w:numId w:val="3"/>
        </w:numPr>
      </w:pPr>
      <w:r>
        <w:rPr>
          <w:b/>
          <w:bCs/>
        </w:rPr>
        <w:t>Per-instance audit</w:t>
      </w:r>
      <w:r>
        <w:t>: Identifying whether specific protected attributes (race, gender, age) influenced individual decisions</w:t>
      </w:r>
    </w:p>
    <w:p w14:paraId="34B7DD88" w14:textId="77777777" w:rsidR="00CA4232" w:rsidRDefault="00000000">
      <w:pPr>
        <w:pStyle w:val="FirstParagraph"/>
      </w:pPr>
      <w:r>
        <w:t>For discrimination detection, practitioners typically apply LIME to test instances differing only in protected attributes. If LIME assigns high weight to a protected attribute for similar individuals receiving different outcomes, this provides evidence of potential discrimination. For example, if two loan applicants differ only in race, and LIME explanations show race as a top-3 feature for one applicant’s rejection, this flags potential disparate treatment (Angwin et al. 2016).</w:t>
      </w:r>
    </w:p>
    <w:p w14:paraId="0CBA866C" w14:textId="77777777" w:rsidR="00CA4232" w:rsidRDefault="00000000">
      <w:pPr>
        <w:pStyle w:val="Textkrper"/>
      </w:pPr>
      <w:r>
        <w:rPr>
          <w:b/>
          <w:bCs/>
        </w:rPr>
        <w:t>Limitations for fairness</w:t>
      </w:r>
      <w:r>
        <w:t>. However, LIME’s instability—different runs produce different explanations due to random sampling—creates challenges for fairness auditing requiring reproducible evidence. Additionally, LIME can be fooled by adversarially designed models that behave fairly locally but discriminate globally (Slack et al. 2020).</w:t>
      </w:r>
    </w:p>
    <w:p w14:paraId="6AC392CE" w14:textId="77777777" w:rsidR="00CA4232" w:rsidRDefault="00000000">
      <w:pPr>
        <w:pStyle w:val="berschrift3"/>
      </w:pPr>
      <w:bookmarkStart w:id="3" w:name="shap-shapley-additive-explanations"/>
      <w:bookmarkEnd w:id="2"/>
      <w:r>
        <w:t>2.2 SHAP: SHapley Additive exPlanations</w:t>
      </w:r>
    </w:p>
    <w:p w14:paraId="6BE3E42A" w14:textId="77777777" w:rsidR="00CA4232" w:rsidRDefault="00000000">
      <w:pPr>
        <w:pStyle w:val="FirstParagraph"/>
      </w:pPr>
      <w:r>
        <w:t>SHAP (Lundberg and Lee 2017) provides a theoretically grounded alternative to LIME, unifying multiple explanation methods under the framework of cooperative game theory’s Shapley values. For discrimination detection, SHAP’s mathematical properties—particularly consistency and local accuracy—make it more defensible as legal or regulatory evidence than heuristic methods.</w:t>
      </w:r>
    </w:p>
    <w:p w14:paraId="20B51EB7" w14:textId="77777777" w:rsidR="00CA4232" w:rsidRDefault="00000000">
      <w:pPr>
        <w:pStyle w:val="Textkrper"/>
      </w:pPr>
      <w:r>
        <w:rPr>
          <w:b/>
          <w:bCs/>
        </w:rPr>
        <w:t>Theoretical Foundation</w:t>
      </w:r>
      <w:r>
        <w:t>. SHAP explanations satisfy three desirable properties that LIME does not guarantee:</w:t>
      </w:r>
    </w:p>
    <w:p w14:paraId="5F6804E8" w14:textId="77777777" w:rsidR="00CA4232" w:rsidRDefault="00000000">
      <w:pPr>
        <w:pStyle w:val="Compact"/>
        <w:numPr>
          <w:ilvl w:val="0"/>
          <w:numId w:val="4"/>
        </w:numPr>
      </w:pPr>
      <w:r>
        <w:rPr>
          <w:b/>
          <w:bCs/>
        </w:rPr>
        <w:t>Local accuracy</w:t>
      </w:r>
      <w:r>
        <w:t>: The explanation model g matches the original model f at the point being explained</w:t>
      </w:r>
    </w:p>
    <w:p w14:paraId="34911B7D" w14:textId="77777777" w:rsidR="00CA4232" w:rsidRDefault="00000000">
      <w:pPr>
        <w:pStyle w:val="Compact"/>
        <w:numPr>
          <w:ilvl w:val="0"/>
          <w:numId w:val="4"/>
        </w:numPr>
      </w:pPr>
      <w:r>
        <w:rPr>
          <w:b/>
          <w:bCs/>
        </w:rPr>
        <w:t>Missingness</w:t>
      </w:r>
      <w:r>
        <w:t>: Features that are “missing” (not present) have zero impact</w:t>
      </w:r>
    </w:p>
    <w:p w14:paraId="3DD850C5" w14:textId="77777777" w:rsidR="00CA4232" w:rsidRDefault="00000000">
      <w:pPr>
        <w:pStyle w:val="Compact"/>
        <w:numPr>
          <w:ilvl w:val="0"/>
          <w:numId w:val="4"/>
        </w:numPr>
      </w:pPr>
      <w:r>
        <w:rPr>
          <w:b/>
          <w:bCs/>
        </w:rPr>
        <w:t>Consistency</w:t>
      </w:r>
      <w:r>
        <w:t>: If a model changes so a feature’s contribution increases or stays the same regardless of other features, that feature’s attribution should not decrease</w:t>
      </w:r>
    </w:p>
    <w:p w14:paraId="2E9F5E8C" w14:textId="77777777" w:rsidR="00CA4232" w:rsidRDefault="00000000">
      <w:pPr>
        <w:pStyle w:val="FirstParagraph"/>
      </w:pPr>
      <w:r>
        <w:t>These properties uniquely characterize additive feature attribution methods of the form:</w:t>
      </w:r>
    </w:p>
    <w:p w14:paraId="32FAF78D" w14:textId="77777777" w:rsidR="00CA4232" w:rsidRDefault="00000000">
      <w:pPr>
        <w:pStyle w:val="Textkrper"/>
      </w:pPr>
      <w:r>
        <w:t>g(z’) = φ₀ + Σⱼ₌₁^M φⱼz’ⱼ</w:t>
      </w:r>
    </w:p>
    <w:p w14:paraId="60F7BC21" w14:textId="77777777" w:rsidR="00CA4232" w:rsidRDefault="00000000">
      <w:pPr>
        <w:pStyle w:val="Textkrper"/>
      </w:pPr>
      <w:r>
        <w:t>where φⱼ are the SHAP values—the attribution to feature j.</w:t>
      </w:r>
    </w:p>
    <w:p w14:paraId="1AF92B03" w14:textId="77777777" w:rsidR="00CA4232" w:rsidRDefault="00000000">
      <w:pPr>
        <w:pStyle w:val="Textkrper"/>
      </w:pPr>
      <w:r>
        <w:rPr>
          <w:b/>
          <w:bCs/>
        </w:rPr>
        <w:t>Shapley Value Computation</w:t>
      </w:r>
      <w:r>
        <w:t>. SHAP values derive from cooperative game theory, where the “game” is predicting the output, and “players” are input features. The Shapley value for feature j is:</w:t>
      </w:r>
    </w:p>
    <w:p w14:paraId="63F3D094" w14:textId="77777777" w:rsidR="00CA4232" w:rsidRDefault="00000000">
      <w:pPr>
        <w:pStyle w:val="Textkrper"/>
      </w:pPr>
      <w:r>
        <w:lastRenderedPageBreak/>
        <w:t>φⱼ = Σ_{S⊆F{j}} [|S|!(|F|-|S|-1)!]/|F|! · [f_{S∪{j}}(x_{S∪{j}}) - f_S(x_S)]</w:t>
      </w:r>
    </w:p>
    <w:p w14:paraId="1B95AA57" w14:textId="77777777" w:rsidR="00CA4232" w:rsidRDefault="00000000">
      <w:pPr>
        <w:pStyle w:val="Textkrper"/>
      </w:pPr>
      <w:r>
        <w:t>where: - F is the set of all features - S ranges over all subsets of features not including j - f_S(x_S) is the model’s prediction using only features in subset S - The weights [|S|!(|F|-|S|-1)!]/|F|! ensure fair attribution</w:t>
      </w:r>
    </w:p>
    <w:p w14:paraId="57B486A6" w14:textId="77777777" w:rsidR="00CA4232" w:rsidRDefault="00000000">
      <w:pPr>
        <w:pStyle w:val="Textkrper"/>
      </w:pPr>
      <w:r>
        <w:t>This formula requires evaluating f on all 2^M possible feature subsets—computationally prohibitive for high-dimensional data.</w:t>
      </w:r>
    </w:p>
    <w:p w14:paraId="439E6D3D" w14:textId="77777777" w:rsidR="00CA4232" w:rsidRDefault="00000000">
      <w:pPr>
        <w:pStyle w:val="Textkrper"/>
      </w:pPr>
      <w:r>
        <w:rPr>
          <w:b/>
          <w:bCs/>
        </w:rPr>
        <w:t>KernelSHAP</w:t>
      </w:r>
      <w:r>
        <w:t>. To make SHAP practical, Lundberg and Lee (2017) proved that Shapley values can be approximated via weighted linear regression. KernelSHAP solves:</w:t>
      </w:r>
    </w:p>
    <w:p w14:paraId="2FD19C52" w14:textId="77777777" w:rsidR="00CA4232" w:rsidRDefault="00000000">
      <w:pPr>
        <w:pStyle w:val="Textkrper"/>
      </w:pPr>
      <w:r>
        <w:t>Σ_{z’∈Z} [f(h_x(z’)) - g(z’)]² π_x(z’)</w:t>
      </w:r>
    </w:p>
    <w:p w14:paraId="1766C37E" w14:textId="77777777" w:rsidR="00CA4232" w:rsidRDefault="00000000">
      <w:pPr>
        <w:pStyle w:val="Textkrper"/>
      </w:pPr>
      <w:r>
        <w:t>with the specialized SHAP kernel:</w:t>
      </w:r>
    </w:p>
    <w:p w14:paraId="5C667A1C" w14:textId="77777777" w:rsidR="00CA4232" w:rsidRDefault="00000000">
      <w:pPr>
        <w:pStyle w:val="Textkrper"/>
      </w:pPr>
      <w:r>
        <w:t>π_x(z’) = (M-1) / [C(M,|z’|)·|z’|·(M-|z’|)]</w:t>
      </w:r>
    </w:p>
    <w:p w14:paraId="62676CFF" w14:textId="77777777" w:rsidR="00CA4232" w:rsidRDefault="00000000">
      <w:pPr>
        <w:pStyle w:val="Textkrper"/>
      </w:pPr>
      <w:r>
        <w:t>where |z’| is the number of non-zero entries in z’, and C(M,|z’|) is the binomial coefficient. This kernel weight ensures the regression yields exact Shapley values as the number of samples approaches infinity.</w:t>
      </w:r>
    </w:p>
    <w:p w14:paraId="34CD50E6" w14:textId="77777777" w:rsidR="00CA4232" w:rsidRDefault="00000000">
      <w:pPr>
        <w:pStyle w:val="Textkrper"/>
      </w:pPr>
      <w:r>
        <w:rPr>
          <w:b/>
          <w:bCs/>
        </w:rPr>
        <w:t>TreeSHAP</w:t>
      </w:r>
      <w:r>
        <w:t>. For tree-based models (random forests, gradient boosting), Lundberg, Erion, and Lee (2018) developed TreeSHAP, which computes exact Shapley values in polynomial time by exploiting tree structure. Instead of exponential complexity O(TL2^M), TreeSHAP achieves O(TLD²) where T is the number of trees, L the maximum leaves, and D the maximum depth. This algorithmic breakthrough made SHAP practical for fairness auditing of tree-based systems—common in hiring, lending, and criminal justice.</w:t>
      </w:r>
    </w:p>
    <w:p w14:paraId="43A54E5D" w14:textId="77777777" w:rsidR="00CA4232" w:rsidRDefault="00000000">
      <w:pPr>
        <w:pStyle w:val="Textkrper"/>
      </w:pPr>
      <w:r>
        <w:rPr>
          <w:b/>
          <w:bCs/>
        </w:rPr>
        <w:t>SHAP for Fairness Auditing</w:t>
      </w:r>
      <w:r>
        <w:t>. Lundberg (2020) explicitly connects SHAP to fairness metrics, demonstrating how SHAP values can decompose fairness violations. For demographic parity violations, SHAP values show which features contribute to differential prediction rates across protected groups. The decomposition:</w:t>
      </w:r>
    </w:p>
    <w:p w14:paraId="37BC1236" w14:textId="77777777" w:rsidR="00CA4232" w:rsidRDefault="00000000">
      <w:pPr>
        <w:pStyle w:val="Textkrper"/>
      </w:pPr>
      <w:r>
        <w:t>E[f(X)|A=a₁] - E[f(X)|A=a₀] = Σⱼ [E[φⱼ|A=a₁] - E[φⱼ|A=a₀]]</w:t>
      </w:r>
    </w:p>
    <w:p w14:paraId="451385F2" w14:textId="77777777" w:rsidR="00CA4232" w:rsidRDefault="00000000">
      <w:pPr>
        <w:pStyle w:val="Textkrper"/>
      </w:pPr>
      <w:r>
        <w:t>reveals which features cause the disparity between groups A=a₁ and A=a₀. If E[φ_race|A=Black] differs substantially from E[φ_race|A=White], this quantifies race’s contribution to outcome disparities—crucial evidence for disparate impact claims.</w:t>
      </w:r>
    </w:p>
    <w:p w14:paraId="19067713" w14:textId="77777777" w:rsidR="00CA4232" w:rsidRDefault="00000000">
      <w:pPr>
        <w:pStyle w:val="Textkrper"/>
      </w:pPr>
      <w:r>
        <w:rPr>
          <w:b/>
          <w:bCs/>
        </w:rPr>
        <w:t>Advantages over LIME</w:t>
      </w:r>
      <w:r>
        <w:t>. For discrimination detection, SHAP offers several advantages: (1) consistency ensures feature importance rankings don’t arbitrarily change when models are updated, (2) the game-theoretic foundation provides a principled answer to “how much did this feature contribute?”, and (3) TreeSHAP’s efficiency enables auditing large-scale deployed systems. Healthcare discrimination studies increasingly rely on SHAP for these reasons (Obermeyer et al. 2019; Gramegna and Giudici 2021).</w:t>
      </w:r>
    </w:p>
    <w:p w14:paraId="2812C56F" w14:textId="77777777" w:rsidR="00CA4232" w:rsidRDefault="00000000">
      <w:pPr>
        <w:pStyle w:val="berschrift3"/>
      </w:pPr>
      <w:bookmarkStart w:id="4" w:name="Xf262677e8abc6f62944ff3f3e2698d366e20bfd"/>
      <w:bookmarkEnd w:id="3"/>
      <w:r>
        <w:lastRenderedPageBreak/>
        <w:t>2.3 Counterfactual Explanations and Actionable Recourse</w:t>
      </w:r>
    </w:p>
    <w:p w14:paraId="732CE945" w14:textId="77777777" w:rsidR="00CA4232" w:rsidRDefault="00000000">
      <w:pPr>
        <w:pStyle w:val="FirstParagraph"/>
      </w:pPr>
      <w:r>
        <w:t>While LIME and SHAP explain why a decision was made, counterfactual explanations answer a different question: what would need to change for a different outcome? This distinction is critical for discrimination cases, where plaintiffs must demonstrate they would have received a favorable outcome if their protected attribute were different.</w:t>
      </w:r>
    </w:p>
    <w:p w14:paraId="1CFDF3E1" w14:textId="77777777" w:rsidR="00CA4232" w:rsidRDefault="00000000">
      <w:pPr>
        <w:pStyle w:val="Textkrper"/>
      </w:pPr>
      <w:r>
        <w:rPr>
          <w:b/>
          <w:bCs/>
        </w:rPr>
        <w:t>Formal Definition</w:t>
      </w:r>
      <w:r>
        <w:t>. Given an instance x receiving unfavorable prediction f(x) = 0, a counterfactual explanation is x’ such that: 1. f(x’) = 1 (desired outcome) 2. x’ is “close” to x under some distance metric d(x, x’) 3. x’ is realistic/valid (satisfies domain constraints)</w:t>
      </w:r>
    </w:p>
    <w:p w14:paraId="5581C34C" w14:textId="77777777" w:rsidR="00CA4232" w:rsidRDefault="00000000">
      <w:pPr>
        <w:pStyle w:val="Textkrper"/>
      </w:pPr>
      <w:r>
        <w:t>Wachter, Mittelstadt, and Russell (2017) formalized this as an optimization problem:</w:t>
      </w:r>
    </w:p>
    <w:p w14:paraId="6E2E1C2A" w14:textId="77777777" w:rsidR="00CA4232" w:rsidRDefault="00000000">
      <w:pPr>
        <w:pStyle w:val="Textkrper"/>
      </w:pPr>
      <w:r>
        <w:t>argmin_{x’} max_λ λ·(f(x’) - y’)² + d(x, x’)</w:t>
      </w:r>
    </w:p>
    <w:p w14:paraId="79FB6420" w14:textId="77777777" w:rsidR="00CA4232" w:rsidRDefault="00000000">
      <w:pPr>
        <w:pStyle w:val="Textkrper"/>
      </w:pPr>
      <w:r>
        <w:t>where y’ is the desired prediction, and λ balances prediction fidelity against distance. The distance metric d typically uses weighted Manhattan distance:</w:t>
      </w:r>
    </w:p>
    <w:p w14:paraId="3C3D1CFB" w14:textId="77777777" w:rsidR="00CA4232" w:rsidRDefault="00000000">
      <w:pPr>
        <w:pStyle w:val="Textkrper"/>
      </w:pPr>
      <w:r>
        <w:t>d(x, x’) = Σⱼ |xⱼ - x’ⱼ|/MADⱼ</w:t>
      </w:r>
    </w:p>
    <w:p w14:paraId="0F8D9EAE" w14:textId="77777777" w:rsidR="00CA4232" w:rsidRDefault="00000000">
      <w:pPr>
        <w:pStyle w:val="Textkrper"/>
      </w:pPr>
      <w:r>
        <w:t>where MADⱼ is the median absolute deviation of feature j, providing scale-invariant distance.</w:t>
      </w:r>
    </w:p>
    <w:p w14:paraId="470D365A" w14:textId="77777777" w:rsidR="00CA4232" w:rsidRDefault="00000000">
      <w:pPr>
        <w:pStyle w:val="Textkrper"/>
      </w:pPr>
      <w:r>
        <w:rPr>
          <w:b/>
          <w:bCs/>
        </w:rPr>
        <w:t>DiCE: Diverse Counterfactual Explanations</w:t>
      </w:r>
      <w:r>
        <w:t>. A single counterfactual may suggest changes to a protected attribute (e.g., “change your race”)—clearly problematic for fairness. Mothilal, Sharma, and Tan (2020) introduced DiCE (Diverse Counterfactual Explanations), which generates multiple counterfactuals spanning different feature changes:</w:t>
      </w:r>
    </w:p>
    <w:p w14:paraId="60EAFCED" w14:textId="77777777" w:rsidR="00CA4232" w:rsidRDefault="00000000">
      <w:pPr>
        <w:pStyle w:val="Textkrper"/>
      </w:pPr>
      <w:r>
        <w:t>argmin_{CF} Σᵢ₌₁^k [yloss(CF_i) + dist(CF_i, x)] + dpp_diversity(CF)</w:t>
      </w:r>
    </w:p>
    <w:p w14:paraId="31F5EEF5" w14:textId="77777777" w:rsidR="00CA4232" w:rsidRDefault="00000000">
      <w:pPr>
        <w:pStyle w:val="Textkrper"/>
      </w:pPr>
      <w:r>
        <w:t>where: - CF = {x’₁, …, x’_k} is a set of k counterfactuals - yloss ensures desired predictions - dist measures proximity to x - dpp_diversity encourages diversity via determinantal point processes</w:t>
      </w:r>
    </w:p>
    <w:p w14:paraId="42DD0532" w14:textId="77777777" w:rsidR="00CA4232" w:rsidRDefault="00000000">
      <w:pPr>
        <w:pStyle w:val="Textkrper"/>
      </w:pPr>
      <w:r>
        <w:t>For discrimination detection, DiCE reveals whether non-discriminatory paths to favorable outcomes exist. If all counterfactuals for a rejected minority applicant require changing their race/ethnicity while counterfactuals for similar majority applicants suggest changes to education or income, this provides evidence of disparate treatment.</w:t>
      </w:r>
    </w:p>
    <w:p w14:paraId="341D20FD" w14:textId="77777777" w:rsidR="00CA4232" w:rsidRDefault="00000000">
      <w:pPr>
        <w:pStyle w:val="Textkrper"/>
      </w:pPr>
      <w:r>
        <w:rPr>
          <w:b/>
          <w:bCs/>
        </w:rPr>
        <w:t>Actionable Recourse</w:t>
      </w:r>
      <w:r>
        <w:t>. Ustun, Spangher, and Liu (2019) formalize actionable recourse: changes that individuals can realistically make. Not all features are actionable—race, gender, and age cannot be changed. The actionable recourse framework constrains counterfactuals to mutable features:</w:t>
      </w:r>
    </w:p>
    <w:p w14:paraId="5C874ADF" w14:textId="77777777" w:rsidR="00CA4232" w:rsidRDefault="00000000">
      <w:pPr>
        <w:pStyle w:val="Textkrper"/>
      </w:pPr>
      <w:r>
        <w:t>argmin_{x’} d(x, x’) subject to: f(x’) = 1 x’ⱼ = xⱼ ∀j ∈ Immutable Cⱼ(xⱼ, x’ⱼ) ∀j ∈ Mutable</w:t>
      </w:r>
    </w:p>
    <w:p w14:paraId="4D50395C" w14:textId="77777777" w:rsidR="00CA4232" w:rsidRDefault="00000000">
      <w:pPr>
        <w:pStyle w:val="Textkrper"/>
      </w:pPr>
      <w:r>
        <w:t>where Immutable includes protected attributes and Cⱼ encodes feature-specific constraints (e.g., education can only increase, not decrease).</w:t>
      </w:r>
    </w:p>
    <w:p w14:paraId="19B54AED" w14:textId="77777777" w:rsidR="00CA4232" w:rsidRDefault="00000000">
      <w:pPr>
        <w:pStyle w:val="Textkrper"/>
      </w:pPr>
      <w:r>
        <w:rPr>
          <w:b/>
          <w:bCs/>
        </w:rPr>
        <w:lastRenderedPageBreak/>
        <w:t>Fairness Applications</w:t>
      </w:r>
      <w:r>
        <w:t>. Counterfactual explanations directly address the legal notion of “but-for” causation in discrimination cases: but for the plaintiff’s protected characteristic, would the outcome have differed? Recent work applies counterfactuals to detect bias in hiring algorithms (Raghavan et al. 2020), lending systems (Babaei et al. 2024), and criminal risk assessment (Fares et al. 2024). The key advantage is interpretability for non-technical stakeholders: “If your income were $5,000 higher, your loan would have been approved” is more actionable than “income contributed 0.23 to your rejection.”</w:t>
      </w:r>
    </w:p>
    <w:p w14:paraId="5B082B08" w14:textId="77777777" w:rsidR="00CA4232" w:rsidRDefault="00000000">
      <w:pPr>
        <w:pStyle w:val="Textkrper"/>
      </w:pPr>
      <w:r>
        <w:rPr>
          <w:b/>
          <w:bCs/>
        </w:rPr>
        <w:t>Challenges</w:t>
      </w:r>
      <w:r>
        <w:t>. However, counterfactuals assume feature independence—changing income while holding employment status fixed may be unrealistic. Karimi et al. (2022) survey algorithmic recourse methods addressing such constraints, including causal counterfactuals that respect causal relationships between features. For discrimination detection, this matters when protected attributes have downstream effects: gender might influence education access, which influences qualifications. Naive counterfactuals ignoring these causal relationships may suggest infeasible changes.</w:t>
      </w:r>
    </w:p>
    <w:p w14:paraId="6367AFF0" w14:textId="77777777" w:rsidR="00CA4232" w:rsidRDefault="00000000">
      <w:pPr>
        <w:pStyle w:val="berschrift3"/>
      </w:pPr>
      <w:bookmarkStart w:id="5" w:name="gradient-based-attribution-methods"/>
      <w:bookmarkEnd w:id="4"/>
      <w:r>
        <w:t>2.4 Gradient-Based Attribution Methods</w:t>
      </w:r>
    </w:p>
    <w:p w14:paraId="1BD588D2" w14:textId="77777777" w:rsidR="00CA4232" w:rsidRDefault="00000000">
      <w:pPr>
        <w:pStyle w:val="FirstParagraph"/>
      </w:pPr>
      <w:r>
        <w:t>For deep neural networks—increasingly deployed in image classification (facial recognition, medical imaging) and natural language processing (resume screening, sentiment analysis)—gradient-based methods provide computationally efficient explanations by leveraging backpropagation.</w:t>
      </w:r>
    </w:p>
    <w:p w14:paraId="69EE92B7" w14:textId="77777777" w:rsidR="00CA4232" w:rsidRDefault="00000000">
      <w:pPr>
        <w:pStyle w:val="Textkrper"/>
      </w:pPr>
      <w:r>
        <w:rPr>
          <w:b/>
          <w:bCs/>
        </w:rPr>
        <w:t>Integrated Gradients</w:t>
      </w:r>
      <w:r>
        <w:t>. Sundararajan, Taly, and Yan (2017) introduced Integrated Gradients (IG), which satisfies two axioms critical for trustworthy explanations:</w:t>
      </w:r>
    </w:p>
    <w:p w14:paraId="007F59B1" w14:textId="77777777" w:rsidR="00CA4232" w:rsidRDefault="00000000">
      <w:pPr>
        <w:pStyle w:val="Compact"/>
        <w:numPr>
          <w:ilvl w:val="0"/>
          <w:numId w:val="5"/>
        </w:numPr>
      </w:pPr>
      <w:r>
        <w:rPr>
          <w:b/>
          <w:bCs/>
        </w:rPr>
        <w:t>Sensitivity</w:t>
      </w:r>
      <w:r>
        <w:t>: If input and baseline differ in one feature but have different predictions, that feature should receive non-zero attribution</w:t>
      </w:r>
    </w:p>
    <w:p w14:paraId="30A07B4C" w14:textId="77777777" w:rsidR="00CA4232" w:rsidRDefault="00000000">
      <w:pPr>
        <w:pStyle w:val="Compact"/>
        <w:numPr>
          <w:ilvl w:val="0"/>
          <w:numId w:val="5"/>
        </w:numPr>
      </w:pPr>
      <w:r>
        <w:rPr>
          <w:b/>
          <w:bCs/>
        </w:rPr>
        <w:t>Implementation invariance</w:t>
      </w:r>
      <w:r>
        <w:t>: Functionally equivalent networks should yield identical attributions</w:t>
      </w:r>
    </w:p>
    <w:p w14:paraId="17A6DB98" w14:textId="77777777" w:rsidR="00CA4232" w:rsidRDefault="00000000">
      <w:pPr>
        <w:pStyle w:val="FirstParagraph"/>
      </w:pPr>
      <w:r>
        <w:t>IG computes feature attributions by integrating gradients along the path from a baseline x̄ (typically all zeros or average feature values) to the input x:</w:t>
      </w:r>
    </w:p>
    <w:p w14:paraId="7743120C" w14:textId="77777777" w:rsidR="00CA4232" w:rsidRDefault="00000000">
      <w:pPr>
        <w:pStyle w:val="Textkrper"/>
      </w:pPr>
      <w:r>
        <w:t>IGᵢ(x) = (xᵢ - x̄ᵢ) · ∫₀¹ [∂f(x̄ + α(x - x̄))/∂xᵢ] dα</w:t>
      </w:r>
    </w:p>
    <w:p w14:paraId="631844EA" w14:textId="77777777" w:rsidR="00CA4232" w:rsidRDefault="00000000">
      <w:pPr>
        <w:pStyle w:val="Textkrper"/>
      </w:pPr>
      <w:r>
        <w:t>In practice, this integral is approximated using Riemann sums with m steps:</w:t>
      </w:r>
    </w:p>
    <w:p w14:paraId="3518B27B" w14:textId="77777777" w:rsidR="00CA4232" w:rsidRDefault="00000000">
      <w:pPr>
        <w:pStyle w:val="Textkrper"/>
      </w:pPr>
      <w:r>
        <w:t>IGᵢ(x) ≈ (xᵢ - x̄ᵢ) · (1/m) Σₖ₌₁^m [∂f(x̄ + (k/m)(x - x̄))/∂xᵢ]</w:t>
      </w:r>
    </w:p>
    <w:p w14:paraId="0F83DAA0" w14:textId="77777777" w:rsidR="00CA4232" w:rsidRDefault="00000000">
      <w:pPr>
        <w:pStyle w:val="Textkrper"/>
      </w:pPr>
      <w:r>
        <w:rPr>
          <w:b/>
          <w:bCs/>
        </w:rPr>
        <w:t>Why IG for Discrimination Detection</w:t>
      </w:r>
      <w:r>
        <w:t>. Integrated Gradients are particularly valuable for auditing vision-based systems where discrimination may be spatially localized. For example, if a facial recognition system discriminates based on skin tone, IG attributions will concentrate on skin regions. If a resume screening system discriminates based on name, IG will highlight name-related word embeddings.</w:t>
      </w:r>
    </w:p>
    <w:p w14:paraId="5066D99B" w14:textId="77777777" w:rsidR="00CA4232" w:rsidRDefault="00000000">
      <w:pPr>
        <w:pStyle w:val="Textkrper"/>
      </w:pPr>
      <w:r>
        <w:t>The completeness property—Σᵢ IGᵢ(x) = f(x) - f(x̄)—ensures attributions fully explain the prediction delta from baseline, unlike gradient-based methods that violate this property.</w:t>
      </w:r>
    </w:p>
    <w:p w14:paraId="14B6F2F7" w14:textId="77777777" w:rsidR="00CA4232" w:rsidRDefault="00000000">
      <w:pPr>
        <w:pStyle w:val="Textkrper"/>
      </w:pPr>
      <w:r>
        <w:rPr>
          <w:b/>
          <w:bCs/>
        </w:rPr>
        <w:lastRenderedPageBreak/>
        <w:t>Grad-CAM</w:t>
      </w:r>
      <w:r>
        <w:t>. For convolutional neural networks, Grad-CAM (Selvaraju et al. 2017) generates visual explanations by identifying which spatial regions were most important. Grad-CAM computes a class-activation map by:</w:t>
      </w:r>
    </w:p>
    <w:p w14:paraId="4993B789" w14:textId="77777777" w:rsidR="00CA4232" w:rsidRDefault="00000000">
      <w:pPr>
        <w:numPr>
          <w:ilvl w:val="0"/>
          <w:numId w:val="6"/>
        </w:numPr>
      </w:pPr>
      <w:r>
        <w:t>Computing gradients of class score yᶜ with respect to feature maps Aᵏ of a convolutional layer:</w:t>
      </w:r>
    </w:p>
    <w:p w14:paraId="42F4D963" w14:textId="77777777" w:rsidR="00CA4232" w:rsidRDefault="00000000">
      <w:pPr>
        <w:numPr>
          <w:ilvl w:val="0"/>
          <w:numId w:val="1"/>
        </w:numPr>
      </w:pPr>
      <w:r>
        <w:t>αᵏᶜ = (1/Z) Σᵢ Σⱼ [∂yᶜ/∂Aᵢⱼᵏ]</w:t>
      </w:r>
    </w:p>
    <w:p w14:paraId="464483E8" w14:textId="77777777" w:rsidR="00CA4232" w:rsidRDefault="00000000">
      <w:pPr>
        <w:numPr>
          <w:ilvl w:val="0"/>
          <w:numId w:val="6"/>
        </w:numPr>
      </w:pPr>
      <w:r>
        <w:t>Weighting feature maps by these gradients:</w:t>
      </w:r>
    </w:p>
    <w:p w14:paraId="4D85260F" w14:textId="77777777" w:rsidR="00CA4232" w:rsidRDefault="00000000">
      <w:pPr>
        <w:numPr>
          <w:ilvl w:val="0"/>
          <w:numId w:val="1"/>
        </w:numPr>
      </w:pPr>
      <w:r>
        <w:t>L^c_Grad-CAM = ReLU(Σₖ αᵏᶜ Aᵏ)</w:t>
      </w:r>
    </w:p>
    <w:p w14:paraId="0811F1EF" w14:textId="77777777" w:rsidR="00CA4232" w:rsidRDefault="00000000">
      <w:pPr>
        <w:pStyle w:val="FirstParagraph"/>
      </w:pPr>
      <w:r>
        <w:t>The ReLU ensures only positive contributions to the target class are visualized.</w:t>
      </w:r>
    </w:p>
    <w:p w14:paraId="337B0131" w14:textId="77777777" w:rsidR="00CA4232" w:rsidRDefault="00000000">
      <w:pPr>
        <w:pStyle w:val="Textkrper"/>
      </w:pPr>
      <w:r>
        <w:rPr>
          <w:b/>
          <w:bCs/>
        </w:rPr>
        <w:t>Fairness Applications</w:t>
      </w:r>
      <w:r>
        <w:t>. Grad-CAM has exposed discrimination in medical imaging, where models relied on hospital-specific artifacts rather than medical features (Obermeyer et al. 2019), and in facial recognition systems that attend to different facial regions for different races (Buolamwini and Gebru 2018). By visualizing what the model “sees,” Grad-CAM makes discrimination mechanisms transparent to non-experts—crucial for policy interventions.</w:t>
      </w:r>
    </w:p>
    <w:p w14:paraId="10E98474" w14:textId="77777777" w:rsidR="00CA4232" w:rsidRDefault="00000000">
      <w:pPr>
        <w:pStyle w:val="Textkrper"/>
      </w:pPr>
      <w:r>
        <w:rPr>
          <w:b/>
          <w:bCs/>
        </w:rPr>
        <w:t>Limitations: Sanity Checks</w:t>
      </w:r>
      <w:r>
        <w:t>. Adebayo et al. (2018) demonstrated that many gradient-based methods fail basic sanity checks: randomizing model parameters or training labels doesn’t significantly change explanations. This raises concerns about using such methods as legal evidence of discrimination. Integrated Gradients pass these sanity checks, while simpler gradient-based methods do not—an important distinction when choosing explanation methods for high-stakes fairness auditing.</w:t>
      </w:r>
    </w:p>
    <w:p w14:paraId="698B0CD6" w14:textId="77777777" w:rsidR="00CA4232" w:rsidRDefault="00000000">
      <w:pPr>
        <w:pStyle w:val="berschrift3"/>
      </w:pPr>
      <w:bookmarkStart w:id="6" w:name="fairness-specific-toolkits"/>
      <w:bookmarkEnd w:id="5"/>
      <w:r>
        <w:t>2.5 Fairness-Specific Toolkits</w:t>
      </w:r>
    </w:p>
    <w:p w14:paraId="16785E83" w14:textId="77777777" w:rsidR="00CA4232" w:rsidRDefault="00000000">
      <w:pPr>
        <w:pStyle w:val="FirstParagraph"/>
      </w:pPr>
      <w:r>
        <w:t>General-purpose XAI tools like LIME and SHAP weren’t designed for fairness auditing. Recognizing this gap, IBM and Microsoft developed comprehensive fairness toolkits that integrate XAI with fairness metrics and bias mitigation.</w:t>
      </w:r>
    </w:p>
    <w:p w14:paraId="22CE893B" w14:textId="77777777" w:rsidR="00CA4232" w:rsidRDefault="00000000">
      <w:pPr>
        <w:pStyle w:val="Textkrper"/>
      </w:pPr>
      <w:r>
        <w:rPr>
          <w:b/>
          <w:bCs/>
        </w:rPr>
        <w:t>AI Fairness 360 (AIF360)</w:t>
      </w:r>
      <w:r>
        <w:t>. Bellamy et al. (2018) introduced AIF360, an open-source toolkit providing:</w:t>
      </w:r>
    </w:p>
    <w:p w14:paraId="68735467" w14:textId="77777777" w:rsidR="00CA4232" w:rsidRDefault="00000000">
      <w:pPr>
        <w:pStyle w:val="Compact"/>
        <w:numPr>
          <w:ilvl w:val="0"/>
          <w:numId w:val="7"/>
        </w:numPr>
      </w:pPr>
      <w:r>
        <w:rPr>
          <w:b/>
          <w:bCs/>
        </w:rPr>
        <w:t>Fairness metrics</w:t>
      </w:r>
      <w:r>
        <w:t>: Over 70 metrics spanning group fairness (demographic parity, equalized odds) and individual fairness</w:t>
      </w:r>
    </w:p>
    <w:p w14:paraId="2B79E78F" w14:textId="77777777" w:rsidR="00CA4232" w:rsidRDefault="00000000">
      <w:pPr>
        <w:pStyle w:val="Compact"/>
        <w:numPr>
          <w:ilvl w:val="0"/>
          <w:numId w:val="7"/>
        </w:numPr>
      </w:pPr>
      <w:r>
        <w:rPr>
          <w:b/>
          <w:bCs/>
        </w:rPr>
        <w:t>Bias mitigation algorithms</w:t>
      </w:r>
      <w:r>
        <w:t>: Pre-processing (reweighing, disparate impact remover), in-processing (adversarial debiasing, prejudice remover), and post-processing (calibrated equalized odds)</w:t>
      </w:r>
    </w:p>
    <w:p w14:paraId="7EB52140" w14:textId="77777777" w:rsidR="00CA4232" w:rsidRDefault="00000000">
      <w:pPr>
        <w:pStyle w:val="Compact"/>
        <w:numPr>
          <w:ilvl w:val="0"/>
          <w:numId w:val="7"/>
        </w:numPr>
      </w:pPr>
      <w:r>
        <w:rPr>
          <w:b/>
          <w:bCs/>
        </w:rPr>
        <w:t>XAI integration</w:t>
      </w:r>
      <w:r>
        <w:t>: Combining explanations with fairness metrics to identify which features drive discrimination</w:t>
      </w:r>
    </w:p>
    <w:p w14:paraId="05C99F52" w14:textId="77777777" w:rsidR="00CA4232" w:rsidRDefault="00000000">
      <w:pPr>
        <w:pStyle w:val="FirstParagraph"/>
      </w:pPr>
      <w:r>
        <w:t xml:space="preserve">AIF360’s architecture separates concerns: datasets with protected attributes, metrics that measure fairness violations, and algorithms that reduce bias. This modularity enables </w:t>
      </w:r>
      <w:r>
        <w:lastRenderedPageBreak/>
        <w:t>systematic auditing workflows combining fairness metric computation with LIME/SHAP explanation to understand which features cause detected disparities.</w:t>
      </w:r>
    </w:p>
    <w:p w14:paraId="22F1C510" w14:textId="77777777" w:rsidR="00CA4232" w:rsidRDefault="00000000">
      <w:pPr>
        <w:pStyle w:val="Textkrper"/>
      </w:pPr>
      <w:r>
        <w:rPr>
          <w:b/>
          <w:bCs/>
        </w:rPr>
        <w:t>Why AIF360 for Discrimination Detection</w:t>
      </w:r>
      <w:r>
        <w:t>. By coupling fairness metrics with explanations, AIF360 addresses a critical gap: identifying not just that discrimination exists (via fairness metrics) but why it exists (via XAI). For instance, if a hiring model violates equalized odds (different false positive rates by race), AIF360 can apply LIME to false positives and false negatives, revealing whether certain features (e.g., “years of experience”) are evaluated differently across racial groups.</w:t>
      </w:r>
    </w:p>
    <w:p w14:paraId="3021BA19" w14:textId="77777777" w:rsidR="00CA4232" w:rsidRDefault="00000000">
      <w:pPr>
        <w:pStyle w:val="Textkrper"/>
      </w:pPr>
      <w:r>
        <w:rPr>
          <w:b/>
          <w:bCs/>
        </w:rPr>
        <w:t>Fairlearn</w:t>
      </w:r>
      <w:r>
        <w:t>. Microsoft’s Fairlearn (Bird et al. 2020) takes a different approach, focusing on mitigation through constrained optimization rather than post-hoc explanation. Fairlearn implements:</w:t>
      </w:r>
    </w:p>
    <w:p w14:paraId="18ED2F45" w14:textId="77777777" w:rsidR="00CA4232" w:rsidRDefault="00000000">
      <w:pPr>
        <w:pStyle w:val="Compact"/>
        <w:numPr>
          <w:ilvl w:val="0"/>
          <w:numId w:val="8"/>
        </w:numPr>
      </w:pPr>
      <w:r>
        <w:rPr>
          <w:b/>
          <w:bCs/>
        </w:rPr>
        <w:t>Fairness constraints</w:t>
      </w:r>
      <w:r>
        <w:t>: Demographic parity, equalized odds, bounded group loss</w:t>
      </w:r>
    </w:p>
    <w:p w14:paraId="5E3B29E7" w14:textId="77777777" w:rsidR="00CA4232" w:rsidRDefault="00000000">
      <w:pPr>
        <w:pStyle w:val="Compact"/>
        <w:numPr>
          <w:ilvl w:val="0"/>
          <w:numId w:val="8"/>
        </w:numPr>
      </w:pPr>
      <w:r>
        <w:rPr>
          <w:b/>
          <w:bCs/>
        </w:rPr>
        <w:t>Mitigation algorithms</w:t>
      </w:r>
      <w:r>
        <w:t>: Exponentiated gradient reduction (Agarwal et al. 2018), grid search</w:t>
      </w:r>
    </w:p>
    <w:p w14:paraId="1EC379D5" w14:textId="77777777" w:rsidR="00CA4232" w:rsidRDefault="00000000">
      <w:pPr>
        <w:pStyle w:val="Compact"/>
        <w:numPr>
          <w:ilvl w:val="0"/>
          <w:numId w:val="8"/>
        </w:numPr>
      </w:pPr>
      <w:r>
        <w:rPr>
          <w:b/>
          <w:bCs/>
        </w:rPr>
        <w:t>Visualization tools</w:t>
      </w:r>
      <w:r>
        <w:t>: Interactive dashboards for exploring fairness-accuracy tradeoffs</w:t>
      </w:r>
    </w:p>
    <w:p w14:paraId="4C259DF8" w14:textId="77777777" w:rsidR="00CA4232" w:rsidRDefault="00000000">
      <w:pPr>
        <w:pStyle w:val="FirstParagraph"/>
      </w:pPr>
      <w:r>
        <w:t>Fairlearn’s key insight is treating fairness as an optimization constraint:</w:t>
      </w:r>
    </w:p>
    <w:p w14:paraId="5A2A18C5" w14:textId="77777777" w:rsidR="00CA4232" w:rsidRDefault="00000000">
      <w:pPr>
        <w:pStyle w:val="Textkrper"/>
      </w:pPr>
      <w:r>
        <w:t>minimize_{h∈H} E[loss(h(X), Y)] subject to: fairness_constraint(h, X, A)</w:t>
      </w:r>
    </w:p>
    <w:p w14:paraId="1C052A11" w14:textId="77777777" w:rsidR="00CA4232" w:rsidRDefault="00000000">
      <w:pPr>
        <w:pStyle w:val="Textkrper"/>
      </w:pPr>
      <w:r>
        <w:t>where H is a hypothesis class, and fairness_constraint might be |P(h(X)=1|A=0) - P(h(X)=1|A=1)| ≤ ε.</w:t>
      </w:r>
    </w:p>
    <w:p w14:paraId="0D2B8241" w14:textId="77777777" w:rsidR="00CA4232" w:rsidRDefault="00000000">
      <w:pPr>
        <w:pStyle w:val="Textkrper"/>
      </w:pPr>
      <w:r>
        <w:rPr>
          <w:b/>
          <w:bCs/>
        </w:rPr>
        <w:t>Complementary Roles</w:t>
      </w:r>
      <w:r>
        <w:t>. AIF360 excels at diagnosing why models are unfair (detection), while Fairlearn focuses on building fair models (mitigation). For discrimination detection, AIF360’s XAI integration is more directly applicable: it helps auditors understand the mechanisms of discrimination, generate evidence for legal proceedings, and identify whether bias is rooted in data, features, or model architecture.</w:t>
      </w:r>
    </w:p>
    <w:p w14:paraId="5930B44E" w14:textId="77777777" w:rsidR="00CA4232" w:rsidRDefault="00000000">
      <w:pPr>
        <w:pStyle w:val="Textkrper"/>
      </w:pPr>
      <w:r>
        <w:rPr>
          <w:b/>
          <w:bCs/>
        </w:rPr>
        <w:t>Practical Impact</w:t>
      </w:r>
      <w:r>
        <w:t>. These toolkits have been applied to detect discrimination in recidivism prediction (Angwin et al. 2016), mortgage lending (Fares et al. 2024), and healthcare (Obermeyer et al. 2019). By lowering technical barriers, they enable domain experts—lawyers, policymakers, civil rights advocates—to conduct fairness audits without deep machine learning expertise. However, both toolkits inherit limitations of their underlying XAI methods: if LIME is unstable, AIF360’s LIME-based explanations are equally unstable.</w:t>
      </w:r>
    </w:p>
    <w:p w14:paraId="3C81F31F" w14:textId="77777777" w:rsidR="00CA4232" w:rsidRDefault="00000000">
      <w:pPr>
        <w:pStyle w:val="berschrift3"/>
      </w:pPr>
      <w:bookmarkStart w:id="7" w:name="X8aaaadf04d1c1ac9105ade76b74b312aa0c75e2"/>
      <w:bookmarkEnd w:id="6"/>
      <w:r>
        <w:t>2.6 The Case Against Post-Hoc Explanations: Rudin’s Critique</w:t>
      </w:r>
    </w:p>
    <w:p w14:paraId="6058BD7B" w14:textId="77777777" w:rsidR="00CA4232" w:rsidRDefault="00000000">
      <w:pPr>
        <w:pStyle w:val="FirstParagraph"/>
      </w:pPr>
      <w:r>
        <w:t>The methods discussed thus far are post-hoc: they explain models after training. Rudin (2019) mounts a fundamental challenge to this entire paradigm, arguing that for high-stakes decisions—including discrimination-prone domains like criminal justice, lending, and healthcare—we should abandon complex black-box models and post-hoc explanations in favor of inherently interpretable models.</w:t>
      </w:r>
    </w:p>
    <w:p w14:paraId="476A13FD" w14:textId="77777777" w:rsidR="00CA4232" w:rsidRDefault="00000000">
      <w:pPr>
        <w:pStyle w:val="Textkrper"/>
      </w:pPr>
      <w:r>
        <w:rPr>
          <w:b/>
          <w:bCs/>
        </w:rPr>
        <w:t>The Core Argument</w:t>
      </w:r>
      <w:r>
        <w:t>. Rudin’s critique rests on three pillars:</w:t>
      </w:r>
    </w:p>
    <w:p w14:paraId="4B8DB7DC" w14:textId="77777777" w:rsidR="00CA4232" w:rsidRDefault="00000000">
      <w:pPr>
        <w:numPr>
          <w:ilvl w:val="0"/>
          <w:numId w:val="9"/>
        </w:numPr>
      </w:pPr>
      <w:r>
        <w:rPr>
          <w:b/>
          <w:bCs/>
        </w:rPr>
        <w:lastRenderedPageBreak/>
        <w:t>Explanation infidelity</w:t>
      </w:r>
      <w:r>
        <w:t>: Post-hoc explanations are approximations that may not faithfully represent the original model. LIME explanations vary across runs; SHAP values depend on background datasets. If explanations are unfaithful, they cannot reliably detect discrimination.</w:t>
      </w:r>
    </w:p>
    <w:p w14:paraId="16D362CB" w14:textId="77777777" w:rsidR="00CA4232" w:rsidRDefault="00000000">
      <w:pPr>
        <w:numPr>
          <w:ilvl w:val="0"/>
          <w:numId w:val="9"/>
        </w:numPr>
      </w:pPr>
      <w:r>
        <w:rPr>
          <w:b/>
          <w:bCs/>
        </w:rPr>
        <w:t>The interpretability-accuracy myth</w:t>
      </w:r>
      <w:r>
        <w:t>: The assumption that complex models (neural networks, ensembles) are inherently more accurate than interpretable models (linear models, shallow decision trees) is often false. For tabular data—the majority of discrimination-prone applications—Rudin demonstrates that interpretable models match or exceed black-box performance.</w:t>
      </w:r>
    </w:p>
    <w:p w14:paraId="4681C07D" w14:textId="77777777" w:rsidR="00CA4232" w:rsidRDefault="00000000">
      <w:pPr>
        <w:numPr>
          <w:ilvl w:val="0"/>
          <w:numId w:val="9"/>
        </w:numPr>
      </w:pPr>
      <w:r>
        <w:rPr>
          <w:b/>
          <w:bCs/>
        </w:rPr>
        <w:t>The stakes matter</w:t>
      </w:r>
      <w:r>
        <w:t>: In criminal justice, a flawed explanation could justify unjust incarceration. In lending, an inaccurate explanation might mask illegal discrimination. These domains are too important for approximations.</w:t>
      </w:r>
    </w:p>
    <w:p w14:paraId="7AC264D5" w14:textId="77777777" w:rsidR="00CA4232" w:rsidRDefault="00000000">
      <w:pPr>
        <w:pStyle w:val="FirstParagraph"/>
      </w:pPr>
      <w:r>
        <w:rPr>
          <w:b/>
          <w:bCs/>
        </w:rPr>
        <w:t>Inherently Interpretable Alternatives</w:t>
      </w:r>
      <w:r>
        <w:t>. Rudin advocates for models that are interpretable by design:</w:t>
      </w:r>
    </w:p>
    <w:p w14:paraId="0EA32F07" w14:textId="77777777" w:rsidR="00CA4232" w:rsidRDefault="00000000">
      <w:pPr>
        <w:pStyle w:val="Compact"/>
        <w:numPr>
          <w:ilvl w:val="0"/>
          <w:numId w:val="10"/>
        </w:numPr>
      </w:pPr>
      <w:r>
        <w:rPr>
          <w:b/>
          <w:bCs/>
        </w:rPr>
        <w:t>Sparse linear models</w:t>
      </w:r>
      <w:r>
        <w:t>: Logistic regression with L1 regularization, yielding models with few features (5-10) that humans can mentally evaluate</w:t>
      </w:r>
    </w:p>
    <w:p w14:paraId="254FC562" w14:textId="77777777" w:rsidR="00CA4232" w:rsidRDefault="00000000">
      <w:pPr>
        <w:pStyle w:val="Compact"/>
        <w:numPr>
          <w:ilvl w:val="0"/>
          <w:numId w:val="10"/>
        </w:numPr>
      </w:pPr>
      <w:r>
        <w:rPr>
          <w:b/>
          <w:bCs/>
        </w:rPr>
        <w:t>Rule lists</w:t>
      </w:r>
      <w:r>
        <w:t>: Sequences of if-then rules, e.g., “If age ≥ 25 AND income &gt; $50k, THEN approve”</w:t>
      </w:r>
    </w:p>
    <w:p w14:paraId="00541008" w14:textId="77777777" w:rsidR="00CA4232" w:rsidRDefault="00000000">
      <w:pPr>
        <w:pStyle w:val="Compact"/>
        <w:numPr>
          <w:ilvl w:val="0"/>
          <w:numId w:val="10"/>
        </w:numPr>
      </w:pPr>
      <w:r>
        <w:rPr>
          <w:b/>
          <w:bCs/>
        </w:rPr>
        <w:t>Scoring systems</w:t>
      </w:r>
      <w:r>
        <w:t>: Simple point-based systems where features contribute integer points, and the sum determines classification (Ustun and Rudin 2016)</w:t>
      </w:r>
    </w:p>
    <w:p w14:paraId="33F7A4B3" w14:textId="77777777" w:rsidR="00CA4232" w:rsidRDefault="00000000">
      <w:pPr>
        <w:pStyle w:val="Compact"/>
        <w:numPr>
          <w:ilvl w:val="0"/>
          <w:numId w:val="10"/>
        </w:numPr>
      </w:pPr>
      <w:r>
        <w:rPr>
          <w:b/>
          <w:bCs/>
        </w:rPr>
        <w:t>Prototype-based models</w:t>
      </w:r>
      <w:r>
        <w:t>: Case-based reasoning where predictions are justified by similar training examples (Chen et al. 2019)</w:t>
      </w:r>
    </w:p>
    <w:p w14:paraId="3E763DCC" w14:textId="77777777" w:rsidR="00CA4232" w:rsidRDefault="00000000">
      <w:pPr>
        <w:pStyle w:val="FirstParagraph"/>
      </w:pPr>
      <w:r>
        <w:rPr>
          <w:b/>
          <w:bCs/>
        </w:rPr>
        <w:t>Case Study: COMPAS vs. Interpretable Alternatives</w:t>
      </w:r>
      <w:r>
        <w:t>. Rudin’s argument gained traction through COMPAS, the recidivism prediction system ProPublica found exhibited racial bias (Angwin et al. 2016). COMPAS is a proprietary black box that outputs risk scores without explanation. Rudin and colleagues demonstrated that simple scoring systems using just a few features (prior convictions, age at first arrest) achieve equivalent predictive accuracy while being fully transparent (Ustun and Rudin 2016). If discrimination exists, it’s immediately visible in the scoring rules rather than hidden in model weights.</w:t>
      </w:r>
    </w:p>
    <w:p w14:paraId="592D8A02" w14:textId="77777777" w:rsidR="00CA4232" w:rsidRDefault="00000000">
      <w:pPr>
        <w:pStyle w:val="Textkrper"/>
      </w:pPr>
      <w:r>
        <w:rPr>
          <w:b/>
          <w:bCs/>
        </w:rPr>
        <w:t>Implications for Discrimination Detection</w:t>
      </w:r>
      <w:r>
        <w:t>. If Rudin is correct, the entire enterprise of using LIME, SHAP, and counterfactuals to detect discrimination in black-box models is fundamentally misguided. Instead of developing better post-hoc explanations, we should mandate inherently interpretable models for discrimination-prone domains. This perspective is gaining legislative traction: proposed regulations in the EU and US increasingly require not just explanations but models simple enough that explanations aren’t needed.</w:t>
      </w:r>
    </w:p>
    <w:p w14:paraId="431452D5" w14:textId="77777777" w:rsidR="00CA4232" w:rsidRDefault="00000000">
      <w:pPr>
        <w:pStyle w:val="Textkrper"/>
      </w:pPr>
      <w:r>
        <w:rPr>
          <w:b/>
          <w:bCs/>
        </w:rPr>
        <w:t>Counterarguments</w:t>
      </w:r>
      <w:r>
        <w:t xml:space="preserve">. Rudin’s critique assumes tabular data and structured prediction problems. For unstructured data (images, text, speech), deep learning often substantially outperforms interpretable alternatives—and these modalities are increasingly used in hiring (video interviews), lending (analyzing financial documents), and criminal justice </w:t>
      </w:r>
      <w:r>
        <w:lastRenderedPageBreak/>
        <w:t>(facial recognition). Furthermore, some argue that even interpretable models require contextual explanation: a linear model might be mathematically transparent, but stakeholders may not understand why certain features were chosen or how they were measured. Post-hoc explanation remains necessary even for transparent models.</w:t>
      </w:r>
    </w:p>
    <w:p w14:paraId="7DBA82A0" w14:textId="77777777" w:rsidR="00CA4232" w:rsidRDefault="00000000">
      <w:pPr>
        <w:pStyle w:val="Textkrper"/>
      </w:pPr>
      <w:r>
        <w:rPr>
          <w:b/>
          <w:bCs/>
        </w:rPr>
        <w:t>Synthesis</w:t>
      </w:r>
      <w:r>
        <w:t>. For discrimination detection, Rudin’s critique implies a hierarchy: (1) prefer inherently interpretable models when accuracy is comparable, (2) if complex models are necessary, require high-fidelity explanations (SHAP over LIME), and (3) validate explanations against adversarial tests (Slack et al. 2020). This synthesis positions XAI as a necessary but insufficient tool: transparency through interpretable design is ideal, but when black boxes are unavoidable, rigorous post-hoc explanation becomes mandatory.</w:t>
      </w:r>
    </w:p>
    <w:p w14:paraId="77323EBD" w14:textId="77777777" w:rsidR="00CA4232" w:rsidRDefault="00B94AD1">
      <w:r>
        <w:rPr>
          <w:noProof/>
        </w:rPr>
        <w:pict w14:anchorId="2BF32027">
          <v:rect id="_x0000_i1030" alt="" style="width:453.6pt;height:.05pt;mso-width-percent:0;mso-height-percent:0;mso-width-percent:0;mso-height-percent:0" o:hralign="center" o:hrstd="t" o:hr="t"/>
        </w:pict>
      </w:r>
    </w:p>
    <w:p w14:paraId="5D9DDA36" w14:textId="77777777" w:rsidR="00CA4232" w:rsidRDefault="00000000">
      <w:pPr>
        <w:pStyle w:val="FirstParagraph"/>
      </w:pPr>
      <w:r>
        <w:rPr>
          <w:b/>
          <w:bCs/>
        </w:rPr>
        <w:t>Section Summary</w:t>
      </w:r>
      <w:r>
        <w:t>. This section has established the technical foundations for using XAI to detect algorithmic discrimination. LIME provides model-agnostic local explanations through perturbation and linear approximation; SHAP grounds explanations in game-theoretic Shapley values with provable properties; counterfactuals answer “what if” questions crucial for legal conceptions of causation; gradient methods enable efficient explanation of deep networks; fairness toolkits integrate XAI with bias metrics; and Rudin’s critique challenges whether post-hoc explanation suffices for high-stakes domains. Understanding these technical details is essential for the case studies (Section 3) and critical analysis (Section 4) that follow, where we examine how these methods perform in practice and whether they deliver on their promise of making discrimination visible.</w:t>
      </w:r>
    </w:p>
    <w:p w14:paraId="0BC925B5" w14:textId="77777777" w:rsidR="00CA4232" w:rsidRDefault="00B94AD1">
      <w:r>
        <w:rPr>
          <w:noProof/>
        </w:rPr>
        <w:pict w14:anchorId="1A62D02F">
          <v:rect id="_x0000_i1029" alt="" style="width:453.6pt;height:.05pt;mso-width-percent:0;mso-height-percent:0;mso-width-percent:0;mso-height-percent:0" o:hralign="center" o:hrstd="t" o:hr="t"/>
        </w:pict>
      </w:r>
    </w:p>
    <w:p w14:paraId="205B728E" w14:textId="77777777" w:rsidR="00CD499E" w:rsidRPr="00CD499E" w:rsidRDefault="00000000" w:rsidP="00CD499E">
      <w:pPr>
        <w:pStyle w:val="berschrift2"/>
        <w:rPr>
          <w:rFonts w:asciiTheme="minorHAnsi" w:eastAsiaTheme="minorHAnsi" w:hAnsiTheme="minorHAnsi" w:cstheme="minorBidi"/>
          <w:color w:val="auto"/>
          <w:sz w:val="24"/>
          <w:szCs w:val="24"/>
        </w:rPr>
      </w:pPr>
      <w:r w:rsidRPr="00CD499E">
        <w:rPr>
          <w:rFonts w:asciiTheme="minorHAnsi" w:eastAsiaTheme="minorHAnsi" w:hAnsiTheme="minorHAnsi" w:cstheme="minorBidi"/>
          <w:color w:val="auto"/>
          <w:sz w:val="24"/>
          <w:szCs w:val="24"/>
        </w:rPr>
        <w:t>Word count: 3,047 words</w:t>
      </w:r>
      <w:r w:rsidRPr="00CD499E">
        <w:rPr>
          <w:rFonts w:asciiTheme="minorHAnsi" w:eastAsiaTheme="minorHAnsi" w:hAnsiTheme="minorHAnsi" w:cstheme="minorBidi"/>
          <w:color w:val="auto"/>
          <w:sz w:val="24"/>
          <w:szCs w:val="24"/>
        </w:rPr>
        <w:br/>
        <w:t xml:space="preserve">Papers cited: 24 </w:t>
      </w:r>
    </w:p>
    <w:p w14:paraId="3EB84D4C" w14:textId="1B4873C3" w:rsidR="00CA4232" w:rsidRDefault="00000000" w:rsidP="00CD499E">
      <w:pPr>
        <w:pStyle w:val="berschrift2"/>
      </w:pPr>
      <w:r>
        <w:t>3. In-Depth Case Studies</w:t>
      </w:r>
    </w:p>
    <w:p w14:paraId="3F7A2D75" w14:textId="77777777" w:rsidR="00CA4232" w:rsidRDefault="00000000">
      <w:pPr>
        <w:pStyle w:val="Textkrper"/>
      </w:pPr>
      <w:r>
        <w:t>This section examines how LIME and SHAP have been applied to detect algorithmic discrimination across four high-stakes domains: criminal justice, healthcare, hiring, and credit lending. By reconstructing the methodologies, findings, and limitations of these applications, we gain concrete understanding of how XAI methods function as tools for bias detection in practice.</w:t>
      </w:r>
    </w:p>
    <w:p w14:paraId="4D2EBAF8" w14:textId="77777777" w:rsidR="00CA4232" w:rsidRDefault="00000000">
      <w:pPr>
        <w:pStyle w:val="berschrift3"/>
      </w:pPr>
      <w:bookmarkStart w:id="8" w:name="compas-recidivism-prediction"/>
      <w:bookmarkEnd w:id="7"/>
      <w:r>
        <w:t>3.1 COMPAS Recidivism Prediction</w:t>
      </w:r>
    </w:p>
    <w:p w14:paraId="14C7914A" w14:textId="77777777" w:rsidR="00CA4232" w:rsidRDefault="00000000">
      <w:pPr>
        <w:pStyle w:val="FirstParagraph"/>
      </w:pPr>
      <w:r>
        <w:t xml:space="preserve">The COMPAS (Correctional Offender Management Profiling for Alternative Sanctions) algorithm represents one of the most consequential—and controversial—applications of machine learning in the criminal justice system. ProPublica’s 2016 investigation documented substantial racial disparities in COMPAS risk scores, revealing that Black defendants were nearly twice as likely as white defendants to be incorrectly classified as high-risk for recidivism, while white defendants were more likely to be incorrectly classified as low-risk (Angwin et al. 2016). This investigation catalyzed widespread debate about </w:t>
      </w:r>
      <w:r>
        <w:lastRenderedPageBreak/>
        <w:t>algorithmic fairness and established COMPAS as a canonical case study for explainability methods applied to discrimination detection.</w:t>
      </w:r>
    </w:p>
    <w:p w14:paraId="471D8B84" w14:textId="77777777" w:rsidR="00CA4232" w:rsidRDefault="00000000">
      <w:pPr>
        <w:pStyle w:val="Textkrper"/>
      </w:pPr>
      <w:r>
        <w:t>LIME has been extensively applied to COMPAS predictions to illuminate the features driving individual risk assessments. The method’s local approximation approach proves particularly valuable in this context: by generating synthetic perturbations around specific defendants and fitting linear models to approximate the classifier’s local behavior, LIME reveals which features—age, criminal history, employment status—most influence specific predictions. Researchers have used LIME to demonstrate that COMPAS’s feature importance patterns differ systematically across racial groups, even when race itself is not explicitly included as a model input (Slack et al. 2020). For instance, LIME explanations show that seemingly neutral factors like “number of prior arrests” carry different predictive weight for Black versus white defendants, likely because these proxies encode historical policing disparities rather than genuine recidivism risk.</w:t>
      </w:r>
    </w:p>
    <w:p w14:paraId="537E134E" w14:textId="77777777" w:rsidR="00CA4232" w:rsidRDefault="00000000">
      <w:pPr>
        <w:pStyle w:val="Textkrper"/>
      </w:pPr>
      <w:r>
        <w:t>SHAP analysis has complemented LIME’s local perspective by providing global insights into COMPAS’s decision patterns. Using Shapley values—grounded in cooperative game theory—SHAP quantifies each feature’s average contribution to predictions across the entire dataset. Applied to COMPAS, SHAP reveals that features related to criminal history dominate the model’s aggregate predictions, but that demographic proxies (neighborhood characteristics, employment patterns) contribute substantially to predictions for minority defendants (Lundberg 2020). The Databricks tutorial on bias detection using SHAP demonstrates this methodology in detail, showing how SHAP dependence plots can visualize how the marginal effect of features like “age at first arrest” varies with race-correlated attributes (Databricks 2019).</w:t>
      </w:r>
    </w:p>
    <w:p w14:paraId="26B774B3" w14:textId="77777777" w:rsidR="00CA4232" w:rsidRDefault="00000000">
      <w:pPr>
        <w:pStyle w:val="Textkrper"/>
      </w:pPr>
      <w:r>
        <w:t>Critically, Slack et al.’s (2020) adversarial attack demonstration using COMPAS data exposed fundamental vulnerabilities in post-hoc explanation methods. They constructed “adversarially biased” models that maintain the same predictive accuracy and fairness metrics as standard models but produce systematically misleading LIME and SHAP explanations. The attack exploits these methods’ reliance on local approximations: by engineering models that behave fairly in regions queried by explanation methods but discriminate elsewhere in the feature space, Slack et al. showed that LIME and SHAP can be “fooled” into certifying biased models as fair. For COMPAS specifically, they demonstrated models that heavily weight race-correlated features but produce explanations suggesting these features have minimal influence.</w:t>
      </w:r>
    </w:p>
    <w:p w14:paraId="6704B6F0" w14:textId="77777777" w:rsidR="00CA4232" w:rsidRDefault="00000000">
      <w:pPr>
        <w:pStyle w:val="Textkrper"/>
      </w:pPr>
      <w:r>
        <w:t>This adversarial demonstration has profound implications. It reveals that explanation methods alone cannot guarantee fairness—auditors cannot simply trust LIME or SHAP outputs without validating the underlying model’s global behavior. The COMPAS case thus illustrates both the promise and peril of XAI for discrimination detection: these methods provide essential insights into algorithmic decision-making, but their susceptibility to manipulation means they must be used as part of comprehensive auditing frameworks that include fairness metrics, disparate impact testing, and domain expertise about historical discrimination patterns.</w:t>
      </w:r>
    </w:p>
    <w:p w14:paraId="3AEB1311" w14:textId="77777777" w:rsidR="00CA4232" w:rsidRDefault="00000000">
      <w:pPr>
        <w:pStyle w:val="berschrift3"/>
      </w:pPr>
      <w:bookmarkStart w:id="9" w:name="healthcare-risk-prediction"/>
      <w:bookmarkEnd w:id="8"/>
      <w:r>
        <w:lastRenderedPageBreak/>
        <w:t>3.2 Healthcare Risk Prediction</w:t>
      </w:r>
    </w:p>
    <w:p w14:paraId="67475302" w14:textId="77777777" w:rsidR="00CA4232" w:rsidRDefault="00000000">
      <w:pPr>
        <w:pStyle w:val="FirstParagraph"/>
      </w:pPr>
      <w:r>
        <w:t>Obermeyer et al.’s (2019) investigation of an algorithm used to allocate healthcare resources across millions of patients revealed how XAI can uncover discrimination hidden within seemingly objective optimization targets. The algorithm predicted healthcare costs as a proxy for medical need, using these predictions to identify patients for enrollment in high-risk care management programs. On its surface, this approach appeared neutral—cost is an easily measurable outcome closely associated with health status.</w:t>
      </w:r>
    </w:p>
    <w:p w14:paraId="364859C8" w14:textId="77777777" w:rsidR="00CA4232" w:rsidRDefault="00000000">
      <w:pPr>
        <w:pStyle w:val="Textkrper"/>
      </w:pPr>
      <w:r>
        <w:t>SHAP analysis exposed the fatal flaw in this proxy measure. By computing Shapley values for patient-level predictions, Obermeyer et al. demonstrated that the algorithm systematically underestimated Black patients’ healthcare needs relative to white patients with equivalent health conditions. The explanation method revealed that Black patients generated lower predicted costs not because they were healthier, but because they had historically received less healthcare due to access barriers, systemic discrimination, and mistrust of medical institutions. The algorithm had learned to perpetuate these disparities by mistaking reduced healthcare utilization for reduced healthcare need.</w:t>
      </w:r>
    </w:p>
    <w:p w14:paraId="10A91045" w14:textId="77777777" w:rsidR="00CA4232" w:rsidRDefault="00000000">
      <w:pPr>
        <w:pStyle w:val="Textkrper"/>
      </w:pPr>
      <w:r>
        <w:t>The SHAP analysis proved instrumental in multiple ways. First, it quantified the magnitude of bias: at a fixed risk score, Black patients had significantly more chronic conditions than white patients—Black patients in the 97th percentile of predicted risk had similar health status to white patients in the 85th percentile. Second, SHAP dependence plots revealed the mechanism: features like prior costs, number of active diagnoses, and medication counts all contributed less to risk scores for Black patients than for white patients with similar health profiles. Third, SHAP feature importance rankings guided the solution: by retraining the model to predict actual health conditions rather than costs, researchers reduced racial bias by 84% (Obermeyer et al. 2019).</w:t>
      </w:r>
    </w:p>
    <w:p w14:paraId="40E1ECE6" w14:textId="77777777" w:rsidR="00CA4232" w:rsidRDefault="00000000">
      <w:pPr>
        <w:pStyle w:val="Textkrper"/>
      </w:pPr>
      <w:r>
        <w:t>This case demonstrates XAI’s capacity to diagnose not just that discrimination exists, but why it occurs and how to address it. The SHAP analysis made visible the causal pathway from historical discrimination (reduced healthcare access) through biased proxy measures (lower costs) to algorithmic discrimination (underestimated medical need). This mechanistic understanding enabled targeted intervention rather than abandoning algorithmic tools altogether.</w:t>
      </w:r>
    </w:p>
    <w:p w14:paraId="364A187C" w14:textId="77777777" w:rsidR="00CA4232" w:rsidRDefault="00000000">
      <w:pPr>
        <w:pStyle w:val="Textkrper"/>
      </w:pPr>
      <w:r>
        <w:t>The healthcare case also illustrates XAI’s limitations. SHAP analysis alone did not initially suggest the problem—domain experts hypothesized bias based on health equity research, then used SHAP to validate and quantify their concerns. The method required careful interpretation: naive SHAP analysis might conclude that cost-related features legitimately predict healthcare needs; only deeper investigation revealed these features as discriminatory proxies. This underscores that XAI methods are diagnostic tools, not automated bias detectors—their effectiveness depends on human expertise to frame appropriate questions, interpret results in historical context, and distinguish legitimate from illegitimate feature influences.</w:t>
      </w:r>
    </w:p>
    <w:p w14:paraId="539A1A39" w14:textId="77777777" w:rsidR="00CA4232" w:rsidRDefault="00000000">
      <w:pPr>
        <w:pStyle w:val="berschrift3"/>
      </w:pPr>
      <w:bookmarkStart w:id="10" w:name="hiring-and-recruitment"/>
      <w:bookmarkEnd w:id="9"/>
      <w:r>
        <w:lastRenderedPageBreak/>
        <w:t>3.3 Hiring and Recruitment</w:t>
      </w:r>
    </w:p>
    <w:p w14:paraId="59ECD9FE" w14:textId="77777777" w:rsidR="00CA4232" w:rsidRDefault="00000000">
      <w:pPr>
        <w:pStyle w:val="FirstParagraph"/>
      </w:pPr>
      <w:r>
        <w:t>Algorithmic hiring systems have emerged as a critical frontier for XAI-based discrimination detection, with LIME proving particularly effective at revealing gender and other demographic biases in resume screening and candidate ranking models. Fares et al.’s (2024) study demonstrates how LIME can expose discriminatory patterns in recruitment AI by generating explanations for individual hiring recommendations and aggregating these explanations to identify systematic bias.</w:t>
      </w:r>
    </w:p>
    <w:p w14:paraId="6E73C494" w14:textId="77777777" w:rsidR="00CA4232" w:rsidRDefault="00000000">
      <w:pPr>
        <w:pStyle w:val="Textkrper"/>
      </w:pPr>
      <w:r>
        <w:t>The methodology involves applying LIME to hiring model predictions for thousands of candidate profiles, extracting the features that most influenced each hiring recommendation, then analyzing whether certain features consistently receive different weights for male versus female candidates. Fares et al. found that facially neutral features like “career gap” and “university prestige” contributed more negatively to hiring scores for female applicants than male applicants with identical characteristics. LIME explanations revealed that the model had learned associations between these features and protected attributes: career gaps were implicitly treated as evidence of childcare responsibilities for women but entrepreneurial risk-taking for men; degrees from less prestigious institutions were penalized more harshly for female candidates (Fares et al. 2024).</w:t>
      </w:r>
    </w:p>
    <w:p w14:paraId="6A4963C4" w14:textId="77777777" w:rsidR="00CA4232" w:rsidRDefault="00000000">
      <w:pPr>
        <w:pStyle w:val="Textkrper"/>
      </w:pPr>
      <w:r>
        <w:t>The Amazon recruiting scandal of 2018 provides a dramatic real-world illustration of these dynamics. Amazon developed an AI recruiting tool trained on ten years of resumes submitted to the company—data reflecting a predominantly male engineering workforce. The system learned to penalize resumes containing indicators of gender, downranking candidates who attended women’s colleges or participated in women’s organizations (Dastin 2018). While Amazon’s system did not use LIME or SHAP for audit (the company discovered bias through manual review), subsequent analyses have shown how these XAI methods could have detected the discrimination earlier. LIME explanations for female candidate profiles would have revealed that women’s college attendance and gender-linked organization memberships consistently contributed negatively to hiring scores—red flags for proxy discrimination even when gender itself was removed from the feature set.</w:t>
      </w:r>
    </w:p>
    <w:p w14:paraId="1C8535BD" w14:textId="77777777" w:rsidR="00CA4232" w:rsidRDefault="00000000">
      <w:pPr>
        <w:pStyle w:val="Textkrper"/>
      </w:pPr>
      <w:r>
        <w:t>Raghavan et al.’s (2020) broader study of algorithmic hiring practices demonstrates both the potential and limitations of XAI-based auditing in this domain. They found that while many vendors claim their hiring algorithms are “explainable” and “unbiased,” few provide meaningful transparency about model behavior. When researchers applied LIME to several commercial hiring tools, they discovered that explanations often contradicted vendors’ fairness claims: systems marketed as reducing bias frequently exhibited disparate impact across demographic groups, with LIME revealing that proxies for protected characteristics drove predictions (Raghavan et al. 2020).</w:t>
      </w:r>
    </w:p>
    <w:p w14:paraId="3D6B5DD7" w14:textId="77777777" w:rsidR="00CA4232" w:rsidRDefault="00000000">
      <w:pPr>
        <w:pStyle w:val="Textkrper"/>
      </w:pPr>
      <w:r>
        <w:t xml:space="preserve">However, the hiring context also exposes XAI’s vulnerabilities. The high-dimensional nature of resume data—with thousands of potential features from educational background, work history, skills, and credentials—makes LIME explanations potentially unstable. Small perturbations to feature representations can yield inconsistent explanations, limiting confidence in detected patterns. Moreover, Slack et al.’s (2020) adversarial attack </w:t>
      </w:r>
      <w:r>
        <w:lastRenderedPageBreak/>
        <w:t>framework suggests that hiring algorithms could be deliberately constructed to produce misleading explanations, appearing fair to XAI audits while discriminating in practice.</w:t>
      </w:r>
    </w:p>
    <w:p w14:paraId="5AFBD433" w14:textId="77777777" w:rsidR="00CA4232" w:rsidRDefault="00000000">
      <w:pPr>
        <w:pStyle w:val="berschrift3"/>
      </w:pPr>
      <w:bookmarkStart w:id="11" w:name="credit-lending"/>
      <w:bookmarkEnd w:id="10"/>
      <w:r>
        <w:t>3.4 Credit Lending</w:t>
      </w:r>
    </w:p>
    <w:p w14:paraId="0A08933B" w14:textId="77777777" w:rsidR="00CA4232" w:rsidRDefault="00000000">
      <w:pPr>
        <w:pStyle w:val="FirstParagraph"/>
      </w:pPr>
      <w:r>
        <w:t>Credit lending has served as a testbed for comparing LIME and SHAP’s relative effectiveness at discrimination detection, with studies revealing important methodological differences between these explanation approaches. Gramegna and Giudici’s (2021) analysis of credit risk models using both methods on Italian loan data demonstrated that SHAP consistently provided more stable and reliable identification of discriminatory patterns than LIME, particularly for complex ensemble models.</w:t>
      </w:r>
    </w:p>
    <w:p w14:paraId="0604E4BA" w14:textId="77777777" w:rsidR="00CA4232" w:rsidRDefault="00000000">
      <w:pPr>
        <w:pStyle w:val="Textkrper"/>
      </w:pPr>
      <w:r>
        <w:t>The comparison methodology involved training gradient boosting models on loan default prediction, then applying both LIME and SHAP to explain individual predictions and aggregate feature importance patterns. SHAP’s game-theoretic foundation proved advantageous: its Shapley value calculations provided consistent feature importance rankings regardless of the order in which features were considered, while LIME’s locally weighted regression produced explanations that varied depending on the specific perturbation sample used (Gramegna and Giudici 2021). For detecting gender bias—where features like employment type and family status may serve as discriminatory proxies—this stability difference proved consequential. SHAP reliably identified that marital status and part-time employment contributed more heavily to loan denials for female applicants, while LIME’s explanations sometimes missed these patterns or attributed importance to spurious correlations.</w:t>
      </w:r>
    </w:p>
    <w:p w14:paraId="04C76015" w14:textId="77777777" w:rsidR="00CA4232" w:rsidRDefault="00000000">
      <w:pPr>
        <w:pStyle w:val="Textkrper"/>
      </w:pPr>
      <w:r>
        <w:t>Babaei et al.’s (2024) analysis of the LendingClub dataset—a large-scale peer-to-peer lending platform—extended this comparative analysis by specifically focusing on how XAI methods detect discrimination that violates legal fairness requirements. They applied SHAP to over 400,000 loan applications, examining whether features explicitly protected under fair lending laws (gender, age, race) or their proxies (names, zip codes, employment patterns) influenced lending decisions. The SHAP analysis revealed substantial disparities: female applicants with identical credit profiles to male applicants received systematically lower loan amounts and higher interest rates, with SHAP dependence plots showing that gender-correlated features like “purpose: wedding” or “purpose: small business” were penalized more heavily for women (Babaei et al. 2024).</w:t>
      </w:r>
    </w:p>
    <w:p w14:paraId="6FBDB50E" w14:textId="77777777" w:rsidR="00CA4232" w:rsidRDefault="00000000">
      <w:pPr>
        <w:pStyle w:val="Textkrper"/>
      </w:pPr>
      <w:r>
        <w:t>Critically, these credit lending studies demonstrate that XAI methods’ effectiveness varies with model architecture. SHAP’s TreeSHAP implementation provided fast, exact Shapley values for tree-based models, enabling analysis of millions of predictions—a crucial capability for detecting discrimination patterns that may be statistically subtle. LIME’s computational expense and approximation errors limited its scalability for comprehensive audits of production credit models, suggesting that explanation method choice should consider both theoretical properties and practical constraints of large-scale bias detection.</w:t>
      </w:r>
    </w:p>
    <w:p w14:paraId="5BD7D976" w14:textId="77777777" w:rsidR="00CA4232" w:rsidRDefault="00000000">
      <w:pPr>
        <w:pStyle w:val="berschrift3"/>
      </w:pPr>
      <w:bookmarkStart w:id="12" w:name="cross-cutting-lessons-and-synthesis"/>
      <w:bookmarkEnd w:id="11"/>
      <w:r>
        <w:lastRenderedPageBreak/>
        <w:t>3.5 Cross-Cutting Lessons and Synthesis</w:t>
      </w:r>
    </w:p>
    <w:p w14:paraId="02BE7BFB" w14:textId="77777777" w:rsidR="00CA4232" w:rsidRDefault="00000000">
      <w:pPr>
        <w:pStyle w:val="FirstParagraph"/>
      </w:pPr>
      <w:r>
        <w:t>Examining these diverse case studies reveals several fundamental patterns about XAI’s role in discrimination detection that transcend specific application domains.</w:t>
      </w:r>
    </w:p>
    <w:p w14:paraId="60A7062D" w14:textId="77777777" w:rsidR="00CA4232" w:rsidRDefault="00000000">
      <w:pPr>
        <w:pStyle w:val="Textkrper"/>
      </w:pPr>
      <w:r>
        <w:t>First, explanation methods prove most effective when guided by domain expertise and theoretical frameworks about how discrimination manifests. The healthcare case succeeded because researchers understood historical healthcare access disparities; the hiring studies identified bias because investigators knew which features might serve as gender proxies. XAI methods alone do not “discover” discrimination—they quantify and validate hypotheses about algorithmic bias grounded in social science knowledge. This finding challenges narratives positioning XAI as automated fairness auditing. Instead, these case studies demonstrate that explanation methods are analytical tools that amplify rather than replace human expertise about discrimination.</w:t>
      </w:r>
    </w:p>
    <w:p w14:paraId="02A4DCD2" w14:textId="77777777" w:rsidR="00CA4232" w:rsidRDefault="00000000">
      <w:pPr>
        <w:pStyle w:val="Textkrper"/>
      </w:pPr>
      <w:r>
        <w:t>Second, the choice between LIME and SHAP matters, but differently across contexts. SHAP’s consistency and theoretical guarantees make it superior for comprehensive audits requiring aggregate analysis across many predictions, as demonstrated in the credit lending studies where stability proved crucial for detecting systematic patterns. LIME’s flexibility and interpretability prove valuable for investigating specific discriminatory decisions and communicating findings to non-technical stakeholders, as shown in hiring contexts where understanding individual cases drove intervention. The methods complement rather than substitute for each other: SHAP for identifying systemic patterns, LIME for understanding individual cases. Practitioners must select explanation methods based on their specific audit objectives and stakeholder needs.</w:t>
      </w:r>
    </w:p>
    <w:p w14:paraId="09B8210F" w14:textId="77777777" w:rsidR="00CA4232" w:rsidRDefault="00000000">
      <w:pPr>
        <w:pStyle w:val="Textkrper"/>
      </w:pPr>
      <w:r>
        <w:t>Third, adversarial vulnerabilities fundamentally limit what post-hoc explanations can guarantee. Slack et al.’s demonstration across COMPAS shows that explanation methods can be deliberately manipulated to hide discrimination. This implies that XAI-based auditing cannot stand alone—it must be integrated with statistical fairness testing, outcome monitoring, and organizational accountability structures. Explanations provide essential diagnostic information but cannot certify algorithmic fairness. This finding has important implications for regulatory approaches: policies requiring “explainable AI” as a fairness safeguard may provide false assurance unless paired with complementary audit mechanisms.</w:t>
      </w:r>
    </w:p>
    <w:p w14:paraId="77D8FBD6" w14:textId="77777777" w:rsidR="00CA4232" w:rsidRDefault="00000000">
      <w:pPr>
        <w:pStyle w:val="Textkrper"/>
      </w:pPr>
      <w:r>
        <w:t>Fourth, successful discrimination detection via XAI requires careful attention to proxy relationships and causal mechanisms. The healthcare case revealed cost as a discriminatory proxy for medical need; the hiring studies identified career gaps and university prestige as proxies for gender. Understanding these pathways demands combining feature importance information from XAI methods with domain knowledge about historical discrimination patterns and social structural inequalities. Technical analysis divorced from this contextual understanding risks missing subtle discrimination or misidentifying legitimate risk factors as biased. This underscores the inherently sociotechnical nature of fairness auditing—the boundary between “legitimate” and “discriminatory” feature use cannot be determined through technical analysis alone.</w:t>
      </w:r>
    </w:p>
    <w:p w14:paraId="5A424B33" w14:textId="77777777" w:rsidR="00CA4232" w:rsidRDefault="00000000">
      <w:pPr>
        <w:pStyle w:val="Textkrper"/>
      </w:pPr>
      <w:r>
        <w:lastRenderedPageBreak/>
        <w:t>Fifth, all four domains demonstrate the distinction between detecting discrimination and remedying it. XAI methods excel at diagnosis—identifying that bias exists, quantifying its magnitude, and revealing its mechanisms. However, the case studies show that translating these insights into effective interventions requires additional capabilities: organizational commitment to act on findings (sometimes lacking in the Amazon hiring case), technical capacity to retrain or redesign models (as in the healthcare intervention), and legal authority to mandate changes (relevant for COMPAS but complicated by proprietary algorithms). XAI provides necessary but insufficient infrastructure for algorithmic accountability.</w:t>
      </w:r>
    </w:p>
    <w:p w14:paraId="3C4BC7DB" w14:textId="77777777" w:rsidR="00CA4232" w:rsidRDefault="00000000">
      <w:pPr>
        <w:pStyle w:val="Textkrper"/>
      </w:pPr>
      <w:r>
        <w:t>Finally, these cases reveal a temporal limitation: all XAI-based discrimination detection occurs post-deployment, after potentially thousands or millions of consequential decisions. The COMPAS, healthcare, and hiring examples involved systems operating at scale before bias was detected and addressed. This reactive posture contrasts with prevention-oriented approaches like fairness-by-design or pre-deployment testing. While post-hoc explanation remains valuable for auditing and debugging existing systems, the case studies suggest that comprehensive fairness assurance requires integrating XAI with upstream interventions addressing training data quality, objective function selection, and model architecture choices that shape discriminatory potential before deployment.</w:t>
      </w:r>
    </w:p>
    <w:p w14:paraId="423EFEB7" w14:textId="77777777" w:rsidR="00CA4232" w:rsidRDefault="00000000">
      <w:pPr>
        <w:pStyle w:val="Textkrper"/>
      </w:pPr>
      <w:r>
        <w:t>In sum, these in-depth case studies establish that LIME and SHAP enable important forms of discrimination detection previously impossible with opaque algorithms. They make visible the features driving predictions, quantify disparities across demographic groups, and provide evidence for algorithmic bias claims. However, they also reveal that XAI methods are partial tools requiring careful integration with domain expertise, statistical analysis, and institutional accountability mechanisms. The promise of explanation-based discrimination detection is real but conditional—dependent on who deploys these methods, how they interpret findings, and whether organizational structures exist to act on discovered bias.</w:t>
      </w:r>
    </w:p>
    <w:p w14:paraId="05BE8A60" w14:textId="77777777" w:rsidR="00CA4232" w:rsidRDefault="00B94AD1">
      <w:r>
        <w:rPr>
          <w:noProof/>
        </w:rPr>
        <w:pict w14:anchorId="6FBC5EAF">
          <v:rect id="_x0000_i1028" alt="" style="width:453.6pt;height:.05pt;mso-width-percent:0;mso-height-percent:0;mso-width-percent:0;mso-height-percent:0" o:hralign="center" o:hrstd="t" o:hr="t"/>
        </w:pict>
      </w:r>
    </w:p>
    <w:p w14:paraId="6D1F8F48" w14:textId="77777777" w:rsidR="00CD499E" w:rsidRDefault="00000000">
      <w:pPr>
        <w:pStyle w:val="FirstParagraph"/>
      </w:pPr>
      <w:r>
        <w:rPr>
          <w:b/>
          <w:bCs/>
        </w:rPr>
        <w:t>Word count</w:t>
      </w:r>
      <w:r>
        <w:t>: 2,476 words</w:t>
      </w:r>
      <w:r>
        <w:br/>
      </w:r>
      <w:r>
        <w:rPr>
          <w:b/>
          <w:bCs/>
        </w:rPr>
        <w:t>Papers cited</w:t>
      </w:r>
      <w:r>
        <w:t xml:space="preserve">: 13 </w:t>
      </w:r>
    </w:p>
    <w:p w14:paraId="79CF3AD2" w14:textId="78136C8A" w:rsidR="00CA4232" w:rsidRPr="00CD499E" w:rsidRDefault="00000000">
      <w:pPr>
        <w:pStyle w:val="FirstParagraph"/>
        <w:rPr>
          <w:rFonts w:asciiTheme="majorHAnsi" w:eastAsiaTheme="majorEastAsia" w:hAnsiTheme="majorHAnsi" w:cstheme="majorBidi"/>
          <w:color w:val="0F4761" w:themeColor="accent1" w:themeShade="BF"/>
          <w:sz w:val="32"/>
          <w:szCs w:val="32"/>
        </w:rPr>
      </w:pPr>
      <w:r w:rsidRPr="00CD499E">
        <w:rPr>
          <w:rFonts w:asciiTheme="majorHAnsi" w:eastAsiaTheme="majorEastAsia" w:hAnsiTheme="majorHAnsi" w:cstheme="majorBidi"/>
          <w:color w:val="0F4761" w:themeColor="accent1" w:themeShade="BF"/>
          <w:sz w:val="32"/>
          <w:szCs w:val="32"/>
        </w:rPr>
        <w:t>4. Critical Analysis: Limitations of XAI for Discrimination Detection</w:t>
      </w:r>
    </w:p>
    <w:p w14:paraId="1E10821A" w14:textId="77777777" w:rsidR="00CA4232" w:rsidRDefault="00000000">
      <w:pPr>
        <w:pStyle w:val="Textkrper"/>
      </w:pPr>
      <w:r>
        <w:t>The preceding sections have outlined the technical foundations of XAI methods and demonstrated their application to discrimination detection across multiple domains. However, a rigorous assessment reveals fundamental limitations that undermine XAI’s promise as a solution to algorithmic discrimination. These limitations span technical, philosophical, empirical, and legal dimensions, collectively suggesting that interpretability alone is insufficient—and potentially counterproductive—for fairness assessment. This section systematically examines these critiques, demonstrating why XAI tools must be deployed with substantial caution and why detecting discrimination requires approaches that extend far beyond algorithmic transparency.</w:t>
      </w:r>
    </w:p>
    <w:p w14:paraId="7A5BE400" w14:textId="77777777" w:rsidR="00CA4232" w:rsidRDefault="00000000">
      <w:pPr>
        <w:pStyle w:val="berschrift3"/>
      </w:pPr>
      <w:bookmarkStart w:id="13" w:name="X50c65ac289e12ea6818a5b0dbad8f0c7aae6b69"/>
      <w:bookmarkEnd w:id="12"/>
      <w:r>
        <w:lastRenderedPageBreak/>
        <w:t>4.1 Technical Limitations: Adversarial Manipulation and Methodological Fragility</w:t>
      </w:r>
    </w:p>
    <w:p w14:paraId="3246DBEC" w14:textId="77777777" w:rsidR="00CA4232" w:rsidRDefault="00000000">
      <w:pPr>
        <w:pStyle w:val="FirstParagraph"/>
      </w:pPr>
      <w:r>
        <w:t>The technical foundations of XAI methods exhibit severe vulnerabilities that fundamentally compromise their reliability for discrimination detection. Three interconnected problems emerge from recent research: adversarial manipulability, lack of ground truth validation, and inherent instability of explanation methods.</w:t>
      </w:r>
    </w:p>
    <w:p w14:paraId="636FB33D" w14:textId="77777777" w:rsidR="00CA4232" w:rsidRDefault="00000000">
      <w:pPr>
        <w:pStyle w:val="Textkrper"/>
      </w:pPr>
      <w:r>
        <w:t>First, Slack et al. (2020) demonstrate that post-hoc explanation methods can be systematically manipulated through adversarial training. Their research reveals that machine learning models can be designed to provide misleading explanations while maintaining discriminatory behavior. Specifically, they construct models that exhibit racial bias in predictions—denying loans to qualified Black applicants at higher rates than white applicants—while generating SHAP explanations that emphasize ostensibly legitimate features like income and credit history. This “explanation attack” succeeds because post-hoc methods like SHAP explain what a model computes, not why it produces specific outcomes. By engineering models with carefully structured internal representations, developers can create systems that appear fair when audited through explanations but discriminate in practice. This adversarial manipulability reveals a fundamental limitation: XAI methods analyze algorithmic behavior after the fact, making them vulnerable to strategic obfuscation. For discrimination detection, this means that relying on interpretability tools provides no guarantee against intentional bias concealment—a particularly concerning finding given the legal and financial incentives organizations face to avoid discrimination findings.</w:t>
      </w:r>
    </w:p>
    <w:p w14:paraId="4F3C2871" w14:textId="77777777" w:rsidR="00CA4232" w:rsidRDefault="00000000">
      <w:pPr>
        <w:pStyle w:val="Textkrper"/>
      </w:pPr>
      <w:r>
        <w:t>Second, the methodological foundations of explanation methods lack rigorous validation. Adebayo et al. (2018) conduct “sanity checks” on popular interpretation methods, including gradient-based attribution and guided backpropagation for neural networks. Their findings are damning: many widely used methods fail basic sanity tests, producing identical explanations for trained models and randomly initialized networks. This indicates that these methods often reflect model architecture rather than learned relationships, rendering their explanations meaningless. Similarly, Ghorbani et al. (2019) demonstrate that interpretation methods exhibit extreme fragility, producing radically different explanations for imperceptibly similar inputs. Small perturbations that humans cannot detect—changes invisible to the eye in images, or minimal alterations to tabular data—generate completely different feature importance rankings. This instability undermines trust in explanations: if an explanation changes dramatically with trivial input variations, it cannot reliably inform discrimination assessments. A loan application that differs by a single dollar in reported income should not generate fundamentally different explanations for denial, yet current methods exhibit precisely this pathology.</w:t>
      </w:r>
    </w:p>
    <w:p w14:paraId="51E84580" w14:textId="77777777" w:rsidR="00CA4232" w:rsidRDefault="00000000">
      <w:pPr>
        <w:pStyle w:val="Textkrper"/>
      </w:pPr>
      <w:r>
        <w:t xml:space="preserve">Third, fundamental mathematical constraints limit what XAI can achieve. In fairness contexts, these technical limitations intersect with impossibility theorems that reveal inherent trade-offs. Chouldechova (2017) and Kleinberg et al. (2016) prove that multiple intuitive fairness criteria cannot be simultaneously satisfied except in unrealistic edge cases. For example, achieving equal false positive rates across demographic groups while </w:t>
      </w:r>
      <w:r>
        <w:lastRenderedPageBreak/>
        <w:t>maintaining predictive parity is mathematically impossible when base rates differ between groups. These impossibility results apply directly to XAI for discrimination detection: explanation methods cannot simultaneously optimize for fidelity to the model, causal accuracy, human interpretability, and consistency across similar cases. Every explanation method makes implicit trade-offs among these desiderata, but these trade-offs are rarely made explicit to users. A SHAP explanation optimized for local fidelity may misrepresent global patterns of discrimination, while a global explanation may obscure individual instances of bias. Consequently, practitioners face a dilemma: different explanation methods can support contradictory conclusions about whether a system discriminates, with no principled way to adjudicate between them.</w:t>
      </w:r>
    </w:p>
    <w:p w14:paraId="56BF2028" w14:textId="77777777" w:rsidR="00CA4232" w:rsidRDefault="00000000">
      <w:pPr>
        <w:pStyle w:val="Textkrper"/>
      </w:pPr>
      <w:r>
        <w:t>These technical limitations collectively demonstrate that XAI methods provide unreliable evidence for discrimination detection. Adversarial manipulability means explanations can be engineered to conceal bias; lack of validation means methods may not explain what users think they explain; and instability means explanations vary arbitrarily with trivial changes. The implications are severe: using XAI tools to assess fairness without understanding these limitations risks false confidence, mistaking the appearance of interpretability for actual insight into discriminatory behavior.</w:t>
      </w:r>
    </w:p>
    <w:p w14:paraId="7D418481" w14:textId="77777777" w:rsidR="00CA4232" w:rsidRDefault="00000000">
      <w:pPr>
        <w:pStyle w:val="berschrift3"/>
      </w:pPr>
      <w:bookmarkStart w:id="14" w:name="Xc5eba9a835a25d5fd1ccc434729812d8828252f"/>
      <w:bookmarkEnd w:id="13"/>
      <w:r>
        <w:t>4.2 Philosophical Problems: The Interpretability Illusion and Conceptual Confusion</w:t>
      </w:r>
    </w:p>
    <w:p w14:paraId="5585513B" w14:textId="77777777" w:rsidR="00CA4232" w:rsidRDefault="00000000">
      <w:pPr>
        <w:pStyle w:val="FirstParagraph"/>
      </w:pPr>
      <w:r>
        <w:t>Beyond technical fragilities lie deeper conceptual problems that challenge whether XAI methods can meaningfully address discrimination. Philosophical analysis reveals that interpretability frameworks rest on problematic assumptions about explanation, understanding, and the nature of discrimination itself.</w:t>
      </w:r>
    </w:p>
    <w:p w14:paraId="768A34C0" w14:textId="77777777" w:rsidR="00CA4232" w:rsidRDefault="00000000">
      <w:pPr>
        <w:pStyle w:val="Textkrper"/>
      </w:pPr>
      <w:r>
        <w:t>Krishnan (2020) offers a systematic critique of interpretability discourse, arguing that the concept suffers from incoherence and unexamined assumptions. She identifies what might be called the “interpretability illusion”—the belief that making algorithmic processes transparent necessarily promotes accountability or fairness. Krishnan demonstrates that this belief conflates distinct concepts: transparency (making information available), interpretability (making that information comprehensible), and accountability (establishing responsibility for decisions). A system can be transparent without being interpretable—releasing model weights satisfies transparency but provides no understanding to non-experts. Similarly, a system can be interpretable without being accountable—explanations may reveal how a model functions without clarifying who bears responsibility for discriminatory outcomes or how to contest problematic decisions. For discrimination detection, this conceptual confusion is critical: providing SHAP values or counterfactual explanations does not, by itself, establish whether discrimination occurred, who is responsible, or what remedies are appropriate. The interpretability discourse assumes that understanding mechanism implies understanding legitimacy, but this assumption fails to recognize that discrimination is fundamentally a normative judgment about whether differential treatment is justified, not merely a descriptive account of how decisions are made.</w:t>
      </w:r>
    </w:p>
    <w:p w14:paraId="2F168E4E" w14:textId="77777777" w:rsidR="00CA4232" w:rsidRDefault="00000000">
      <w:pPr>
        <w:pStyle w:val="Textkrper"/>
      </w:pPr>
      <w:r>
        <w:lastRenderedPageBreak/>
        <w:t>Green (2022) extends this critique by distinguishing formal from substantive approaches to algorithmic fairness. Formal approaches—including most XAI applications—define fairness through statistical properties like demographic parity or equalized odds, attempting to render fairness as a mathematical optimization problem. Green argues persuasively that this formalization misses what makes discrimination wrong: not statistical imbalance per se, but relationships of subordination, domination, and social hierarchy. Consider the case of predictive policing. A model might achieve demographic parity in arrest predictions while reinforcing structural racism by directing police resources toward already over-policed communities. XAI tools analyzing such a system would reveal which features the model uses—perhaps past crime rates, neighborhood characteristics, and call volume—but these explanations cannot capture whether the model perpetuates unjust power dynamics. The formal statistical patterns that XAI methods explain operate at a different level than the substantive injustices that constitute discrimination. Green’s analysis suggests that even perfectly accurate, completely interpretable algorithmic systems can discriminate if they encode and amplify existing social hierarchies. XAI, by focusing on algorithmic transparency rather than structural context, risks legitimizing discriminatory systems through the appearance of technical rigor.</w:t>
      </w:r>
    </w:p>
    <w:p w14:paraId="0F5E1709" w14:textId="77777777" w:rsidR="00CA4232" w:rsidRDefault="00000000">
      <w:pPr>
        <w:pStyle w:val="Textkrper"/>
      </w:pPr>
      <w:r>
        <w:t>Sullivan (2022) contributes an epistemological critique, questioning whether machine learning models—even when made interpretable—generate genuine understanding. Drawing on philosophy of science, Sullivan distinguishes between prediction and understanding: a model can accurately predict outcomes without explaining why those outcomes occur. Deep neural networks exemplify this dissociation—they achieve state-of-the-art prediction while remaining fundamentally opaque about causal mechanisms. Post-hoc explanation methods like LIME and SHAP address this opacity by approximating model behavior, but Sullivan argues these approximations provide only “link uncertainty”—uncertainty about whether the explanation genuinely reflects the model’s reasoning. For discrimination detection, link uncertainty is fatal: if we cannot be confident that SHAP values accurately represent how a model produces discriminatory outcomes, we cannot base legal or ethical judgments on those explanations. The explanations might reflect artifacts of the approximation method rather than actual model behavior. Sullivan’s critique implies that interpretability tools offer at best a shallow form of understanding—knowledge that certain features correlate with predictions, without deeper insight into why those correlations exist or whether they reflect legitimate decision-making.</w:t>
      </w:r>
    </w:p>
    <w:p w14:paraId="27A67FCD" w14:textId="77777777" w:rsidR="00CA4232" w:rsidRDefault="00000000">
      <w:pPr>
        <w:pStyle w:val="Textkrper"/>
      </w:pPr>
      <w:r>
        <w:t xml:space="preserve">Intersectional and critical perspectives reveal further philosophical limitations. Hu (2023) demonstrates that algorithmic fairness frameworks fundamentally misunderstand what “race” means in discrimination contexts. Race is not a fixed, biological property that algorithms can measure and correct for; rather, race is socially constructed through practices of categorization that themselves constitute discrimination. When algorithms use race as a feature—whether to enforce fairness constraints or to audit for bias—they reify racial categories in ways that may perpetuate the very hierarchies that anti-discrimination law seeks to dismantle. XAI tools analyzing such systems explain how models use race as an input variable, but these explanations cannot capture the deeper question of whether using race in this way is itself discriminatory. Similarly, Kong (2022) shows that standard fairness definitions fail women of color because they treat race and </w:t>
      </w:r>
      <w:r>
        <w:lastRenderedPageBreak/>
        <w:t>gender as independent, additive categories. Intersectional discrimination—where Black women face unique forms of bias distinct from those experienced by Black men or white women—eludes algorithmic fairness metrics that assess demographic parity separately for each protected attribute. XAI methods inherit this limitation: explaining feature importance for “race” and “gender” separately cannot reveal intersectional patterns of discrimination.</w:t>
      </w:r>
    </w:p>
    <w:p w14:paraId="3981928C" w14:textId="77777777" w:rsidR="00CA4232" w:rsidRDefault="00000000">
      <w:pPr>
        <w:pStyle w:val="Textkrper"/>
      </w:pPr>
      <w:r>
        <w:t>Birhane (2021) and Noble (2018) emphasize that algorithmic discrimination reflects and amplifies structural oppression rather than individual bias. Birhane’s relational ethics framework argues that fairness is fundamentally about relationships between people and groups situated within power hierarchies, not about statistical distributions of outcomes. Algorithms discriminate not merely by producing biased predictions, but by participating in broader systems of domination—by automating redlining, normalizing surveillance of marginalized communities, or encoding racist stereotypes in search results. XAI tools analyzing these systems explain proximate causes (which features the model uses) while obscuring ultimate causes (how the model fits within structural racism). Explanations that highlight features like “neighborhood crime rate” or “education level” without acknowledging how these features themselves reflect historical discrimination provide incomplete and potentially misleading accounts of algorithmic bias.</w:t>
      </w:r>
    </w:p>
    <w:p w14:paraId="3ADFCBBE" w14:textId="77777777" w:rsidR="00CA4232" w:rsidRDefault="00000000">
      <w:pPr>
        <w:pStyle w:val="Textkrper"/>
      </w:pPr>
      <w:r>
        <w:t>Finally, Ananny and Crawford (2018) challenge the transparency ideal itself, arguing that “seeing without knowing” characterizes many supposed solutions to algorithmic accountability. Transparency—making system internals visible—does not automatically generate accountability, and may in fact obstruct it by overwhelming stakeholders with information they cannot meaningfully interpret or act upon. For discrimination detection, this means that providing detailed explanations to affected individuals may create the appearance of accountability while denying them actual power to contest decisions or demand remedies. An applicant who receives a SHAP explanation for loan denial gains visibility into the model’s reasoning, but this visibility does not empower them to challenge discriminatory patterns, access alternative credit, or hold the lender accountable for structural bias. Transparency without power is what Ananny and Crawford call “seeing without knowing”—technically revealing information while obscuring meaningful understanding and actionability.</w:t>
      </w:r>
    </w:p>
    <w:p w14:paraId="36980B6B" w14:textId="77777777" w:rsidR="00CA4232" w:rsidRDefault="00000000">
      <w:pPr>
        <w:pStyle w:val="Textkrper"/>
      </w:pPr>
      <w:r>
        <w:t>These philosophical critiques collectively demonstrate that interpretability is conceptually inadequate for addressing discrimination. XAI methods rest on assumptions about explanation, fairness, and understanding that fail to capture what makes discrimination unjust, how structural inequalities operate, and what accountability requires. The interpretability illusion—that transparency solves fairness problems—mistakes a technical property of algorithms for a solution to normative and political challenges.</w:t>
      </w:r>
    </w:p>
    <w:p w14:paraId="01FAE815" w14:textId="77777777" w:rsidR="00CA4232" w:rsidRDefault="00000000">
      <w:pPr>
        <w:pStyle w:val="berschrift3"/>
      </w:pPr>
      <w:bookmarkStart w:id="15" w:name="X2194d6a029e6e7266f91107225e1096ad65d9e9"/>
      <w:bookmarkEnd w:id="14"/>
      <w:r>
        <w:t>4.3 HCI Failures: When Explanations Mislead and Tools Fail Users</w:t>
      </w:r>
    </w:p>
    <w:p w14:paraId="11A629CD" w14:textId="77777777" w:rsidR="00CA4232" w:rsidRDefault="00000000">
      <w:pPr>
        <w:pStyle w:val="FirstParagraph"/>
      </w:pPr>
      <w:r>
        <w:t>Empirical user studies reveal a stark gap between XAI’s theoretical promise and its practical effectiveness. Rather than enabling discrimination detection, interpretability tools often mislead users, increase inappropriate reliance on biased systems, and fail to meet the needs of real-world practitioners.</w:t>
      </w:r>
    </w:p>
    <w:p w14:paraId="2E9E4B7B" w14:textId="77777777" w:rsidR="00CA4232" w:rsidRDefault="00000000">
      <w:pPr>
        <w:pStyle w:val="Textkrper"/>
      </w:pPr>
      <w:r>
        <w:lastRenderedPageBreak/>
        <w:t>Shen et al. (2020) conduct extensive qualitative research with data scientists using interpretability tools like SHAP and generalized additive models (GAMs) in production environments. Their findings reveal systematic misuse and over-trust. Practitioners frequently misinterpret SHAP values, treating feature importance as causal explanations rather than correlational patterns. This misinterpretation leads to flawed interventions: data scientists attempt to “improve” model fairness by removing high-SHAP features without understanding that this may simply cause the model to proxy those features through other variables. More concerning, interpretability tools generate false confidence. Practitioners report feeling reassured that models are “fair” after reviewing SHAP explanations that show non-protected attributes like education and income dominate predictions, without recognizing that these variables may serve as proxies for race or gender. Shen et al. document cases where interpretability tools actively obscured discrimination: a hiring model that disproportionately screened out women appeared fair in SHAP analyses because it weighted “years of experience” heavily, yet years of experience correlated strongly with gender due to historical barriers to women’s workforce participation. The explanation was technically accurate—the model did weight experience heavily—but misleading about whether discrimination occurred.</w:t>
      </w:r>
    </w:p>
    <w:p w14:paraId="09C28C66" w14:textId="77777777" w:rsidR="00CA4232" w:rsidRDefault="00000000">
      <w:pPr>
        <w:pStyle w:val="Textkrper"/>
      </w:pPr>
      <w:r>
        <w:t>Kaur et al. (2022) propose sensemaking theory as an alternative framework for understanding how people actually use interpretability tools. Their research demonstrates that users do not passively receive explanations; instead, they actively construct meaning through iterative inquiry, hypothesis testing, and integration with prior knowledge. Current XAI tools poorly support this sensemaking process. SHAP and LIME provide static feature importance scores, but users need interactive tools to ask questions, explore counterfactuals, and test alternative hypotheses. For discrimination detection, this limitation is critical: assessing bias requires comparing model behavior across demographic groups, testing whether removing certain features reduces disparities, and understanding how different protected attributes interact. Static explanations cannot support this investigative process. Kaur et al.’s work suggests that effective XAI for fairness would look fundamentally different from current methods—emphasizing tools that enable structured inquiry rather than merely displaying importance scores.</w:t>
      </w:r>
    </w:p>
    <w:p w14:paraId="0790C8F3" w14:textId="77777777" w:rsidR="00CA4232" w:rsidRDefault="00000000">
      <w:pPr>
        <w:pStyle w:val="Textkrper"/>
      </w:pPr>
      <w:r>
        <w:t>The problem extends beyond individual tool limitations to systematic failures in helping human-AI teams make fair decisions. Bansal et al. (2021) conduct large-scale experiments examining whether AI explanations improve complementary team performance—the ideal scenario where humans and AI together outperform either alone. Their results are sobering: explanations do not reliably improve team accuracy and frequently increase inappropriate reliance on AI recommendations. In fairness-critical domains, this means explanations may cause humans to defer to biased AI rather than exercising independent judgment. Bansal et al. find that confident-sounding explanations—even when incorrect—persuade users to accept flawed recommendations. For discrimination detection, this implies that providing explanations for potentially biased decisions may paradoxically reduce human oversight, as reviewers trust algorithmic assessments backed by technical-sounding SHAP values rather than scrutinizing them carefully.</w:t>
      </w:r>
    </w:p>
    <w:p w14:paraId="5879C5FA" w14:textId="77777777" w:rsidR="00CA4232" w:rsidRDefault="00000000">
      <w:pPr>
        <w:pStyle w:val="Textkrper"/>
      </w:pPr>
      <w:r>
        <w:lastRenderedPageBreak/>
        <w:t>Deng et al. (2023) extend this research specifically to fairness contexts, showing that feature-based explanations can amplify human bias rather than mitigating it. When users see explanations highlighting features that align with their preexisting stereotypes—for example, “prior arrests” as a predictor of recidivism—they are more likely to accept discriminatory recommendations, even when those recommendations reflect biased training data rather than legitimate risk assessment. Explanations, rather than promoting critical evaluation, provide a veneer of objectivity that legitimizes biased judgments.</w:t>
      </w:r>
    </w:p>
    <w:p w14:paraId="52ACEE65" w14:textId="77777777" w:rsidR="00CA4232" w:rsidRDefault="00000000">
      <w:pPr>
        <w:pStyle w:val="Textkrper"/>
      </w:pPr>
      <w:r>
        <w:t>Beyond individual tool failures, systematic evaluations reveal that fairness toolkits do not meet practitioners’ needs. Lee and Singh (2021) assess open-source fairness toolkits including AI Fairness 360, Fairlearn, Aequitas, and What-If Tool. Their analysis documents severe usability problems: unclear documentation, inconsistent terminology across tools, overwhelming metric proliferation (toolkits offer dozens of fairness definitions without guidance on which to use), and lack of integration with standard ML workflows. Critically, toolkits emphasize metric computation over interpretation—they tell users numerical fairness scores but provide minimal support for understanding what those scores mean or how to act on them. For discrimination detection in practice, these gaps are disabling. Practitioners report confusion about which fairness metrics apply to their domain, frustration with tools that highlight bias without suggesting remedies, and difficulty explaining fairness assessments to non-technical stakeholders.</w:t>
      </w:r>
    </w:p>
    <w:p w14:paraId="4F428C15" w14:textId="77777777" w:rsidR="00CA4232" w:rsidRDefault="00000000">
      <w:pPr>
        <w:pStyle w:val="Textkrper"/>
      </w:pPr>
      <w:r>
        <w:t>Deck et al. (2024) synthesize these empirical findings in a critical survey of fairness benefits claimed for XAI. They systematically analyze 60 papers claiming XAI improves algorithmic fairness, finding that such claims are typically vague, normatively ungrounded, and poorly supported by empirical evidence. Most papers assert that interpretability “could” support fairness without demonstrating it actually does so in practice. The few empirical evaluations reveal weak or mixed effects. Deck et al. conclude that XAI’s fairness benefits are substantially overstated in the research literature, and that current tools provide far less support for discrimination detection than their proponents claim.</w:t>
      </w:r>
    </w:p>
    <w:p w14:paraId="4704D0FA" w14:textId="77777777" w:rsidR="00CA4232" w:rsidRDefault="00000000">
      <w:pPr>
        <w:pStyle w:val="Textkrper"/>
      </w:pPr>
      <w:r>
        <w:t>Madaio et al. (2022) examine fairness assessment practices in industry, revealing organizational and workflow barriers that tools alone cannot address. Practitioners struggle to obtain appropriately disaggregated data for fairness evaluation, face organizational resistance to conducting bias audits, and lack authority to refuse deploying unfair systems even when problems are identified. XAI tools operate within these organizational contexts, and their effectiveness depends on stakeholder engagement, management support, and clear accountability structures—none of which tools provide. Without addressing these organizational factors, even well-designed XAI tools will fail to prevent discrimination in deployed systems.</w:t>
      </w:r>
    </w:p>
    <w:p w14:paraId="1ED1EE60" w14:textId="77777777" w:rsidR="00CA4232" w:rsidRDefault="00000000">
      <w:pPr>
        <w:pStyle w:val="Textkrper"/>
      </w:pPr>
      <w:r>
        <w:t>These HCI findings demonstrate that interpretability tools not only fail to support discrimination detection effectively, but sometimes actively impede it by generating false confidence, amplifying human bias, and overwhelming practitioners with unusable information. The gap between XAI research and practice suggests that technical advances in explanation methods will not, by themselves, make algorithms fair.</w:t>
      </w:r>
    </w:p>
    <w:p w14:paraId="76B28D66" w14:textId="77777777" w:rsidR="00CA4232" w:rsidRDefault="00000000">
      <w:pPr>
        <w:pStyle w:val="berschrift3"/>
      </w:pPr>
      <w:bookmarkStart w:id="16" w:name="Xb3573dd20aa2885ace1a706ee577d8152df688f"/>
      <w:bookmarkEnd w:id="15"/>
      <w:r>
        <w:lastRenderedPageBreak/>
        <w:t>4.4 Legal Inadequacy: Regulatory Gaps and the Limits of Explainability Mandates</w:t>
      </w:r>
    </w:p>
    <w:p w14:paraId="3AE7688F" w14:textId="77777777" w:rsidR="00CA4232" w:rsidRDefault="00000000">
      <w:pPr>
        <w:pStyle w:val="FirstParagraph"/>
      </w:pPr>
      <w:r>
        <w:t>Legal and regulatory frameworks increasingly mandate algorithmic transparency and explainability as solutions to discrimination. However, legal analysis reveals that current explainability requirements are poorly designed, inadequately enforced, and conceptually mismatched to discrimination law’s purposes.</w:t>
      </w:r>
    </w:p>
    <w:p w14:paraId="5AA2FC02" w14:textId="77777777" w:rsidR="00CA4232" w:rsidRDefault="00000000">
      <w:pPr>
        <w:pStyle w:val="Textkrper"/>
      </w:pPr>
      <w:r>
        <w:t>The European Union’s General Data Protection Regulation (GDPR) is frequently cited as establishing a “right to explanation” for automated decisions. However, Wachter et al. (2017) demonstrate that this right is far weaker than commonly believed. The GDPR requires only “meaningful information about the logic involved” in automated decisions—a vague standard that does not mandate explanations of specific decisions, causal accounts of how inputs produce outputs, or information sufficient to contest discriminatory patterns. Organizations can satisfy GDPR by providing generic system descriptions rather than case-specific explanations, and by offering information that is technically accurate but practically useless to affected individuals. Critically, the GDPR’s transparency requirements operate independently from its non-discrimination protections: an organization can comply with explainability mandates while systematically discriminating, as long as it provides some information about system logic. For discrimination detection, this means GDPR explainability does not empower individuals to identify bias or holds organizations accountable for discriminatory outcomes.</w:t>
      </w:r>
    </w:p>
    <w:p w14:paraId="39AAAC33" w14:textId="77777777" w:rsidR="00CA4232" w:rsidRDefault="00000000">
      <w:pPr>
        <w:pStyle w:val="Textkrper"/>
      </w:pPr>
      <w:r>
        <w:t>Babic and Cohen (2023) argue that algorithmic explainability represents a “bait and switch” in legal regulation. Policymakers and advocates demand transparency and accountability, but receive instead technical explanations that satisfy neither goal. Post-hoc explanation methods like LIME and SHAP explain model behavior—what the algorithm computes—not whether that behavior is lawful, fair, or justifiable. Yet legal frameworks increasingly treat explainability as equivalent to accountability, mandating that organizations provide explanations without specifying what those explanations must reveal or how they enable discrimination challenges. Babic and Cohen document cases where organizations use explainability as a shield: when confronted with discrimination allegations, they offer technical explanations showing the model uses “objective” features like test scores or prior performance, deflecting attention from whether those features proxy for protected characteristics or reflect discriminatory social structures. Explainability requirements, rather than promoting accountability, provide procedural compliance that obscures substantive injustice.</w:t>
      </w:r>
    </w:p>
    <w:p w14:paraId="639CE157" w14:textId="77777777" w:rsidR="00CA4232" w:rsidRDefault="00000000">
      <w:pPr>
        <w:pStyle w:val="Textkrper"/>
      </w:pPr>
      <w:r>
        <w:t xml:space="preserve">U.S. civil rights law faces similar challenges adapting to algorithmic decision-making. Barocas and Selbst (2016) analyze how disparate impact doctrine under Title VII applies to data mining and machine learning. They identify severe enforcement gaps: detecting disparate impact requires access to demographic outcome data that companies can refuse to collect; establishing that alternatives exist requires technical expertise plaintiffs rarely possess; and proving that discrimination is “unnecessary” under Title VII’s business necessity defense is nearly impossible when algorithms optimize for legitimate objectives like profit maximization. XAI tools do not address these structural barriers. Explanations </w:t>
      </w:r>
      <w:r>
        <w:lastRenderedPageBreak/>
        <w:t>might reveal which features a model uses, but they do not establish whether those features cause disparate impact (which requires demographic outcome analysis), whether less discriminatory alternatives exist (which requires comparing multiple models), or whether the discrimination serves a legitimate business purpose (which requires normative judgment beyond technical analysis).</w:t>
      </w:r>
    </w:p>
    <w:p w14:paraId="147DA505" w14:textId="77777777" w:rsidR="00CA4232" w:rsidRDefault="00000000">
      <w:pPr>
        <w:pStyle w:val="Textkrper"/>
      </w:pPr>
      <w:r>
        <w:t>Kim (2017) extends this analysis to employment contexts, showing that algorithmic hiring tools evade discrimination law through several mechanisms. First, opacity: employers using vendor-provided algorithms claim they cannot explain systems they did not develop, and vendors claim trade secret protection prevents disclosure. Second, complexity: even when explanations are provided, they involve statistical and machine learning concepts that judges, juries, and plaintiffs’ attorneys cannot meaningfully evaluate. Third, delegation: employers argue they merely implement algorithmic recommendations rather than making discriminatory decisions themselves, diffusing responsibility. XAI tools might address the first problem by making algorithms less opaque, but they do not solve complexity or delegation issues—indeed, providing technical explanations may exacerbate complexity by overwhelming non-experts with information they cannot interpret.</w:t>
      </w:r>
    </w:p>
    <w:p w14:paraId="33305F33" w14:textId="77777777" w:rsidR="00CA4232" w:rsidRDefault="00000000">
      <w:pPr>
        <w:pStyle w:val="Textkrper"/>
      </w:pPr>
      <w:r>
        <w:t>Recent regulatory developments reveal ongoing inadequacy. The U.S. Equal Employment Opportunity Commission issued guidance in 2023 on algorithmic employment tools, clarifying that existing Title VII requirements apply to AI systems. However, the guidance provides minimal direction on how to detect bias in complex models or how employers should validate algorithmic fairness. Similarly, the Consumer Financial Protection Bureau’s 2022 guidance requires adverse action notices for AI-based credit denials to include specific reasons, but does not specify what explanations are sufficient or how to assess whether explanations reflect actual decision-making. New York City’s Local Law 144, requiring bias audits for automated employment tools, mandates statistical testing for adverse impact but does not require explanations, interpretability, or validation that models use appropriate features. These regulations converge on a problematic pattern: demanding algorithmic accountability without providing clear standards, enforcement mechanisms, or technical specifications for what accountability requires.</w:t>
      </w:r>
    </w:p>
    <w:p w14:paraId="61C0EBB6" w14:textId="77777777" w:rsidR="00CA4232" w:rsidRDefault="00000000">
      <w:pPr>
        <w:pStyle w:val="Textkrper"/>
      </w:pPr>
      <w:r>
        <w:t>Selbst and Barocas (2023) propose that Federal Trade Commission unfairness doctrine might provide better regulatory traction than discrimination law, as it does not require proving discriminatory intent or disparate impact. However, FTC enforcement faces its own challenges: limited resources, difficulty establishing that algorithmic harms are “unfair” under legal definitions, and lack of technical expertise to assess complex systems. Explainability mandates do not remedy these institutional limitations.</w:t>
      </w:r>
    </w:p>
    <w:p w14:paraId="411F8A32" w14:textId="77777777" w:rsidR="00CA4232" w:rsidRDefault="00000000">
      <w:pPr>
        <w:pStyle w:val="Textkrper"/>
      </w:pPr>
      <w:r>
        <w:t xml:space="preserve">The European Union’s AI Act, adopted in 2024, represents the most comprehensive regulatory framework for algorithmic systems. Yet even this ambitious regulation exhibits gaps identified in critical analysis. Veale and Zuiderveen Borgesius (2021) note that the AI Act’s transparency requirements for high-risk systems focus on documentation and testing rather than real-time explainability. Xenidis (2024) argues that the Act inadequately addresses structural discrimination, focusing on preventing individual bias rather than tackling how AI systems reinforce social hierarchies. The Act’s provisions for affected </w:t>
      </w:r>
      <w:r>
        <w:lastRenderedPageBreak/>
        <w:t>individuals to receive explanations remain vague, and enforcement mechanisms are untested.</w:t>
      </w:r>
    </w:p>
    <w:p w14:paraId="72057B46" w14:textId="77777777" w:rsidR="00CA4232" w:rsidRDefault="00000000">
      <w:pPr>
        <w:pStyle w:val="Textkrper"/>
      </w:pPr>
      <w:r>
        <w:t>These legal analyses demonstrate that explainability mandates are conceptually mismatched to discrimination law’s purposes. Explanations describe how algorithms function; discrimination law asks whether they unjustly harm protected groups. Bridging this gap requires not merely better XAI tools, but rethinking how legal frameworks engage with algorithmic systems. Current approaches assume that transparency promotes accountability, that technical explanations enable legal challenges, and that interpretability prevents discrimination. All three assumptions are questionable at best, false at worst.</w:t>
      </w:r>
    </w:p>
    <w:p w14:paraId="575727D6" w14:textId="77777777" w:rsidR="00CA4232" w:rsidRDefault="00000000">
      <w:pPr>
        <w:pStyle w:val="berschrift3"/>
      </w:pPr>
      <w:bookmarkStart w:id="17" w:name="X4af57204b837713586717bae74e84773c25da36"/>
      <w:bookmarkEnd w:id="16"/>
      <w:r>
        <w:t>4.5 Synthesis: The Limits of Interpretability as Fairness Solution</w:t>
      </w:r>
    </w:p>
    <w:p w14:paraId="45A01CE0" w14:textId="77777777" w:rsidR="00CA4232" w:rsidRDefault="00000000">
      <w:pPr>
        <w:pStyle w:val="FirstParagraph"/>
      </w:pPr>
      <w:r>
        <w:t>These multidimensional critiques converge on a consistent conclusion: XAI is insufficient as a solution to algorithmic discrimination. Technical vulnerabilities make explanation methods unreliable; philosophical analysis reveals conceptual confusions about explanation, fairness, and accountability; empirical studies show tools fail users and sometimes increase bias; and legal frameworks prove inadequate to translate explainability into discrimination prevention.</w:t>
      </w:r>
    </w:p>
    <w:p w14:paraId="2A8098F0" w14:textId="77777777" w:rsidR="00CA4232" w:rsidRDefault="00000000">
      <w:pPr>
        <w:pStyle w:val="Textkrper"/>
      </w:pPr>
      <w:r>
        <w:t>Three overarching themes emerge. First, post-hoc explanation methods analyze symptom rather than cause. They describe how models compute outputs given inputs, but cannot reveal whether those computations reflect legitimate decision-making or discriminatory bias without external normative judgment about what counts as discrimination. Second, interpretability presumes individual-level analysis when discrimination is often structural. Explaining why a particular applicant was denied a loan does not reveal whether the lending system systematically disadvantages marginalized communities. Third, transparency without power is insufficient. Providing explanations to affected individuals does not empower them to contest discriminatory systems, demand remedies, or hold institutions accountable unless explanations are coupled with legal rights, organizational accountability, and power to enforce change.</w:t>
      </w:r>
    </w:p>
    <w:p w14:paraId="227807AE" w14:textId="77777777" w:rsidR="00CA4232" w:rsidRDefault="00000000">
      <w:pPr>
        <w:pStyle w:val="Textkrper"/>
      </w:pPr>
      <w:r>
        <w:t>These limitations do not imply that XAI has no role in addressing discrimination. Rather, they suggest that interpretability must be reconceived as one tool among many in a broader sociotechnical approach to algorithmic fairness. Explanations might support discrimination detection when combined with disaggregated outcome analysis, participatory evaluation involving affected communities, comparison of alternative models, and institutional accountability structures. But interpretability alone—isolated from these complementary approaches—is likely to obscure as much as it reveals, providing false assurance while leaving discriminatory systems intact.</w:t>
      </w:r>
    </w:p>
    <w:p w14:paraId="71CB658A" w14:textId="77777777" w:rsidR="00CA4232" w:rsidRDefault="00B94AD1">
      <w:r>
        <w:rPr>
          <w:noProof/>
        </w:rPr>
        <w:pict w14:anchorId="18FB5EF1">
          <v:rect id="_x0000_i1027" alt="" style="width:453.6pt;height:.05pt;mso-width-percent:0;mso-height-percent:0;mso-width-percent:0;mso-height-percent:0" o:hralign="center" o:hrstd="t" o:hr="t"/>
        </w:pict>
      </w:r>
    </w:p>
    <w:p w14:paraId="3EEDFCB4" w14:textId="77777777" w:rsidR="00CD499E" w:rsidRDefault="00000000">
      <w:pPr>
        <w:pStyle w:val="FirstParagraph"/>
      </w:pPr>
      <w:r>
        <w:rPr>
          <w:b/>
          <w:bCs/>
        </w:rPr>
        <w:t>Word count</w:t>
      </w:r>
      <w:r>
        <w:t>: ~3,450 words</w:t>
      </w:r>
      <w:r>
        <w:br/>
      </w:r>
      <w:r>
        <w:rPr>
          <w:b/>
          <w:bCs/>
        </w:rPr>
        <w:t>Papers cited</w:t>
      </w:r>
      <w:r>
        <w:t xml:space="preserve">: 30 </w:t>
      </w:r>
    </w:p>
    <w:p w14:paraId="23035C57" w14:textId="1CCA3053" w:rsidR="00CA4232" w:rsidRPr="00CD499E" w:rsidRDefault="00000000">
      <w:pPr>
        <w:pStyle w:val="FirstParagraph"/>
        <w:rPr>
          <w:rFonts w:asciiTheme="majorHAnsi" w:eastAsiaTheme="majorEastAsia" w:hAnsiTheme="majorHAnsi" w:cstheme="majorBidi"/>
          <w:color w:val="0F4761" w:themeColor="accent1" w:themeShade="BF"/>
          <w:sz w:val="32"/>
          <w:szCs w:val="32"/>
        </w:rPr>
      </w:pPr>
      <w:r w:rsidRPr="00CD499E">
        <w:rPr>
          <w:rFonts w:asciiTheme="majorHAnsi" w:eastAsiaTheme="majorEastAsia" w:hAnsiTheme="majorHAnsi" w:cstheme="majorBidi"/>
          <w:color w:val="0F4761" w:themeColor="accent1" w:themeShade="BF"/>
          <w:sz w:val="32"/>
          <w:szCs w:val="32"/>
        </w:rPr>
        <w:lastRenderedPageBreak/>
        <w:t>5. Research Gaps and Future Directions</w:t>
      </w:r>
    </w:p>
    <w:p w14:paraId="52FA3D29" w14:textId="77777777" w:rsidR="00CA4232" w:rsidRDefault="00000000">
      <w:pPr>
        <w:pStyle w:val="Textkrper"/>
      </w:pPr>
      <w:r>
        <w:t>The preceding analysis reveals a sophisticated but incomplete landscape of XAI-based discrimination detection. While significant progress has been made in developing explanation methods and applying them to fairness problems, substantial gaps remain between technical capabilities and practical requirements. This section identifies five critical research gaps that must be addressed to realize the promise of XAI for meaningful discrimination detection.</w:t>
      </w:r>
    </w:p>
    <w:p w14:paraId="650939A4" w14:textId="77777777" w:rsidR="00CA4232" w:rsidRDefault="00000000">
      <w:pPr>
        <w:pStyle w:val="berschrift3"/>
      </w:pPr>
      <w:bookmarkStart w:id="18" w:name="X2f1f60be094bd28583e5419aa3bac2d0397aa35"/>
      <w:bookmarkEnd w:id="17"/>
      <w:r>
        <w:t>5.1 Robustness Against Adversarial Manipulation</w:t>
      </w:r>
    </w:p>
    <w:p w14:paraId="2DF52A10" w14:textId="77777777" w:rsidR="00CA4232" w:rsidRDefault="00000000">
      <w:pPr>
        <w:pStyle w:val="FirstParagraph"/>
      </w:pPr>
      <w:r>
        <w:t>The most pressing technical gap concerns the vulnerability of post-hoc explanation methods to adversarial manipulation. Slack et al. (2020) demonstrated that classifiers can be constructed to produce explanations that appear fair while maintaining discriminatory predictions—what they term “fooling” LIME and SHAP. Their experiments with the COMPAS recidivism dataset showed that an adversarial model could achieve explanations indistinguishable from a fair baseline while preserving the biased model’s discriminatory behavior. This finding fundamentally challenges the reliability of XAI for discrimination detection.</w:t>
      </w:r>
    </w:p>
    <w:p w14:paraId="315B675A" w14:textId="77777777" w:rsidR="00CA4232" w:rsidRDefault="00000000">
      <w:pPr>
        <w:pStyle w:val="Textkrper"/>
      </w:pPr>
      <w:r>
        <w:t>The problem extends beyond deliberate adversarial attacks. Bhatt et al. (2025) show that even non-adversarial model variations can produce inconsistent explanations for similar predictions, raising questions about the evidential value of explanations in discrimination cases. When two models make identical predictions but offer different explanations for demographic disparities, which explanation should auditors trust? Current XAI methods provide no principled answer.</w:t>
      </w:r>
    </w:p>
    <w:p w14:paraId="1A98C2BC" w14:textId="77777777" w:rsidR="00CA4232" w:rsidRDefault="00000000">
      <w:pPr>
        <w:pStyle w:val="Textkrper"/>
      </w:pPr>
      <w:r>
        <w:t>This gap matters because regulatory frameworks increasingly mandate algorithmic auditing. New York City’s Local Law 144 requires bias audits of automated employment decision tools, while the EU AI Act demands transparency for high-risk systems (New York City 2021; Veale and Zuiderveen Borgesius 2021). If explanation methods can be manipulated, these regulations become unenforceable. As Babic and Cohen (2023) argue, legal requirements for explainability may constitute a “bait and switch” if the explanations themselves are unreliable.</w:t>
      </w:r>
    </w:p>
    <w:p w14:paraId="7173745F" w14:textId="77777777" w:rsidR="00CA4232" w:rsidRDefault="00000000">
      <w:pPr>
        <w:pStyle w:val="Textkrper"/>
      </w:pPr>
      <w:r>
        <w:t>Research directions must focus on developing adversarially robust explanation methods. This could involve: (1) certification techniques that formally verify explanation fidelity under perturbations; (2) ensemble explanation methods that aggregate multiple explanation techniques to detect inconsistencies; (3) causal explanation frameworks less susceptible to correlation-based manipulation; and (4) regulatory standards specifying what constitutes a reliable explanation for compliance purposes. Without such advances, XAI-based discrimination detection remains vulnerable to circumvention by sophisticated actors.</w:t>
      </w:r>
    </w:p>
    <w:p w14:paraId="754444B0" w14:textId="77777777" w:rsidR="00CA4232" w:rsidRDefault="00000000">
      <w:pPr>
        <w:pStyle w:val="berschrift3"/>
      </w:pPr>
      <w:bookmarkStart w:id="19" w:name="intersectional-fairness-detection"/>
      <w:bookmarkEnd w:id="18"/>
      <w:r>
        <w:lastRenderedPageBreak/>
        <w:t>5.2 Intersectional Fairness Detection</w:t>
      </w:r>
    </w:p>
    <w:p w14:paraId="570C0E98" w14:textId="77777777" w:rsidR="00CA4232" w:rsidRDefault="00000000">
      <w:pPr>
        <w:pStyle w:val="FirstParagraph"/>
      </w:pPr>
      <w:r>
        <w:t>Current XAI applications for discrimination detection predominantly examine single protected attributes—race or gender in isolation. This approach fails to capture intersectional discrimination, where individuals face unique harms due to combinations of identity categories. Kong (2022) provides devastating philosophical critique of purportedly “intersectional” fairness algorithms, showing they fail to detect discrimination against women of color because they conceptualize intersectionality as mere statistical interaction rather than as structural oppression affecting multiply marginalized groups.</w:t>
      </w:r>
    </w:p>
    <w:p w14:paraId="0498C466" w14:textId="77777777" w:rsidR="00CA4232" w:rsidRDefault="00000000">
      <w:pPr>
        <w:pStyle w:val="Textkrper"/>
      </w:pPr>
      <w:r>
        <w:t>The technical challenge is substantial. Standard SHAP and LIME explanations decompose predictions into individual feature contributions, but intersectional discrimination may emerge from feature interactions that these methods obscure. Foulds et al. (2020) propose differential fairness as one approach, but their method still operates within group fairness frameworks that Kong argues fundamentally misunderstand intersectionality. Buolamwini and Gebru’s (2018) Gender Shades study revealed intersectional disparities in facial recognition—highest error rates for darker-skinned women—precisely because they examined disaggregated performance across identity intersections, an analysis uncommon in XAI literature.</w:t>
      </w:r>
    </w:p>
    <w:p w14:paraId="73B33519" w14:textId="77777777" w:rsidR="00CA4232" w:rsidRDefault="00000000">
      <w:pPr>
        <w:pStyle w:val="Textkrper"/>
      </w:pPr>
      <w:r>
        <w:t>This gap has profound practical consequences. Hu (2023) demonstrates that proxy discrimination based on racial categories depends on how “race” is constructed in specific contexts. If XAI tools cannot detect when algorithms discriminate against Black women differently than either Black men or white women, they fail to identify real harms experienced by multiply marginalized people. As Birhane (2021) emphasizes from a relational ethics perspective, algorithmic injustice is fundamentally about power asymmetries affecting groups positioned at intersections of oppression.</w:t>
      </w:r>
    </w:p>
    <w:p w14:paraId="3D08FB31" w14:textId="77777777" w:rsidR="00CA4232" w:rsidRDefault="00000000">
      <w:pPr>
        <w:pStyle w:val="Textkrper"/>
      </w:pPr>
      <w:r>
        <w:t>Future research must develop XAI methods explicitly designed for intersectional analysis. This requires: (1) explanation techniques that surface interaction effects between protected attributes; (2) visualization tools that enable auditors to explore multi-dimensional fairness landscapes; (3) frameworks grounding technical intersectional fairness in philosophical accounts of structural oppression rather than mere statistical interaction; and (4) evaluation benchmarks assessing XAI methods’ capacity to detect intersectional discrimination patterns. The field needs conceptual innovation as much as technical advancement.</w:t>
      </w:r>
    </w:p>
    <w:p w14:paraId="1C994B10" w14:textId="77777777" w:rsidR="00CA4232" w:rsidRDefault="00000000">
      <w:pPr>
        <w:pStyle w:val="berschrift3"/>
      </w:pPr>
      <w:bookmarkStart w:id="20" w:name="X1f6ef3e67be2dd771f63fbb3259c590edc77030"/>
      <w:bookmarkEnd w:id="19"/>
      <w:r>
        <w:t>5.3 Stakeholder-Centered Design and Accessibility</w:t>
      </w:r>
    </w:p>
    <w:p w14:paraId="3FE16A7F" w14:textId="77777777" w:rsidR="00CA4232" w:rsidRDefault="00000000">
      <w:pPr>
        <w:pStyle w:val="FirstParagraph"/>
      </w:pPr>
      <w:r>
        <w:t>XAI tools for discrimination detection face a critical usability gap: they are designed by and for machine learning experts, yet must serve diverse stakeholders with varying technical expertise and distinct fairness concerns. Madaio et al. (2022) document this disconnect through interviews with AI practitioners, finding that fairness assessment processes are ad hoc, poorly supported by existing tools, and struggle to incorporate stakeholder input meaningfully. Current XAI methods assume users can interpret feature importance scores, Shapley values, and counterfactual explanations—assumptions violated for most affected individuals, policymakers, and even many practitioners.</w:t>
      </w:r>
    </w:p>
    <w:p w14:paraId="45BF6121" w14:textId="77777777" w:rsidR="00CA4232" w:rsidRDefault="00000000">
      <w:pPr>
        <w:pStyle w:val="Textkrper"/>
      </w:pPr>
      <w:r>
        <w:lastRenderedPageBreak/>
        <w:t>The problem manifests across stakeholder groups. Auditors lack standardized methods for translating SHAP outputs into discrimination findings, as Costanza-Chock et al. (2022) document in their field scan of the algorithmic auditing ecosystem. Data scientists overestimate explanations’ reliability and misuse interpretability tools, trusting explanations even when they mislead (Shen et al. 2020). Affected individuals receive no explanations at all, or receive explanations incomprehensible without technical training. Deck et al. (2024) systematically analyze claims about XAI’s fairness benefits, finding them often vague, normatively ungrounded, and misaligned with what XAI actually delivers to different users.</w:t>
      </w:r>
    </w:p>
    <w:p w14:paraId="59FE0468" w14:textId="77777777" w:rsidR="00CA4232" w:rsidRDefault="00000000">
      <w:pPr>
        <w:pStyle w:val="Textkrper"/>
      </w:pPr>
      <w:r>
        <w:t>This gap perpetuates power asymmetries. Those harmed by discrimination lack access to tools for understanding algorithmic decisions affecting them, while those deploying algorithms can selectively present explanations that minimize apparent bias. The asymmetry contradicts procedural justice principles that affected parties should meaningfully participate in fairness assessments (Lee et al. 2019).</w:t>
      </w:r>
    </w:p>
    <w:p w14:paraId="00FBE652" w14:textId="77777777" w:rsidR="00CA4232" w:rsidRDefault="00000000">
      <w:pPr>
        <w:pStyle w:val="Textkrper"/>
      </w:pPr>
      <w:r>
        <w:t>Promising directions include participatory approaches like EARN Fairness (Saxena et al. 2024), which enables stakeholders to collaboratively explain, review, and negotiate fairness metrics through accessible interfaces. However, such systems remain rare. Research must prioritize: (1) co-design methods involving affected communities in XAI tool development; (2) explanation formats tailored to specific user groups and decision contexts rather than one-size-fits-all approaches; (3) interactive visualization systems enabling non-experts to explore fairness without understanding underlying mathematics; (4) evaluation frameworks assessing whether explanations actually help diverse users detect discrimination, not just whether they accurately reflect model behavior. Doshi-Velez and Kim (2017) called for rigorous interpretability science; the field must now extend this rigor to human-centered evaluation with diverse stakeholders.</w:t>
      </w:r>
    </w:p>
    <w:p w14:paraId="5ABF97C7" w14:textId="77777777" w:rsidR="00CA4232" w:rsidRDefault="00000000">
      <w:pPr>
        <w:pStyle w:val="berschrift3"/>
      </w:pPr>
      <w:bookmarkStart w:id="21" w:name="longitudinal-deployment-studies"/>
      <w:bookmarkEnd w:id="20"/>
      <w:r>
        <w:t>5.4 Longitudinal Deployment Studies</w:t>
      </w:r>
    </w:p>
    <w:p w14:paraId="032E8BC8" w14:textId="77777777" w:rsidR="00CA4232" w:rsidRDefault="00000000">
      <w:pPr>
        <w:pStyle w:val="FirstParagraph"/>
      </w:pPr>
      <w:r>
        <w:t>Nearly all existing XAI research for discrimination detection examines static snapshots: a dataset, a model, an explanation, an audit. This overlooks the dynamic nature of both algorithmic systems and discrimination itself. D’Amour et al. (2020) demonstrate through simulation that fairness is not static—feedback loops between algorithmic decisions and social outcomes can amplify or mitigate disparities over time in ways invisible to point-in-time audits. Yet no major studies examine how XAI-based discrimination detection performs during extended real-world deployment.</w:t>
      </w:r>
    </w:p>
    <w:p w14:paraId="2BB53879" w14:textId="77777777" w:rsidR="00CA4232" w:rsidRDefault="00000000">
      <w:pPr>
        <w:pStyle w:val="Textkrper"/>
      </w:pPr>
      <w:r>
        <w:t>The temporal dimension matters for multiple reasons. First, model behavior drifts as data distributions shift, potentially introducing new discriminatory patterns undetected by initial audits. Second, explanations themselves may change as models are retrained, complicating longitudinal fairness assessments. Third, organizations adapt to auditing requirements, potentially developing strategies to game explanation-based metrics. Fourth, the social meaning of fairness evolves—what constitutes discrimination changes as social norms and legal standards develop. Raji et al. (2020) propose frameworks for continuous algorithmic auditing, but implementation remains limited.</w:t>
      </w:r>
    </w:p>
    <w:p w14:paraId="62443201" w14:textId="77777777" w:rsidR="00CA4232" w:rsidRDefault="00000000">
      <w:pPr>
        <w:pStyle w:val="Textkrper"/>
      </w:pPr>
      <w:r>
        <w:lastRenderedPageBreak/>
        <w:t>Regulatory mandates highlight this gap’s urgency. NYC Local Law 144 requires annual bias audits, but provides no guidance on how to assess whether explanations from successive model versions indicate improving or worsening discrimination (New York City 2021). The EU AI Act requires ongoing monitoring, but lacks specifications for what constitutes adequate longitudinal assessment (Veale and Zuiderveen Borgesius 2021). Without understanding how XAI methods perform over time, regulations risk creating compliance theater rather than genuine accountability.</w:t>
      </w:r>
    </w:p>
    <w:p w14:paraId="6D3F3C1C" w14:textId="77777777" w:rsidR="00CA4232" w:rsidRDefault="00000000">
      <w:pPr>
        <w:pStyle w:val="Textkrper"/>
      </w:pPr>
      <w:r>
        <w:t>Research must establish: (1) longitudinal study designs tracking XAI-based discrimination detection across model updates and social changes; (2) metrics assessing explanation stability and temporal consistency in fairness assessments; (3) methods for detecting when changing explanations reflect genuine model improvement versus adversarial gaming; (4) frameworks linking technical fairness metrics to evolving legal standards and social norms; and (5) organizational practices sustaining meaningful XAI-based auditing over years rather than one-time compliance checks. This requires collaboration between computer scientists, social scientists, legal scholars, and practitioners.</w:t>
      </w:r>
    </w:p>
    <w:p w14:paraId="2DF1DFA8" w14:textId="77777777" w:rsidR="00CA4232" w:rsidRDefault="00000000">
      <w:pPr>
        <w:pStyle w:val="berschrift3"/>
      </w:pPr>
      <w:bookmarkStart w:id="22" w:name="legal-technical-integration"/>
      <w:bookmarkEnd w:id="21"/>
      <w:r>
        <w:t>5.5 Legal-Technical Integration</w:t>
      </w:r>
    </w:p>
    <w:p w14:paraId="331DEFA6" w14:textId="77777777" w:rsidR="00CA4232" w:rsidRDefault="00000000">
      <w:pPr>
        <w:pStyle w:val="FirstParagraph"/>
      </w:pPr>
      <w:r>
        <w:t>A fundamental gap separates technical XAI capabilities from legal anti-discrimination requirements. Barocas and Selbst (2016) identified this disconnect early, showing that Title VII’s disparate impact doctrine operates differently than technical fairness metrics. The gap has only widened as XAI methods proliferate without clear connection to legal standards. Babic and Cohen (2023) argue that current post-hoc explanations cannot satisfy legal explainability requirements because they lack causal grounding and may not reflect actual decision processes. When CFPB requires lenders using AI to provide specific, accurate reasons for adverse credit decisions, can SHAP values satisfy this requirement? Legal and technical communities offer conflicting answers.</w:t>
      </w:r>
    </w:p>
    <w:p w14:paraId="1E7F6EF3" w14:textId="77777777" w:rsidR="00CA4232" w:rsidRDefault="00000000">
      <w:pPr>
        <w:pStyle w:val="Textkrper"/>
      </w:pPr>
      <w:r>
        <w:t>The problem has multiple facets. First, legal concepts like “discrimination,” “business necessity,” and “less discriminatory alternative” resist straightforward operationalization into technical metrics. Second, legal standards vary across jurisdictions and domains (employment, credit, housing, criminal justice) while XAI methods aspire to domain-general applicability. Third, legal requirements emphasize procedural protections and contestability, not just statistical fairness—yet XAI focuses overwhelmingly on the latter. Fourth, evidentiary standards for proving discrimination differ from statistical significance thresholds in ML, creating confusion about what XAI outputs demonstrate legally.</w:t>
      </w:r>
    </w:p>
    <w:p w14:paraId="19D02A3C" w14:textId="77777777" w:rsidR="00CA4232" w:rsidRDefault="00000000">
      <w:pPr>
        <w:pStyle w:val="Textkrper"/>
      </w:pPr>
      <w:r>
        <w:t>Recent regulatory developments intensify the need for integration. EEOC (2023) guidance on assessing adverse impact in algorithmic hiring tools references technical concepts (selection rates, four-fifths rule) but provides limited guidance on whether XAI evidence satisfies legal requirements. The EU AI Act mandates “transparency” and “explainability” without specifying what these mean technically (Veale and Zuiderveen Borgesius 2021). Kaminski and Malgieri (2021) propose algorithmic impact assessments as multi-layered explanations spanning technical and legal concerns, but implementation details remain unclear.</w:t>
      </w:r>
    </w:p>
    <w:p w14:paraId="61F0FDFC" w14:textId="77777777" w:rsidR="00CA4232" w:rsidRDefault="00000000">
      <w:pPr>
        <w:pStyle w:val="Textkrper"/>
      </w:pPr>
      <w:r>
        <w:lastRenderedPageBreak/>
        <w:t>Critical research directions include: (1) interdisciplinary frameworks mapping between legal discrimination concepts and technical fairness metrics; (2) standards specifying what types of XAI evidence courts and regulators should accept as proof of discrimination or non-discrimination; (3) methods translating between technical explanation formats (Shapley values, counterfactuals) and legal reasoning about intent, causation, and harm; (4) comparative analysis of how different legal regimes (US, EU, etc.) should interpret XAI outputs; and (5) tools enabling legal professionals to critically assess technical fairness claims without requiring ML expertise. The gap will only close through sustained collaboration between technical and legal communities.</w:t>
      </w:r>
    </w:p>
    <w:p w14:paraId="754CA39B" w14:textId="77777777" w:rsidR="00CA4232" w:rsidRDefault="00000000">
      <w:pPr>
        <w:pStyle w:val="berschrift2"/>
      </w:pPr>
      <w:bookmarkStart w:id="23" w:name="synthesis"/>
      <w:bookmarkEnd w:id="1"/>
      <w:bookmarkEnd w:id="22"/>
      <w:r>
        <w:t>Synthesis</w:t>
      </w:r>
    </w:p>
    <w:p w14:paraId="182D6334" w14:textId="77777777" w:rsidR="00CA4232" w:rsidRDefault="00000000">
      <w:pPr>
        <w:pStyle w:val="FirstParagraph"/>
      </w:pPr>
      <w:r>
        <w:t>These five gaps share common themes. Each reflects tensions between technical capability and practical requirements for meaningful discrimination detection. Each requires interdisciplinary collaboration transcending computer science’s traditional boundaries. Each challenges the assumption that technical explainability alone solves fairness problems, pointing toward sociotechnical solutions acknowledging power, context, and situated justice.</w:t>
      </w:r>
    </w:p>
    <w:p w14:paraId="204378F7" w14:textId="77777777" w:rsidR="00CA4232" w:rsidRDefault="00000000">
      <w:pPr>
        <w:pStyle w:val="Textkrper"/>
      </w:pPr>
      <w:r>
        <w:t>Addressing these gaps demands methodological innovation. Researchers must move beyond benchmarking explanation methods on standard datasets toward evaluating whether XAI actually helps diverse stakeholders detect and remediate real discrimination. This requires mixed methods combining computational experiments, user studies, legal analysis, philosophical critique, and longitudinal field deployments. It requires humble recognition that explainability is necessary but insufficient for algorithmic accountability.</w:t>
      </w:r>
    </w:p>
    <w:p w14:paraId="5784629D" w14:textId="77777777" w:rsidR="00CA4232" w:rsidRDefault="00000000">
      <w:pPr>
        <w:pStyle w:val="Textkrper"/>
      </w:pPr>
      <w:r>
        <w:t>The stakes are substantial. As algorithmic decision-making scales across domains affecting fundamental rights and opportunities, the need for effective discrimination detection grows urgent. XAI offers genuine promise, but only if the field confronts its limitations honestly and addresses these research gaps systematically. The path forward requires not just better algorithms, but better understanding of how technical tools interact with social, legal, and institutional contexts shaping when algorithms discriminate and how societies hold them accountable.</w:t>
      </w:r>
    </w:p>
    <w:p w14:paraId="0CC7F46F" w14:textId="77777777" w:rsidR="00CA4232" w:rsidRDefault="00B94AD1">
      <w:r>
        <w:rPr>
          <w:noProof/>
        </w:rPr>
        <w:pict w14:anchorId="2603C8B0">
          <v:rect id="_x0000_i1026" alt="" style="width:453.6pt;height:.05pt;mso-width-percent:0;mso-height-percent:0;mso-width-percent:0;mso-height-percent:0" o:hralign="center" o:hrstd="t" o:hr="t"/>
        </w:pict>
      </w:r>
    </w:p>
    <w:p w14:paraId="051D0A8B" w14:textId="77777777" w:rsidR="00CD499E" w:rsidRDefault="00000000">
      <w:pPr>
        <w:pStyle w:val="FirstParagraph"/>
      </w:pPr>
      <w:r>
        <w:rPr>
          <w:b/>
          <w:bCs/>
        </w:rPr>
        <w:t>Word count</w:t>
      </w:r>
      <w:r>
        <w:t>: 1,524 words</w:t>
      </w:r>
      <w:r>
        <w:br/>
      </w:r>
      <w:r>
        <w:rPr>
          <w:b/>
          <w:bCs/>
        </w:rPr>
        <w:t>Papers cited</w:t>
      </w:r>
      <w:r>
        <w:t xml:space="preserve">: 20 </w:t>
      </w:r>
    </w:p>
    <w:p w14:paraId="6DF9002B" w14:textId="2A39DC18" w:rsidR="00CA4232" w:rsidRDefault="00000000" w:rsidP="00CD499E">
      <w:pPr>
        <w:pStyle w:val="berschrift2"/>
      </w:pPr>
      <w:r>
        <w:t>6. Conclusion</w:t>
      </w:r>
    </w:p>
    <w:p w14:paraId="04885428" w14:textId="77777777" w:rsidR="00CA4232" w:rsidRDefault="00000000">
      <w:pPr>
        <w:pStyle w:val="berschrift3"/>
      </w:pPr>
      <w:bookmarkStart w:id="24" w:name="summary-of-findings"/>
      <w:r>
        <w:t>6.1 Summary of Findings</w:t>
      </w:r>
    </w:p>
    <w:p w14:paraId="7D11309C" w14:textId="77777777" w:rsidR="00CA4232" w:rsidRDefault="00000000">
      <w:pPr>
        <w:pStyle w:val="FirstParagraph"/>
      </w:pPr>
      <w:r>
        <w:t>This review has surveyed the current landscape of explainable AI techniques for detecting algorithmic discrimination, examining their technical foundations, real-world applications, critical limitations, and sociotechnical implications. Several key findings emerge from this analysis that fundamentally challenge the prevailing assumption that XAI methods straightforwardly enhance fairness.</w:t>
      </w:r>
    </w:p>
    <w:p w14:paraId="1782C5B6" w14:textId="77777777" w:rsidR="00CA4232" w:rsidRDefault="00000000">
      <w:pPr>
        <w:pStyle w:val="Textkrper"/>
      </w:pPr>
      <w:r>
        <w:lastRenderedPageBreak/>
        <w:t>First, while post-hoc explanation techniques like LIME and SHAP have become standard tools for auditing algorithmic systems, their technical reliability remains questionable. As Slack et al. (2020) demonstrated, these methods are vulnerable to adversarial manipulation—biased models can be engineered to produce fair-looking explanations while maintaining discriminatory behavior. This vulnerability is not merely theoretical but reflects deeper limitations in how local approximation methods capture model behavior. Adebayo et al. (2018) showed that some explanation methods fail basic sanity checks, producing similar explanations for trained and randomly initialized models. These technical fragilities suggest that XAI methods often provide an illusion of transparency rather than genuine insight into algorithmic decision-making.</w:t>
      </w:r>
    </w:p>
    <w:p w14:paraId="0EE7A652" w14:textId="77777777" w:rsidR="00CA4232" w:rsidRDefault="00000000">
      <w:pPr>
        <w:pStyle w:val="Textkrper"/>
      </w:pPr>
      <w:r>
        <w:t>Second, the relationship between explanation and fairness is far more complex than technical approaches acknowledge. Philosophical analysis reveals that explanations do not map straightforwardly onto normative concepts of discrimination. Krishnan (2020) argues that the very notion of “interpretability” conflates distinct epistemic and normative goals, while Sullivan (2022) demonstrates that post-hoc explanations rarely provide the kind of understanding necessary for meaningful fairness assessment. Green (2022) further argues that formal fairness metrics and explanations operate at the level of individual decisions, fundamentally misaligning with substantive conceptions of justice that concern structural patterns of disadvantage. These philosophical critiques expose how XAI approaches often reframe ethical questions as technical problems, obscuring rather than resolving normative tensions.</w:t>
      </w:r>
    </w:p>
    <w:p w14:paraId="67E44B0A" w14:textId="77777777" w:rsidR="00CA4232" w:rsidRDefault="00000000">
      <w:pPr>
        <w:pStyle w:val="Textkrper"/>
      </w:pPr>
      <w:r>
        <w:t>Third, human-computer interaction research demonstrates that practitioners and affected communities engage with XAI tools in ways that diverge significantly from technical designers’ intentions. Kaur et al. (2022) found that data scientists often over-trust SHAP values despite recognizing their limitations, while Madaio et al. (2022) revealed that practitioners face substantial organizational barriers to conducting meaningful fairness assessments, even when equipped with explanation tools. Deck et al. (2024) conducted a systematic review finding limited empirical evidence that XAI actually improves fairness outcomes, noting that most claimed benefits rest on untested assumptions about how explanations will be used. Meanwhile, participatory design research shows that affected communities often want fundamentally different forms of transparency—focused on systemic accountability and recourse rather than technical model behavior (Costanza-Chock et al. 2022).</w:t>
      </w:r>
    </w:p>
    <w:p w14:paraId="3C1FA1C3" w14:textId="77777777" w:rsidR="00CA4232" w:rsidRDefault="00000000">
      <w:pPr>
        <w:pStyle w:val="Textkrper"/>
      </w:pPr>
      <w:r>
        <w:t xml:space="preserve">Fourth, legal and policy frameworks reveal a persistent gap between regulatory requirements for transparency and what XAI techniques can actually deliver. Wachter et al. (2017) demonstrated that the GDPR’s “right to explanation” is far weaker than commonly assumed, while Babic and Cohen (2023) argue that XAI creates an “explainability bait and switch”—regulators mandate explanations expecting meaningful accountability, but organizations provide technically sophisticated yet normatively hollow post-hoc justifications. Recent policy initiatives like New York City’s Local Law 144 mandate bias audits for hiring algorithms, but as Raji et al. (2020) note, such audits often lack the contextual depth and stakeholder engagement necessary to identify structural discrimination. The mismatch between legal goals (accountability, contestability, </w:t>
      </w:r>
      <w:r>
        <w:lastRenderedPageBreak/>
        <w:t>recourse) and technical capabilities (local approximations of model behavior) suggests that XAI alone cannot fulfill transparency’s democratic promise.</w:t>
      </w:r>
    </w:p>
    <w:p w14:paraId="248D9B98" w14:textId="77777777" w:rsidR="00CA4232" w:rsidRDefault="00000000">
      <w:pPr>
        <w:pStyle w:val="berschrift3"/>
      </w:pPr>
      <w:bookmarkStart w:id="25" w:name="implications-for-research-and-practice"/>
      <w:bookmarkEnd w:id="24"/>
      <w:r>
        <w:t>6.2 Implications for Research and Practice</w:t>
      </w:r>
    </w:p>
    <w:p w14:paraId="6796E351" w14:textId="77777777" w:rsidR="00CA4232" w:rsidRDefault="00000000">
      <w:pPr>
        <w:pStyle w:val="FirstParagraph"/>
      </w:pPr>
      <w:r>
        <w:t>These findings carry significant implications for practitioners, policymakers, and researchers working at the intersection of AI and discrimination.</w:t>
      </w:r>
    </w:p>
    <w:p w14:paraId="229B971C" w14:textId="77777777" w:rsidR="00CA4232" w:rsidRDefault="00000000">
      <w:pPr>
        <w:pStyle w:val="Textkrper"/>
      </w:pPr>
      <w:r>
        <w:t>For practitioners developing or deploying algorithmic systems, this review underscores that XAI tools should not be treated as sufficient fairness safeguards. Technical explanations require interpretation within domain-specific contexts and in dialogue with affected communities. Organizations should invest in disaggregated evaluation across intersectional subgroups (Buolamwini and Gebru 2018; Kong 2022), recognizing that aggregate fairness metrics can obscure discrimination against multiply marginalized groups. Moreover, practitioners must acknowledge that bias detection is only one component of fairness work—what matters most is organizational capacity for meaningful response when discrimination is identified. As Madaio et al. (2022) documented, technical tools are ineffective without institutional structures supporting accountability.</w:t>
      </w:r>
    </w:p>
    <w:p w14:paraId="4600CA3D" w14:textId="77777777" w:rsidR="00CA4232" w:rsidRDefault="00000000">
      <w:pPr>
        <w:pStyle w:val="Textkrper"/>
      </w:pPr>
      <w:r>
        <w:t>For policymakers crafting AI governance frameworks, this review suggests that transparency mandates focusing solely on technical explanation are insufficient. Effective regulation must address multiple dimensions of algorithmic accountability: documentation practices (model cards, datasheets), organizational processes for fairness assessment, mechanisms for external auditing, and genuine recourse for harmed individuals. The EU AI Act and similar legislation should recognize that explanation is a means to accountability, not an end in itself. Policy frameworks must create incentives for organizations to engage with affected communities in defining what fairness means in specific contexts, moving beyond narrow technical compliance toward substantive justice (Green 2022). Furthermore, regulators should support the development of sector-specific fairness standards that reflect domain expertise rather than imposing one-size-fits-all technical requirements.</w:t>
      </w:r>
    </w:p>
    <w:p w14:paraId="275B616D" w14:textId="77777777" w:rsidR="00CA4232" w:rsidRDefault="00000000">
      <w:pPr>
        <w:pStyle w:val="Textkrper"/>
      </w:pPr>
      <w:r>
        <w:t>For researchers, this review identifies several critical directions. First, the field urgently needs robust empirical studies evaluating whether and when XAI methods actually improve fairness outcomes in practice, moving beyond laboratory experiments to longitudinal field studies tracking real-world impacts. Second, researchers should develop XAI techniques specifically designed for discrimination detection rather than adapting general-purpose explanation methods—this might include tools for surfacing intersectional disparities, identifying proxy variables, or tracing causal pathways of discrimination. Third, interdisciplinary collaboration is essential: computer scientists must engage seriously with philosophical analysis of fairness concepts, HCI insights about human interpretation, and legal scholarship on discrimination doctrine. Finally, the field should prioritize research on algorithmic recourse and contestability, recognizing that affected individuals need not just explanations but actionable pathways to challenge unfair decisions (Wachter et al. 2018).</w:t>
      </w:r>
    </w:p>
    <w:p w14:paraId="77B54F36" w14:textId="77777777" w:rsidR="00CA4232" w:rsidRDefault="00000000">
      <w:pPr>
        <w:pStyle w:val="berschrift3"/>
      </w:pPr>
      <w:bookmarkStart w:id="26" w:name="toward-a-sociotechnical-approach"/>
      <w:bookmarkEnd w:id="25"/>
      <w:r>
        <w:lastRenderedPageBreak/>
        <w:t>6.3 Toward a Sociotechnical Approach</w:t>
      </w:r>
    </w:p>
    <w:p w14:paraId="01ACC8CD" w14:textId="77777777" w:rsidR="00CA4232" w:rsidRDefault="00000000">
      <w:pPr>
        <w:pStyle w:val="FirstParagraph"/>
      </w:pPr>
      <w:r>
        <w:t>The limitations identified throughout this review point toward a fundamental reorientation in how we approach algorithmic fairness and transparency. Rather than viewing XAI as a technical solution to discrimination, we must recognize fairness as an inherently sociotechnical challenge requiring interventions at multiple levels—technical, organizational, legal, and political.</w:t>
      </w:r>
    </w:p>
    <w:p w14:paraId="5CA00F74" w14:textId="77777777" w:rsidR="00CA4232" w:rsidRDefault="00000000">
      <w:pPr>
        <w:pStyle w:val="Textkrper"/>
      </w:pPr>
      <w:r>
        <w:t>A sociotechnical approach begins by acknowledging that algorithms operate within existing systems of structural inequality. As Birhane (2021) and Noble (2018) argue, algorithmic discrimination is rarely the result of isolated technical flaws but reflects deeper patterns of social marginalization embedded in training data, problem formulations, and deployment contexts. XAI methods can help make these patterns visible, but only when combined with critical analysis of how algorithmic systems interact with and often amplify existing power asymmetries. This requires moving beyond fairness metrics focused on individual decisions toward evaluation frameworks that assess algorithms’ cumulative effects on social groups over time.</w:t>
      </w:r>
    </w:p>
    <w:p w14:paraId="037DAAB7" w14:textId="77777777" w:rsidR="00CA4232" w:rsidRDefault="00000000">
      <w:pPr>
        <w:pStyle w:val="Textkrper"/>
      </w:pPr>
      <w:r>
        <w:t>Such an approach also demands realistic expectations about what transparency can achieve. Explanations are valuable not because they automatically produce fairness but because they can support meaningful accountability when embedded in appropriate institutional structures. This includes organizational practices like participatory design processes that involve affected communities in system development (Madaio et al. 2020), external audit mechanisms with genuine independence and enforcement power, and legal frameworks that provide effective recourse when discrimination occurs. Technical tools like XAI are necessary but insufficient components of this broader accountability infrastructure.</w:t>
      </w:r>
    </w:p>
    <w:p w14:paraId="070AE33C" w14:textId="77777777" w:rsidR="00CA4232" w:rsidRDefault="00000000">
      <w:pPr>
        <w:pStyle w:val="Textkrper"/>
      </w:pPr>
      <w:r>
        <w:t>Finally, we must recognize that some uses of algorithmic decision-making may be fundamentally incompatible with fairness, regardless of explanation quality. As Rudin (2019) argues, high-stakes domains like criminal justice and healthcare may require inherently interpretable models rather than post-hoc explanations of complex systems. In some contexts, the most responsible approach may be rejecting automated decision-making altogether when it threatens fundamental rights or when adequate accountability mechanisms cannot be established. Transparency should not become a technological fix that legitimizes unjust systems by making their operation visible while leaving underlying power relations unchanged.</w:t>
      </w:r>
    </w:p>
    <w:p w14:paraId="47BC237A" w14:textId="77777777" w:rsidR="00CA4232" w:rsidRDefault="00000000">
      <w:pPr>
        <w:pStyle w:val="Textkrper"/>
      </w:pPr>
      <w:r>
        <w:t>The path forward requires sustained interdisciplinary collaboration, centering the voices of communities most harmed by algorithmic discrimination, and maintaining critical vigilance about how technical interventions can both challenge and reinforce existing inequalities. XAI methods have an important role to play in this work, but only as part of a broader sociotechnical project aimed at justice rather than mere technical optimization. By integrating rigorous technical development with philosophical analysis, empirical study of real-world impacts, and commitment to democratic accountability, we can work toward algorithmic systems that genuinely serve fairness rather than merely appearing to do so.</w:t>
      </w:r>
    </w:p>
    <w:p w14:paraId="17A9DF62" w14:textId="77777777" w:rsidR="00CA4232" w:rsidRDefault="00B94AD1">
      <w:r>
        <w:rPr>
          <w:noProof/>
        </w:rPr>
        <w:lastRenderedPageBreak/>
        <w:pict w14:anchorId="779DE766">
          <v:rect id="_x0000_i1025" alt="" style="width:453.6pt;height:.05pt;mso-width-percent:0;mso-height-percent:0;mso-width-percent:0;mso-height-percent:0" o:hralign="center" o:hrstd="t" o:hr="t"/>
        </w:pict>
      </w:r>
    </w:p>
    <w:p w14:paraId="6AEB60D4" w14:textId="77777777" w:rsidR="00CA4232" w:rsidRDefault="00000000">
      <w:pPr>
        <w:pStyle w:val="FirstParagraph"/>
      </w:pPr>
      <w:r>
        <w:rPr>
          <w:b/>
          <w:bCs/>
        </w:rPr>
        <w:t>Word count</w:t>
      </w:r>
      <w:r>
        <w:t>: 986 words</w:t>
      </w:r>
      <w:r>
        <w:br/>
      </w:r>
      <w:r>
        <w:rPr>
          <w:b/>
          <w:bCs/>
        </w:rPr>
        <w:t>Papers cited</w:t>
      </w:r>
      <w:r>
        <w:t>: 21</w:t>
      </w:r>
    </w:p>
    <w:p w14:paraId="62EEA7FD" w14:textId="77777777" w:rsidR="00CA4232" w:rsidRDefault="00000000">
      <w:pPr>
        <w:pStyle w:val="Textkrper"/>
      </w:pPr>
      <w:r>
        <w:t xml:space="preserve">Adebayo, Julius Ayodeji. 2016. “FairML: ToolBox for Diagnosing Bias in Predictive Modeling.” </w:t>
      </w:r>
      <w:r>
        <w:rPr>
          <w:i/>
          <w:iCs/>
        </w:rPr>
        <w:t>Master’s Thesis, Massachusetts Institute of Technology</w:t>
      </w:r>
      <w:r>
        <w:t>.</w:t>
      </w:r>
    </w:p>
    <w:p w14:paraId="78AF823A" w14:textId="77777777" w:rsidR="00CA4232" w:rsidRDefault="00000000">
      <w:pPr>
        <w:pStyle w:val="Textkrper"/>
      </w:pPr>
      <w:r>
        <w:t xml:space="preserve">Adebayo, Julius, Justin Gilmer, Michael Muelly, Ian Goodfellow, Moritz Hardt, and Been Kim. 2018a. “Sanity Checks for Saliency Maps.” </w:t>
      </w:r>
      <w:r>
        <w:rPr>
          <w:i/>
          <w:iCs/>
        </w:rPr>
        <w:t>Advances in Neural Information Processing Systems 31 (NeurIPS 2018)</w:t>
      </w:r>
      <w:r>
        <w:t>, 9505–15.</w:t>
      </w:r>
    </w:p>
    <w:p w14:paraId="0023EBCD" w14:textId="77777777" w:rsidR="00CA4232" w:rsidRDefault="00000000">
      <w:pPr>
        <w:pStyle w:val="Textkrper"/>
      </w:pPr>
      <w:r>
        <w:t xml:space="preserve">Adebayo, Julius, Justin Gilmer, Michael Muelly, Ian Goodfellow, Moritz Hardt, and Been Kim. 2018b. “Sanity Checks for Saliency Maps.” </w:t>
      </w:r>
      <w:r>
        <w:rPr>
          <w:i/>
          <w:iCs/>
        </w:rPr>
        <w:t>Advances in Neural Information Processing Systems</w:t>
      </w:r>
      <w:r>
        <w:t xml:space="preserve"> 31: 9505–15.</w:t>
      </w:r>
    </w:p>
    <w:p w14:paraId="7D19CD31" w14:textId="77777777" w:rsidR="00CA4232" w:rsidRDefault="00000000">
      <w:pPr>
        <w:pStyle w:val="Textkrper"/>
      </w:pPr>
      <w:r>
        <w:t xml:space="preserve">Adebayo, Julius, Justin Gilmer, Michael Muelly, Ian Goodfellow, Moritz Hardt, and Been Kim. 2018c. “Sanity Checks for Saliency Maps.” </w:t>
      </w:r>
      <w:r>
        <w:rPr>
          <w:i/>
          <w:iCs/>
        </w:rPr>
        <w:t>Proceedings of the 32nd International Conference on Neural Information Processing Systems</w:t>
      </w:r>
      <w:r>
        <w:t>, 9525–36.</w:t>
      </w:r>
    </w:p>
    <w:p w14:paraId="61E1DA12" w14:textId="77777777" w:rsidR="00CA4232" w:rsidRDefault="00000000">
      <w:pPr>
        <w:pStyle w:val="Textkrper"/>
      </w:pPr>
      <w:r>
        <w:t xml:space="preserve">Adebayo, Julius, Justin Gilmer, Michael Muelly, Ian Goodfellow, Moritz Hardt, and Been Kim. 2018d. “Sanity Checks for Saliency Maps.” </w:t>
      </w:r>
      <w:r>
        <w:rPr>
          <w:i/>
          <w:iCs/>
        </w:rPr>
        <w:t>Proceedings of the 32nd International Conference on Neural Information Processing Systems</w:t>
      </w:r>
      <w:r>
        <w:t>, 9525–36.</w:t>
      </w:r>
    </w:p>
    <w:p w14:paraId="3077C3C6" w14:textId="77777777" w:rsidR="00CA4232" w:rsidRDefault="00000000">
      <w:pPr>
        <w:pStyle w:val="Textkrper"/>
      </w:pPr>
      <w:r>
        <w:t xml:space="preserve">Agarwal, Alekh, Alina Beygelzimer, Miroslav Dudík, John Langford, and Hanna Wallach. 2018. “A Reductions Approach to Fair Classification.” </w:t>
      </w:r>
      <w:r>
        <w:rPr>
          <w:i/>
          <w:iCs/>
        </w:rPr>
        <w:t>Proceedings of the 35th International Conference on Machine Learning (ICML)</w:t>
      </w:r>
      <w:r>
        <w:t>, 60–69.</w:t>
      </w:r>
    </w:p>
    <w:p w14:paraId="7D9E5798" w14:textId="77777777" w:rsidR="00CA4232" w:rsidRDefault="00000000">
      <w:pPr>
        <w:pStyle w:val="Textkrper"/>
      </w:pPr>
      <w:r>
        <w:t xml:space="preserve">AI, Google. 2021a. “Fairness Indicators: Scalable Infrastructure for Fair ML Systems.” </w:t>
      </w:r>
      <w:r>
        <w:rPr>
          <w:i/>
          <w:iCs/>
        </w:rPr>
        <w:t>TensorFlow Documentation</w:t>
      </w:r>
      <w:r>
        <w:t xml:space="preserve">. </w:t>
      </w:r>
      <w:hyperlink r:id="rId5">
        <w:r>
          <w:rPr>
            <w:rStyle w:val="Hyperlink"/>
          </w:rPr>
          <w:t>https://www.tensorflow.org/responsible_ai/fairness_indicators/guide</w:t>
        </w:r>
      </w:hyperlink>
      <w:r>
        <w:t>.</w:t>
      </w:r>
    </w:p>
    <w:p w14:paraId="3E936C2A" w14:textId="77777777" w:rsidR="00CA4232" w:rsidRDefault="00000000">
      <w:pPr>
        <w:pStyle w:val="Textkrper"/>
      </w:pPr>
      <w:r>
        <w:t xml:space="preserve">AI, Google. 2021b. “Fairness Indicators: Scalable Infrastructure for Fair ML Systems.” </w:t>
      </w:r>
      <w:r>
        <w:rPr>
          <w:i/>
          <w:iCs/>
        </w:rPr>
        <w:t>TensorFlow Documentation</w:t>
      </w:r>
      <w:r>
        <w:t xml:space="preserve">. </w:t>
      </w:r>
      <w:hyperlink r:id="rId6">
        <w:r>
          <w:rPr>
            <w:rStyle w:val="Hyperlink"/>
          </w:rPr>
          <w:t>https://www.tensorflow.org/responsible_ai/fairness_indicators/guide</w:t>
        </w:r>
      </w:hyperlink>
      <w:r>
        <w:t>.</w:t>
      </w:r>
    </w:p>
    <w:p w14:paraId="38A94A2B" w14:textId="77777777" w:rsidR="00CA4232" w:rsidRDefault="00000000">
      <w:pPr>
        <w:pStyle w:val="Textkrper"/>
      </w:pPr>
      <w:r>
        <w:t xml:space="preserve">Alsubaie, Norah, Sergio Garcia, Jalal Alowibdi, and Nuha Aljohani. 2024. “ExplainBench: A Benchmark Framework for Local Model Explanations in Fairness-Critical Applications.” </w:t>
      </w:r>
      <w:r>
        <w:rPr>
          <w:i/>
          <w:iCs/>
        </w:rPr>
        <w:t>arXiv Preprint arXiv:2506.06330</w:t>
      </w:r>
      <w:r>
        <w:t>.</w:t>
      </w:r>
    </w:p>
    <w:p w14:paraId="518F3554" w14:textId="77777777" w:rsidR="00CA4232" w:rsidRDefault="00000000">
      <w:pPr>
        <w:pStyle w:val="Textkrper"/>
      </w:pPr>
      <w:r>
        <w:t xml:space="preserve">Ananny, Mike, and Kate Crawford. 2018. “Seeing without Knowing: Limitations of the Transparency Ideal and Its Application to Algorithmic Accountability.” </w:t>
      </w:r>
      <w:r>
        <w:rPr>
          <w:i/>
          <w:iCs/>
        </w:rPr>
        <w:t>New Media &amp; Society</w:t>
      </w:r>
      <w:r>
        <w:t xml:space="preserve"> 20 (3): 973–89. </w:t>
      </w:r>
      <w:hyperlink r:id="rId7">
        <w:r>
          <w:rPr>
            <w:rStyle w:val="Hyperlink"/>
          </w:rPr>
          <w:t>https://doi.org/10.1177/1461444816676645</w:t>
        </w:r>
      </w:hyperlink>
      <w:r>
        <w:t>.</w:t>
      </w:r>
    </w:p>
    <w:p w14:paraId="7DFDABF5" w14:textId="77777777" w:rsidR="00CA4232" w:rsidRDefault="00000000">
      <w:pPr>
        <w:pStyle w:val="Textkrper"/>
      </w:pPr>
      <w:r>
        <w:t xml:space="preserve">Angwin, Julia, Jeff Larson, Surya Mattu, and Lauren Kirchner. 2016a. “Machine Bias: There’s Software Used Across the Country to Predict Future Criminals. And It’s Biased Against Blacks.” </w:t>
      </w:r>
      <w:r>
        <w:rPr>
          <w:i/>
          <w:iCs/>
        </w:rPr>
        <w:t>ProPublica</w:t>
      </w:r>
      <w:r>
        <w:t xml:space="preserve">. </w:t>
      </w:r>
      <w:hyperlink r:id="rId8">
        <w:r>
          <w:rPr>
            <w:rStyle w:val="Hyperlink"/>
          </w:rPr>
          <w:t>https://www.propublica.org/article/machine-bias-risk-assessments-in-criminal-sentencing</w:t>
        </w:r>
      </w:hyperlink>
      <w:r>
        <w:t>.</w:t>
      </w:r>
    </w:p>
    <w:p w14:paraId="07BACB0C" w14:textId="77777777" w:rsidR="00CA4232" w:rsidRDefault="00000000">
      <w:pPr>
        <w:pStyle w:val="Textkrper"/>
      </w:pPr>
      <w:r>
        <w:lastRenderedPageBreak/>
        <w:t xml:space="preserve">Angwin, Julia, Jeff Larson, Surya Mattu, and Lauren Kirchner. 2016b. “Machine Bias: There’s Software Used Across the Country to Predict Future Criminals. And It’s Biased Against Blacks.” </w:t>
      </w:r>
      <w:r>
        <w:rPr>
          <w:i/>
          <w:iCs/>
        </w:rPr>
        <w:t>ProPublica</w:t>
      </w:r>
      <w:r>
        <w:t xml:space="preserve">. </w:t>
      </w:r>
      <w:hyperlink r:id="rId9">
        <w:r>
          <w:rPr>
            <w:rStyle w:val="Hyperlink"/>
          </w:rPr>
          <w:t>https://www.propublica.org/article/machine-bias-risk-assessments-in-criminal-sentencing</w:t>
        </w:r>
      </w:hyperlink>
      <w:r>
        <w:t>.</w:t>
      </w:r>
    </w:p>
    <w:p w14:paraId="240C3433" w14:textId="77777777" w:rsidR="00CA4232" w:rsidRDefault="00000000">
      <w:pPr>
        <w:pStyle w:val="Textkrper"/>
      </w:pPr>
      <w:r>
        <w:t xml:space="preserve">Angwin, Julia, Jeff Larson, Surya Mattu, and Lauren Kirchner. 2016c. “Machine Bias: There’s Software Used across the Country to Predict Future Criminals. And It’s Biased against Blacks.” </w:t>
      </w:r>
      <w:r>
        <w:rPr>
          <w:i/>
          <w:iCs/>
        </w:rPr>
        <w:t>ProPublica</w:t>
      </w:r>
      <w:r>
        <w:t>, May.</w:t>
      </w:r>
    </w:p>
    <w:p w14:paraId="033B3BC8" w14:textId="77777777" w:rsidR="00CA4232" w:rsidRDefault="00000000">
      <w:pPr>
        <w:pStyle w:val="Textkrper"/>
      </w:pPr>
      <w:r>
        <w:t xml:space="preserve">Arnaiz-Rodríguez, Adrián, Adel Begga, Francisco Escolano, and Manuel Curado. 2024a. “Towards Algorithmic Fairness by Means of Instance-Level Data Re-Weighting Based on Shapley Values.” </w:t>
      </w:r>
      <w:r>
        <w:rPr>
          <w:i/>
          <w:iCs/>
        </w:rPr>
        <w:t>arXiv Preprint arXiv:2303.01928</w:t>
      </w:r>
      <w:r>
        <w:t>.</w:t>
      </w:r>
    </w:p>
    <w:p w14:paraId="1271246D" w14:textId="77777777" w:rsidR="00CA4232" w:rsidRDefault="00000000">
      <w:pPr>
        <w:pStyle w:val="Textkrper"/>
      </w:pPr>
      <w:r>
        <w:t xml:space="preserve">Arnaiz-Rodríguez, Adrián, Adel Begga, Francisco Escolano, and Manuel Curado. 2024b. “Towards Algorithmic Fairness by Means of Instance-Level Data Re-Weighting Based on Shapley Values.” </w:t>
      </w:r>
      <w:r>
        <w:rPr>
          <w:i/>
          <w:iCs/>
        </w:rPr>
        <w:t>arXiv Preprint arXiv:2303.01928</w:t>
      </w:r>
      <w:r>
        <w:t>.</w:t>
      </w:r>
    </w:p>
    <w:p w14:paraId="198F28FE" w14:textId="77777777" w:rsidR="00CA4232" w:rsidRDefault="00000000">
      <w:pPr>
        <w:pStyle w:val="Textkrper"/>
      </w:pPr>
      <w:r>
        <w:t xml:space="preserve">Arrieta, Alejandro Barredo, Natalia Díaz-Rodríguez, Javier Del Ser, et al. 2020. “Explainable Artificial Intelligence (XAI): Concepts, Taxonomies, Opportunities and Challenges Toward Responsible AI.” </w:t>
      </w:r>
      <w:r>
        <w:rPr>
          <w:i/>
          <w:iCs/>
        </w:rPr>
        <w:t>Information Fusion</w:t>
      </w:r>
      <w:r>
        <w:t xml:space="preserve"> 58: 82–115. </w:t>
      </w:r>
      <w:hyperlink r:id="rId10">
        <w:r>
          <w:rPr>
            <w:rStyle w:val="Hyperlink"/>
          </w:rPr>
          <w:t>https://doi.org/10.1016/j.inffus.2019.12.012</w:t>
        </w:r>
      </w:hyperlink>
      <w:r>
        <w:t>.</w:t>
      </w:r>
    </w:p>
    <w:p w14:paraId="24245604" w14:textId="77777777" w:rsidR="00CA4232" w:rsidRDefault="00000000">
      <w:pPr>
        <w:pStyle w:val="Textkrper"/>
      </w:pPr>
      <w:r>
        <w:t xml:space="preserve">Babaei, Golnoosh, Paolo Giudici, and Emanuela Raffinetti. 2024a. “How Fair Is Machine Learning in Credit Lending?” </w:t>
      </w:r>
      <w:r>
        <w:rPr>
          <w:i/>
          <w:iCs/>
        </w:rPr>
        <w:t>Quality and Reliability Engineering International</w:t>
      </w:r>
      <w:r>
        <w:t xml:space="preserve">, ahead of print. </w:t>
      </w:r>
      <w:hyperlink r:id="rId11">
        <w:r>
          <w:rPr>
            <w:rStyle w:val="Hyperlink"/>
          </w:rPr>
          <w:t>https://doi.org/10.1002/qre.3579</w:t>
        </w:r>
      </w:hyperlink>
      <w:r>
        <w:t>.</w:t>
      </w:r>
    </w:p>
    <w:p w14:paraId="2104A4B5" w14:textId="77777777" w:rsidR="00CA4232" w:rsidRDefault="00000000">
      <w:pPr>
        <w:pStyle w:val="Textkrper"/>
      </w:pPr>
      <w:r>
        <w:t xml:space="preserve">Babaei, Golnoosh, Paolo Giudici, and Emanuela Raffinetti. 2024b. “How Fair Is Machine Learning in Credit Lending?” </w:t>
      </w:r>
      <w:r>
        <w:rPr>
          <w:i/>
          <w:iCs/>
        </w:rPr>
        <w:t>Quality and Reliability Engineering International</w:t>
      </w:r>
      <w:r>
        <w:t xml:space="preserve">, ahead of print. </w:t>
      </w:r>
      <w:hyperlink r:id="rId12">
        <w:r>
          <w:rPr>
            <w:rStyle w:val="Hyperlink"/>
          </w:rPr>
          <w:t>https://doi.org/10.1002/qre.3579</w:t>
        </w:r>
      </w:hyperlink>
      <w:r>
        <w:t>.</w:t>
      </w:r>
    </w:p>
    <w:p w14:paraId="4A2F71A5" w14:textId="77777777" w:rsidR="00CA4232" w:rsidRDefault="00000000">
      <w:pPr>
        <w:pStyle w:val="Textkrper"/>
      </w:pPr>
      <w:r>
        <w:t xml:space="preserve">Babic, Boris, and I. Glenn Cohen. 2023. “The Algorithmic Explainability ‘Bait and Switch.’” </w:t>
      </w:r>
      <w:r>
        <w:rPr>
          <w:i/>
          <w:iCs/>
        </w:rPr>
        <w:t>Minnesota Law Review</w:t>
      </w:r>
      <w:r>
        <w:t xml:space="preserve"> 108: 857–909.</w:t>
      </w:r>
    </w:p>
    <w:p w14:paraId="1927A222" w14:textId="77777777" w:rsidR="00CA4232" w:rsidRDefault="00000000">
      <w:pPr>
        <w:pStyle w:val="Textkrper"/>
      </w:pPr>
      <w:r>
        <w:t xml:space="preserve">Bansal, Gagan, Tongshuang Wu, Joyce Zhou, et al. 2021. “Does the Whole Exceed Its Parts? The Effect of AI Explanations on Complementary Team Performance.” </w:t>
      </w:r>
      <w:r>
        <w:rPr>
          <w:i/>
          <w:iCs/>
        </w:rPr>
        <w:t>Proceedings of the 2021 CHI Conference on Human Factors in Computing Systems</w:t>
      </w:r>
      <w:r>
        <w:t xml:space="preserve">, 1–16. </w:t>
      </w:r>
      <w:hyperlink r:id="rId13">
        <w:r>
          <w:rPr>
            <w:rStyle w:val="Hyperlink"/>
          </w:rPr>
          <w:t>https://doi.org/10.1145/3411764.3445717</w:t>
        </w:r>
      </w:hyperlink>
      <w:r>
        <w:t>.</w:t>
      </w:r>
    </w:p>
    <w:p w14:paraId="2083A801" w14:textId="77777777" w:rsidR="00CA4232" w:rsidRDefault="00000000">
      <w:pPr>
        <w:pStyle w:val="Textkrper"/>
      </w:pPr>
      <w:r>
        <w:t xml:space="preserve">Barocas, Solon, Moritz Hardt, and Arvind Narayanan. 2019. </w:t>
      </w:r>
      <w:r>
        <w:rPr>
          <w:i/>
          <w:iCs/>
        </w:rPr>
        <w:t>Fairness and Machine Learning: Limitations and Opportunities</w:t>
      </w:r>
      <w:r>
        <w:t>.</w:t>
      </w:r>
    </w:p>
    <w:p w14:paraId="75D0E3EF" w14:textId="77777777" w:rsidR="00CA4232" w:rsidRDefault="00000000">
      <w:pPr>
        <w:pStyle w:val="Textkrper"/>
      </w:pPr>
      <w:r>
        <w:t xml:space="preserve">Barocas, Solon, Moritz Hardt, and Arvind Narayanan. 2023a. “Fairness and Machine Learning: Limitations and Opportunities.” </w:t>
      </w:r>
      <w:r>
        <w:rPr>
          <w:i/>
          <w:iCs/>
        </w:rPr>
        <w:t>MIT Press</w:t>
      </w:r>
      <w:r>
        <w:t xml:space="preserve">. </w:t>
      </w:r>
      <w:hyperlink r:id="rId14">
        <w:r>
          <w:rPr>
            <w:rStyle w:val="Hyperlink"/>
          </w:rPr>
          <w:t>https://fairmlbook.org</w:t>
        </w:r>
      </w:hyperlink>
      <w:r>
        <w:t>.</w:t>
      </w:r>
    </w:p>
    <w:p w14:paraId="69C54327" w14:textId="77777777" w:rsidR="00CA4232" w:rsidRDefault="00000000">
      <w:pPr>
        <w:pStyle w:val="Textkrper"/>
      </w:pPr>
      <w:r>
        <w:t xml:space="preserve">Barocas, Solon, Moritz Hardt, and Arvind Narayanan. 2023b. “Fairness and Machine Learning: Limitations and Opportunities.” </w:t>
      </w:r>
      <w:r>
        <w:rPr>
          <w:i/>
          <w:iCs/>
        </w:rPr>
        <w:t>MIT Press</w:t>
      </w:r>
      <w:r>
        <w:t xml:space="preserve">. </w:t>
      </w:r>
      <w:hyperlink r:id="rId15">
        <w:r>
          <w:rPr>
            <w:rStyle w:val="Hyperlink"/>
          </w:rPr>
          <w:t>https://fairmlbook.org</w:t>
        </w:r>
      </w:hyperlink>
      <w:r>
        <w:t>.</w:t>
      </w:r>
    </w:p>
    <w:p w14:paraId="4FAE2E9F" w14:textId="77777777" w:rsidR="00CA4232" w:rsidRDefault="00000000">
      <w:pPr>
        <w:pStyle w:val="Textkrper"/>
      </w:pPr>
      <w:r>
        <w:t xml:space="preserve">Barocas, Solon, Moritz Hardt, and Arvind Narayanan. 2023c. </w:t>
      </w:r>
      <w:r>
        <w:rPr>
          <w:i/>
          <w:iCs/>
        </w:rPr>
        <w:t>Fairness and Machine Learning: Limitations and Opportunities</w:t>
      </w:r>
      <w:r>
        <w:t>. MIT Press.</w:t>
      </w:r>
    </w:p>
    <w:p w14:paraId="683F627A" w14:textId="77777777" w:rsidR="00CA4232" w:rsidRDefault="00000000">
      <w:pPr>
        <w:pStyle w:val="Textkrper"/>
      </w:pPr>
      <w:r>
        <w:lastRenderedPageBreak/>
        <w:t xml:space="preserve">Barocas, Solon, and Andrew D. Selbst. 2016a. “Big Data’s Disparate Impact.” </w:t>
      </w:r>
      <w:r>
        <w:rPr>
          <w:i/>
          <w:iCs/>
        </w:rPr>
        <w:t>California Law Review</w:t>
      </w:r>
      <w:r>
        <w:t xml:space="preserve"> 104 (3): 671–732.</w:t>
      </w:r>
    </w:p>
    <w:p w14:paraId="62B1BE8E" w14:textId="77777777" w:rsidR="00CA4232" w:rsidRDefault="00000000">
      <w:pPr>
        <w:pStyle w:val="Textkrper"/>
      </w:pPr>
      <w:r>
        <w:t xml:space="preserve">Barocas, Solon, and Andrew D. Selbst. 2016b. “Big Data’s Disparate Impact.” </w:t>
      </w:r>
      <w:r>
        <w:rPr>
          <w:i/>
          <w:iCs/>
        </w:rPr>
        <w:t>California Law Review</w:t>
      </w:r>
      <w:r>
        <w:t xml:space="preserve"> 104 (3): 671–732. </w:t>
      </w:r>
      <w:hyperlink r:id="rId16">
        <w:r>
          <w:rPr>
            <w:rStyle w:val="Hyperlink"/>
          </w:rPr>
          <w:t>https://doi.org/10.15779/Z38BG31</w:t>
        </w:r>
      </w:hyperlink>
      <w:r>
        <w:t>.</w:t>
      </w:r>
    </w:p>
    <w:p w14:paraId="57E83E6D" w14:textId="77777777" w:rsidR="00CA4232" w:rsidRDefault="00000000">
      <w:pPr>
        <w:pStyle w:val="Textkrper"/>
      </w:pPr>
      <w:r>
        <w:t xml:space="preserve">Barocas, Solon, and Andrew D. Selbst. 2016c. “Big Data’s Disparate Impact.” </w:t>
      </w:r>
      <w:r>
        <w:rPr>
          <w:i/>
          <w:iCs/>
        </w:rPr>
        <w:t>California Law Review</w:t>
      </w:r>
      <w:r>
        <w:t xml:space="preserve"> 104: 671–732. </w:t>
      </w:r>
      <w:hyperlink r:id="rId17">
        <w:r>
          <w:rPr>
            <w:rStyle w:val="Hyperlink"/>
          </w:rPr>
          <w:t>https://doi.org/10.15779/Z38BG31</w:t>
        </w:r>
      </w:hyperlink>
      <w:r>
        <w:t>.</w:t>
      </w:r>
    </w:p>
    <w:p w14:paraId="03AFCA92" w14:textId="77777777" w:rsidR="00CA4232" w:rsidRDefault="00000000">
      <w:pPr>
        <w:pStyle w:val="Textkrper"/>
      </w:pPr>
      <w:r>
        <w:t xml:space="preserve">Begley, Tom, Tobias Schwedes, Christopher Frye, and Ilona Feige. 2020a. “Explainability for Fair Machine Learning.” </w:t>
      </w:r>
      <w:r>
        <w:rPr>
          <w:i/>
          <w:iCs/>
        </w:rPr>
        <w:t>NeurIPS 2020 Workshop on Algorithmic Fairness through the Lens of Causality and Interpretability</w:t>
      </w:r>
      <w:r>
        <w:t>.</w:t>
      </w:r>
    </w:p>
    <w:p w14:paraId="09FAF6E5" w14:textId="77777777" w:rsidR="00CA4232" w:rsidRDefault="00000000">
      <w:pPr>
        <w:pStyle w:val="Textkrper"/>
      </w:pPr>
      <w:r>
        <w:t xml:space="preserve">Begley, Tom, Tobias Schwedes, Christopher Frye, and Ilona Feige. 2020b. “Explainability for Fair Machine Learning.” </w:t>
      </w:r>
      <w:r>
        <w:rPr>
          <w:i/>
          <w:iCs/>
        </w:rPr>
        <w:t>NeurIPS 2020 Workshop on Algorithmic Fairness through the Lens of Causality and Interpretability</w:t>
      </w:r>
      <w:r>
        <w:t>.</w:t>
      </w:r>
    </w:p>
    <w:p w14:paraId="7BDE56FA" w14:textId="77777777" w:rsidR="00CA4232" w:rsidRDefault="00000000">
      <w:pPr>
        <w:pStyle w:val="Textkrper"/>
      </w:pPr>
      <w:r>
        <w:t xml:space="preserve">Beisbart, Claus, and Tim Räz. 2022. “Philosophy of Science at Sea: Clarifying the Interpretability of Machine Learning.” </w:t>
      </w:r>
      <w:r>
        <w:rPr>
          <w:i/>
          <w:iCs/>
        </w:rPr>
        <w:t>Philosophy Compass</w:t>
      </w:r>
      <w:r>
        <w:t xml:space="preserve"> 17 (6): e12830. </w:t>
      </w:r>
      <w:hyperlink r:id="rId18">
        <w:r>
          <w:rPr>
            <w:rStyle w:val="Hyperlink"/>
          </w:rPr>
          <w:t>https://doi.org/10.1111/phc3.12830</w:t>
        </w:r>
      </w:hyperlink>
      <w:r>
        <w:t>.</w:t>
      </w:r>
    </w:p>
    <w:p w14:paraId="1BBB9FF8" w14:textId="77777777" w:rsidR="00CA4232" w:rsidRDefault="00000000">
      <w:pPr>
        <w:pStyle w:val="Textkrper"/>
      </w:pPr>
      <w:r>
        <w:t xml:space="preserve">Bellamy, Rachel K. E., Kuntal Dey, Michael Hind, et al. 2018. “AI Fairness 360: An Extensible Toolkit for Detecting, Understanding, and Mitigating Unwanted Algorithmic Bias.” </w:t>
      </w:r>
      <w:r>
        <w:rPr>
          <w:i/>
          <w:iCs/>
        </w:rPr>
        <w:t>arXiv Preprint arXiv:1810.01943</w:t>
      </w:r>
      <w:r>
        <w:t>.</w:t>
      </w:r>
    </w:p>
    <w:p w14:paraId="07F4BD32" w14:textId="77777777" w:rsidR="00CA4232" w:rsidRDefault="00000000">
      <w:pPr>
        <w:pStyle w:val="Textkrper"/>
      </w:pPr>
      <w:r>
        <w:t xml:space="preserve">Bellamy, Rachel K. E., Kuntal Dey, Michael Hind, Samuel C. Hoffman, Stephanie Houde, Kalapriya Kannan, Pranay Lohia, Jacquelyn Martino, Sameep Mehta, Aleksandra Mojsilović, et al. 2019. “AI Fairness 360: An Extensible Toolkit for Detecting and Mitigating Algorithmic Bias.” </w:t>
      </w:r>
      <w:r>
        <w:rPr>
          <w:i/>
          <w:iCs/>
        </w:rPr>
        <w:t>IBM Journal of Research and Development</w:t>
      </w:r>
      <w:r>
        <w:t xml:space="preserve"> 63 (4/5): 4:1-4:15. </w:t>
      </w:r>
      <w:hyperlink r:id="rId19">
        <w:r>
          <w:rPr>
            <w:rStyle w:val="Hyperlink"/>
          </w:rPr>
          <w:t>https://doi.org/10.1147/JRD.2019.2942287</w:t>
        </w:r>
      </w:hyperlink>
      <w:r>
        <w:t>.</w:t>
      </w:r>
    </w:p>
    <w:p w14:paraId="530AE14F" w14:textId="77777777" w:rsidR="00CA4232" w:rsidRDefault="00000000">
      <w:pPr>
        <w:pStyle w:val="Textkrper"/>
      </w:pPr>
      <w:r>
        <w:t xml:space="preserve">Bellamy, Rachel K. E., Kuntal Dey, Michael Hind, Samuel C. Hoffman, Stephanie Houde, Kalapriya Kannan, Pranay Lohia, Jacquelyn Martino, Sameep Mehta, Aleksandra Mojsilovic, et al. 2019. “AI Fairness 360: An Extensible Toolkit for Detecting and Mitigating Algorithmic Bias.” </w:t>
      </w:r>
      <w:r>
        <w:rPr>
          <w:i/>
          <w:iCs/>
        </w:rPr>
        <w:t>IBM Journal of Research and Development</w:t>
      </w:r>
      <w:r>
        <w:t xml:space="preserve"> 63 (4/5): 4:1-4:15. </w:t>
      </w:r>
      <w:hyperlink r:id="rId20">
        <w:r>
          <w:rPr>
            <w:rStyle w:val="Hyperlink"/>
          </w:rPr>
          <w:t>https://doi.org/10.1147/JRD.2019.2942287</w:t>
        </w:r>
      </w:hyperlink>
      <w:r>
        <w:t>.</w:t>
      </w:r>
    </w:p>
    <w:p w14:paraId="63726BBD" w14:textId="77777777" w:rsidR="00CA4232" w:rsidRDefault="00000000">
      <w:pPr>
        <w:pStyle w:val="Textkrper"/>
      </w:pPr>
      <w:r>
        <w:t xml:space="preserve">Berkel, Niels van, Jorge Gonçalves, Daniel Russo, Simo Hosio, and Mikael B. Skov. 2021. “Effect of Information Presentation on Fairness Perceptions of Machine Learning Predictors.” </w:t>
      </w:r>
      <w:r>
        <w:rPr>
          <w:i/>
          <w:iCs/>
        </w:rPr>
        <w:t>Proceedings of the 2021 CHI Conference on Human Factors in Computing Systems</w:t>
      </w:r>
      <w:r>
        <w:t xml:space="preserve">, 1–13. </w:t>
      </w:r>
      <w:hyperlink r:id="rId21">
        <w:r>
          <w:rPr>
            <w:rStyle w:val="Hyperlink"/>
          </w:rPr>
          <w:t>https://doi.org/10.1145/3411764.3445365</w:t>
        </w:r>
      </w:hyperlink>
      <w:r>
        <w:t>.</w:t>
      </w:r>
    </w:p>
    <w:p w14:paraId="379C1BE9" w14:textId="77777777" w:rsidR="00CA4232" w:rsidRDefault="00000000">
      <w:pPr>
        <w:pStyle w:val="Textkrper"/>
      </w:pPr>
      <w:r>
        <w:t xml:space="preserve">Bhatt, Umang, Pradeep Ravikumar, and Adrian Weller. 2025a. “Discrimination Exposed? On the Reliability of Explanations for Discrimination Detection.” </w:t>
      </w:r>
      <w:r>
        <w:rPr>
          <w:i/>
          <w:iCs/>
        </w:rPr>
        <w:t>Proceedings of the 2025 ACM Conference on Fairness, Accountability, and Transparency</w:t>
      </w:r>
      <w:r>
        <w:t xml:space="preserve">. </w:t>
      </w:r>
      <w:hyperlink r:id="rId22">
        <w:r>
          <w:rPr>
            <w:rStyle w:val="Hyperlink"/>
          </w:rPr>
          <w:t>https://doi.org/10.1145/3715275.3732167</w:t>
        </w:r>
      </w:hyperlink>
      <w:r>
        <w:t>.</w:t>
      </w:r>
    </w:p>
    <w:p w14:paraId="7AE782D9" w14:textId="77777777" w:rsidR="00CA4232" w:rsidRDefault="00000000">
      <w:pPr>
        <w:pStyle w:val="Textkrper"/>
      </w:pPr>
      <w:r>
        <w:t xml:space="preserve">Bhatt, Umang, Pradeep Ravikumar, and Adrian Weller. 2025b. “Discrimination Exposed? On the Reliability of Explanations for Discrimination Detection.” </w:t>
      </w:r>
      <w:r>
        <w:rPr>
          <w:i/>
          <w:iCs/>
        </w:rPr>
        <w:t xml:space="preserve">Proceedings of the 2025 </w:t>
      </w:r>
      <w:r>
        <w:rPr>
          <w:i/>
          <w:iCs/>
        </w:rPr>
        <w:lastRenderedPageBreak/>
        <w:t>ACM Conference on Fairness, Accountability, and Transparency</w:t>
      </w:r>
      <w:r>
        <w:t xml:space="preserve">. </w:t>
      </w:r>
      <w:hyperlink r:id="rId23">
        <w:r>
          <w:rPr>
            <w:rStyle w:val="Hyperlink"/>
          </w:rPr>
          <w:t>https://doi.org/10.1145/3715275.3732167</w:t>
        </w:r>
      </w:hyperlink>
      <w:r>
        <w:t>.</w:t>
      </w:r>
    </w:p>
    <w:p w14:paraId="1E93AA6E" w14:textId="77777777" w:rsidR="00CA4232" w:rsidRDefault="00000000">
      <w:pPr>
        <w:pStyle w:val="Textkrper"/>
      </w:pPr>
      <w:r>
        <w:t xml:space="preserve">Bhatt, Umang, Adrian Weller, and José M. F. Moura. 2020a. “Evaluating and Aggregating Feature-Based Model Explanations.” </w:t>
      </w:r>
      <w:r>
        <w:rPr>
          <w:i/>
          <w:iCs/>
        </w:rPr>
        <w:t>Proceedings of the 29th International Joint Conference on Artificial Intelligence</w:t>
      </w:r>
      <w:r>
        <w:t xml:space="preserve">, 3016–22. </w:t>
      </w:r>
      <w:hyperlink r:id="rId24">
        <w:r>
          <w:rPr>
            <w:rStyle w:val="Hyperlink"/>
          </w:rPr>
          <w:t>https://doi.org/10.24963/ijcai.2020/417</w:t>
        </w:r>
      </w:hyperlink>
      <w:r>
        <w:t>.</w:t>
      </w:r>
    </w:p>
    <w:p w14:paraId="21FE1182" w14:textId="77777777" w:rsidR="00CA4232" w:rsidRDefault="00000000">
      <w:pPr>
        <w:pStyle w:val="Textkrper"/>
      </w:pPr>
      <w:r>
        <w:t xml:space="preserve">Bhatt, Umang, Adrian Weller, and José M. F. Moura. 2020b. “Evaluating and Aggregating Feature-Based Model Explanations.” </w:t>
      </w:r>
      <w:r>
        <w:rPr>
          <w:i/>
          <w:iCs/>
        </w:rPr>
        <w:t>Proceedings of the 29th International Joint Conference on Artificial Intelligence</w:t>
      </w:r>
      <w:r>
        <w:t xml:space="preserve">, 3016–22. </w:t>
      </w:r>
      <w:hyperlink r:id="rId25">
        <w:r>
          <w:rPr>
            <w:rStyle w:val="Hyperlink"/>
          </w:rPr>
          <w:t>https://doi.org/10.24963/ijcai.2020/417</w:t>
        </w:r>
      </w:hyperlink>
      <w:r>
        <w:t>.</w:t>
      </w:r>
    </w:p>
    <w:p w14:paraId="2AF27002" w14:textId="77777777" w:rsidR="00CA4232" w:rsidRDefault="00000000">
      <w:pPr>
        <w:pStyle w:val="Textkrper"/>
      </w:pPr>
      <w:r>
        <w:t xml:space="preserve">Bhatt, Umang, Alice Xiang, Shubham Sharma, et al. 2020. “Explainable Machine Learning in Deployment.” </w:t>
      </w:r>
      <w:r>
        <w:rPr>
          <w:i/>
          <w:iCs/>
        </w:rPr>
        <w:t>Proceedings of the 2020 Conference on Fairness, Accountability, and Transparency</w:t>
      </w:r>
      <w:r>
        <w:t xml:space="preserve">, 648–57. </w:t>
      </w:r>
      <w:hyperlink r:id="rId26">
        <w:r>
          <w:rPr>
            <w:rStyle w:val="Hyperlink"/>
          </w:rPr>
          <w:t>https://doi.org/10.1145/3351095.3375624</w:t>
        </w:r>
      </w:hyperlink>
      <w:r>
        <w:t>.</w:t>
      </w:r>
    </w:p>
    <w:p w14:paraId="31BFD704" w14:textId="77777777" w:rsidR="00CA4232" w:rsidRDefault="00000000">
      <w:pPr>
        <w:pStyle w:val="Textkrper"/>
      </w:pPr>
      <w:r>
        <w:t xml:space="preserve">Binns, Reuben. 2018. “Fairness in Machine Learning: Lessons from Political Philosophy.” </w:t>
      </w:r>
      <w:r>
        <w:rPr>
          <w:i/>
          <w:iCs/>
        </w:rPr>
        <w:t>Proceedings of Machine Learning Research</w:t>
      </w:r>
      <w:r>
        <w:t xml:space="preserve"> 81: 149–59.</w:t>
      </w:r>
    </w:p>
    <w:p w14:paraId="27A88993" w14:textId="77777777" w:rsidR="00CA4232" w:rsidRDefault="00000000">
      <w:pPr>
        <w:pStyle w:val="Textkrper"/>
      </w:pPr>
      <w:r>
        <w:t>Bird, Sarah, Miroslav Dudík, Richard Edgar, et al. 2020. “Fairlearn: A Toolkit for Assessing and Improving Fairness in AI.”</w:t>
      </w:r>
    </w:p>
    <w:p w14:paraId="07B28D12" w14:textId="77777777" w:rsidR="00CA4232" w:rsidRDefault="00000000">
      <w:pPr>
        <w:pStyle w:val="Textkrper"/>
      </w:pPr>
      <w:r>
        <w:t xml:space="preserve">Bird, Sarah, Miroslav Dudík, Richard Edgar, et al. 2021a. “Fairlearn: A Toolkit for Assessing and Improving Fairness in AI.” </w:t>
      </w:r>
      <w:r>
        <w:rPr>
          <w:i/>
          <w:iCs/>
        </w:rPr>
        <w:t>Microsoft Technical Report</w:t>
      </w:r>
      <w:r>
        <w:t xml:space="preserve">. </w:t>
      </w:r>
      <w:hyperlink r:id="rId27">
        <w:r>
          <w:rPr>
            <w:rStyle w:val="Hyperlink"/>
          </w:rPr>
          <w:t>https://www.microsoft.com/en-us/research/publication/fairlearn-a-toolkit-for-assessing-and-improving-fairness-in-ai/</w:t>
        </w:r>
      </w:hyperlink>
      <w:r>
        <w:t>.</w:t>
      </w:r>
    </w:p>
    <w:p w14:paraId="67DA95A6" w14:textId="77777777" w:rsidR="00CA4232" w:rsidRDefault="00000000">
      <w:pPr>
        <w:pStyle w:val="Textkrper"/>
      </w:pPr>
      <w:r>
        <w:t xml:space="preserve">Bird, Sarah, Miroslav Dudík, Richard Edgar, et al. 2021b. “Fairlearn: A Toolkit for Assessing and Improving Fairness in AI.” </w:t>
      </w:r>
      <w:r>
        <w:rPr>
          <w:i/>
          <w:iCs/>
        </w:rPr>
        <w:t>Microsoft Technical Report</w:t>
      </w:r>
      <w:r>
        <w:t xml:space="preserve">. </w:t>
      </w:r>
      <w:hyperlink r:id="rId28">
        <w:r>
          <w:rPr>
            <w:rStyle w:val="Hyperlink"/>
          </w:rPr>
          <w:t>https://www.microsoft.com/en-us/research/publication/fairlearn-a-toolkit-for-assessing-and-improving-fairness-in-ai/</w:t>
        </w:r>
      </w:hyperlink>
      <w:r>
        <w:t>.</w:t>
      </w:r>
    </w:p>
    <w:p w14:paraId="47ABDE4A" w14:textId="77777777" w:rsidR="00CA4232" w:rsidRDefault="00000000">
      <w:pPr>
        <w:pStyle w:val="Textkrper"/>
      </w:pPr>
      <w:r>
        <w:t xml:space="preserve">Birhane, Abeba. 2021. “Algorithmic Injustice: A Relational Ethics Approach.” </w:t>
      </w:r>
      <w:r>
        <w:rPr>
          <w:i/>
          <w:iCs/>
        </w:rPr>
        <w:t>Patterns</w:t>
      </w:r>
      <w:r>
        <w:t xml:space="preserve"> 2 (2): 100205. </w:t>
      </w:r>
      <w:hyperlink r:id="rId29">
        <w:r>
          <w:rPr>
            <w:rStyle w:val="Hyperlink"/>
          </w:rPr>
          <w:t>https://doi.org/10.1016/j.patter.2021.100205</w:t>
        </w:r>
      </w:hyperlink>
      <w:r>
        <w:t>.</w:t>
      </w:r>
    </w:p>
    <w:p w14:paraId="277BA6AF" w14:textId="77777777" w:rsidR="00CA4232" w:rsidRDefault="00000000">
      <w:pPr>
        <w:pStyle w:val="Textkrper"/>
      </w:pPr>
      <w:r>
        <w:t xml:space="preserve">Black, Emily, John Logan Koepke, Pauline Kim, Solon Barocas, and Mingwei Hsu. 2023. “Less Discriminatory Algorithms.” </w:t>
      </w:r>
      <w:r>
        <w:rPr>
          <w:i/>
          <w:iCs/>
        </w:rPr>
        <w:t>arXiv Preprint arXiv:2406.06817</w:t>
      </w:r>
      <w:r>
        <w:t>.</w:t>
      </w:r>
    </w:p>
    <w:p w14:paraId="4DB64D55" w14:textId="77777777" w:rsidR="00CA4232" w:rsidRDefault="00000000">
      <w:pPr>
        <w:pStyle w:val="Textkrper"/>
      </w:pPr>
      <w:r>
        <w:t xml:space="preserve">Black, Emily, Manish Raghavan, and Solon Barocas. 2022. “Model Multiplicity: Opportunities, Concerns, and Solutions.” </w:t>
      </w:r>
      <w:r>
        <w:rPr>
          <w:i/>
          <w:iCs/>
        </w:rPr>
        <w:t>Proceedings of the 2022 ACM Conference on Fairness, Accountability, and Transparency</w:t>
      </w:r>
      <w:r>
        <w:t xml:space="preserve">, 850–63. </w:t>
      </w:r>
      <w:hyperlink r:id="rId30">
        <w:r>
          <w:rPr>
            <w:rStyle w:val="Hyperlink"/>
          </w:rPr>
          <w:t>https://doi.org/10.1145/3531146.3533149</w:t>
        </w:r>
      </w:hyperlink>
      <w:r>
        <w:t>.</w:t>
      </w:r>
    </w:p>
    <w:p w14:paraId="65C193D6" w14:textId="77777777" w:rsidR="00CA4232" w:rsidRDefault="00000000">
      <w:pPr>
        <w:pStyle w:val="Textkrper"/>
      </w:pPr>
      <w:r>
        <w:t xml:space="preserve">Blili-Hamelin, Borhane, and Leif Hancox-Li. 2023. “Making Intelligence: Ethical Values in IQ and ML Benchmarks.” </w:t>
      </w:r>
      <w:r>
        <w:rPr>
          <w:i/>
          <w:iCs/>
        </w:rPr>
        <w:t>Proceedings of the 2023 ACM Conference on Fairness, Accountability, and Transparency</w:t>
      </w:r>
      <w:r>
        <w:t xml:space="preserve">, 271–84. </w:t>
      </w:r>
      <w:hyperlink r:id="rId31">
        <w:r>
          <w:rPr>
            <w:rStyle w:val="Hyperlink"/>
          </w:rPr>
          <w:t>https://doi.org/10.1145/3593013.3593996</w:t>
        </w:r>
      </w:hyperlink>
      <w:r>
        <w:t>.</w:t>
      </w:r>
    </w:p>
    <w:p w14:paraId="4E517067" w14:textId="77777777" w:rsidR="00CA4232" w:rsidRDefault="00000000">
      <w:pPr>
        <w:pStyle w:val="Textkrper"/>
      </w:pPr>
      <w:r>
        <w:t xml:space="preserve">Buolamwini, Joy, and Timnit Gebru. 2018a. “Gender Shades: Intersectional Accuracy Disparities in Commercial Gender Classification.” </w:t>
      </w:r>
      <w:r>
        <w:rPr>
          <w:i/>
          <w:iCs/>
        </w:rPr>
        <w:t>Proceedings of Machine Learning Research</w:t>
      </w:r>
      <w:r>
        <w:t xml:space="preserve"> 81: 1–15.</w:t>
      </w:r>
    </w:p>
    <w:p w14:paraId="2551FC55" w14:textId="77777777" w:rsidR="00CA4232" w:rsidRDefault="00000000">
      <w:pPr>
        <w:pStyle w:val="Textkrper"/>
      </w:pPr>
      <w:r>
        <w:lastRenderedPageBreak/>
        <w:t xml:space="preserve">Buolamwini, Joy, and Timnit Gebru. 2018b. “Gender Shades: Intersectional Accuracy Disparities in Commercial Gender Classification.” </w:t>
      </w:r>
      <w:r>
        <w:rPr>
          <w:i/>
          <w:iCs/>
        </w:rPr>
        <w:t>Proceedings of the 1st Conference on Fairness, Accountability and Transparency</w:t>
      </w:r>
      <w:r>
        <w:t xml:space="preserve"> 81: 77–91.</w:t>
      </w:r>
    </w:p>
    <w:p w14:paraId="554A0558" w14:textId="77777777" w:rsidR="00CA4232" w:rsidRDefault="00000000">
      <w:pPr>
        <w:pStyle w:val="Textkrper"/>
      </w:pPr>
      <w:r>
        <w:t xml:space="preserve">Buolamwini, Joy, Deborah Raji, Kit T. Rodolfa, Pedro Saleiro, and Rayid Ghani. 2020. “In Pursuit of Interpretable, Fair and Accurate Machine Learning for Criminal Recidivism Prediction.” </w:t>
      </w:r>
      <w:r>
        <w:rPr>
          <w:i/>
          <w:iCs/>
        </w:rPr>
        <w:t>arXiv Preprint arXiv:2005.04176</w:t>
      </w:r>
      <w:r>
        <w:t>.</w:t>
      </w:r>
    </w:p>
    <w:p w14:paraId="13BBF137" w14:textId="77777777" w:rsidR="00CA4232" w:rsidRDefault="00000000">
      <w:pPr>
        <w:pStyle w:val="Textkrper"/>
      </w:pPr>
      <w:r>
        <w:t xml:space="preserve">Chen, Chaofan, Oscar Li, Chaofan Tao, Alina Jade Barnett, Jonathan Su, and Cynthia Rudin. 2019. “This Looks Like That: Deep Learning for Interpretable Image Recognition.” </w:t>
      </w:r>
      <w:r>
        <w:rPr>
          <w:i/>
          <w:iCs/>
        </w:rPr>
        <w:t>Advances in Neural Information Processing Systems 32 (NeurIPS 2019)</w:t>
      </w:r>
      <w:r>
        <w:t>, 8930–41.</w:t>
      </w:r>
    </w:p>
    <w:p w14:paraId="2C218234" w14:textId="77777777" w:rsidR="00CA4232" w:rsidRDefault="00000000">
      <w:pPr>
        <w:pStyle w:val="Textkrper"/>
      </w:pPr>
      <w:r>
        <w:t xml:space="preserve">Chen, Chaofan, Oscar Li, Daniel Tao, Alina Barnett, Cynthia Rudin, and Jonathan K. Su. 2019. “This Looks Like That: Deep Learning for Interpretable Image Recognition.” </w:t>
      </w:r>
      <w:r>
        <w:rPr>
          <w:i/>
          <w:iCs/>
        </w:rPr>
        <w:t>Advances in Neural Information Processing Systems</w:t>
      </w:r>
      <w:r>
        <w:t xml:space="preserve"> 32: 8930–41.</w:t>
      </w:r>
    </w:p>
    <w:p w14:paraId="1C8CD9B6" w14:textId="77777777" w:rsidR="00CA4232" w:rsidRDefault="00000000">
      <w:pPr>
        <w:pStyle w:val="Textkrper"/>
      </w:pPr>
      <w:r>
        <w:t xml:space="preserve">Chen, Jiefeng, Xi Wu, Varun Rastogi, Yingyu Liang, and Somesh Jha. 2019a. “Robust Attribution Regularization.” </w:t>
      </w:r>
      <w:r>
        <w:rPr>
          <w:i/>
          <w:iCs/>
        </w:rPr>
        <w:t>Proceedings of the 33rd Conference on Neural Information Processing Systems</w:t>
      </w:r>
      <w:r>
        <w:t>.</w:t>
      </w:r>
    </w:p>
    <w:p w14:paraId="6288E645" w14:textId="77777777" w:rsidR="00CA4232" w:rsidRDefault="00000000">
      <w:pPr>
        <w:pStyle w:val="Textkrper"/>
      </w:pPr>
      <w:r>
        <w:t xml:space="preserve">Chen, Jiefeng, Xi Wu, Varun Rastogi, Yingyu Liang, and Somesh Jha. 2019b. “Robust Attribution Regularization.” </w:t>
      </w:r>
      <w:r>
        <w:rPr>
          <w:i/>
          <w:iCs/>
        </w:rPr>
        <w:t>Proceedings of the 33rd Conference on Neural Information Processing Systems</w:t>
      </w:r>
      <w:r>
        <w:t>.</w:t>
      </w:r>
    </w:p>
    <w:p w14:paraId="38F6C606" w14:textId="77777777" w:rsidR="00CA4232" w:rsidRDefault="00000000">
      <w:pPr>
        <w:pStyle w:val="Textkrper"/>
      </w:pPr>
      <w:r>
        <w:t xml:space="preserve">Chen, Wenbin, Karolina Misztal-Raskou, Shahadat Ahmad, Jun Han, and Liang Hong. 2023. “Fairness Improvement with Multiple Protected Attributes: How Far Are We?” </w:t>
      </w:r>
      <w:r>
        <w:rPr>
          <w:i/>
          <w:iCs/>
        </w:rPr>
        <w:t>arXiv Preprint arXiv:2308.01923</w:t>
      </w:r>
      <w:r>
        <w:t>.</w:t>
      </w:r>
    </w:p>
    <w:p w14:paraId="6E17AFAA" w14:textId="77777777" w:rsidR="00CA4232" w:rsidRDefault="00000000">
      <w:pPr>
        <w:pStyle w:val="Textkrper"/>
      </w:pPr>
      <w:r>
        <w:t xml:space="preserve">Chen, Zhen, Yang Liu, Jian Wu, and Min Zhang. 2025. “Structured Reasoning for Fairness: A Multi-Agent Approach to Bias Detection in Textual Data.” </w:t>
      </w:r>
      <w:r>
        <w:rPr>
          <w:i/>
          <w:iCs/>
        </w:rPr>
        <w:t>arXiv Preprint arXiv:2503.00355</w:t>
      </w:r>
      <w:r>
        <w:t>.</w:t>
      </w:r>
    </w:p>
    <w:p w14:paraId="1DBB04A5" w14:textId="77777777" w:rsidR="00CA4232" w:rsidRDefault="00000000">
      <w:pPr>
        <w:pStyle w:val="Textkrper"/>
      </w:pPr>
      <w:r>
        <w:t xml:space="preserve">Chiappa, Silvia. 2019. “Path-Specific Counterfactual Fairness.” </w:t>
      </w:r>
      <w:r>
        <w:rPr>
          <w:i/>
          <w:iCs/>
        </w:rPr>
        <w:t>Proceedings of the AAAI Conference on Artificial Intelligence</w:t>
      </w:r>
      <w:r>
        <w:t xml:space="preserve"> 33: 7801–8. </w:t>
      </w:r>
      <w:hyperlink r:id="rId32">
        <w:r>
          <w:rPr>
            <w:rStyle w:val="Hyperlink"/>
          </w:rPr>
          <w:t>https://doi.org/10.1609/aaai.v33i01.33017801</w:t>
        </w:r>
      </w:hyperlink>
      <w:r>
        <w:t>.</w:t>
      </w:r>
    </w:p>
    <w:p w14:paraId="2AADF965" w14:textId="77777777" w:rsidR="00CA4232" w:rsidRDefault="00000000">
      <w:pPr>
        <w:pStyle w:val="Textkrper"/>
      </w:pPr>
      <w:r>
        <w:t xml:space="preserve">Chouldechova, Alexandra. 2017a. “Fair Prediction with Disparate Impact: A Study of Bias in Recidivism Prediction Instruments.” </w:t>
      </w:r>
      <w:r>
        <w:rPr>
          <w:i/>
          <w:iCs/>
        </w:rPr>
        <w:t>Big Data</w:t>
      </w:r>
      <w:r>
        <w:t xml:space="preserve"> 5 (2): 153–63. </w:t>
      </w:r>
      <w:hyperlink r:id="rId33">
        <w:r>
          <w:rPr>
            <w:rStyle w:val="Hyperlink"/>
          </w:rPr>
          <w:t>https://doi.org/10.1089/big.2016.0047</w:t>
        </w:r>
      </w:hyperlink>
      <w:r>
        <w:t>.</w:t>
      </w:r>
    </w:p>
    <w:p w14:paraId="6F456E28" w14:textId="77777777" w:rsidR="00CA4232" w:rsidRDefault="00000000">
      <w:pPr>
        <w:pStyle w:val="Textkrper"/>
      </w:pPr>
      <w:r>
        <w:t xml:space="preserve">Chouldechova, Alexandra. 2017b. “Fair Prediction with Disparate Impact: A Study of Bias in Recidivism Prediction Instruments.” </w:t>
      </w:r>
      <w:r>
        <w:rPr>
          <w:i/>
          <w:iCs/>
        </w:rPr>
        <w:t>Big Data</w:t>
      </w:r>
      <w:r>
        <w:t xml:space="preserve"> 5 (2): 153–63. </w:t>
      </w:r>
      <w:hyperlink r:id="rId34">
        <w:r>
          <w:rPr>
            <w:rStyle w:val="Hyperlink"/>
          </w:rPr>
          <w:t>https://doi.org/10.1089/big.2016.0047</w:t>
        </w:r>
      </w:hyperlink>
      <w:r>
        <w:t>.</w:t>
      </w:r>
    </w:p>
    <w:p w14:paraId="559FE5E6" w14:textId="77777777" w:rsidR="00CA4232" w:rsidRDefault="00000000">
      <w:pPr>
        <w:pStyle w:val="Textkrper"/>
      </w:pPr>
      <w:r>
        <w:t xml:space="preserve">Citron, Danielle Keats, and Frank Pasquale. 2014. “The Scored Society: Due Process for Automated Predictions.” </w:t>
      </w:r>
      <w:r>
        <w:rPr>
          <w:i/>
          <w:iCs/>
        </w:rPr>
        <w:t>Washington Law Review</w:t>
      </w:r>
      <w:r>
        <w:t xml:space="preserve"> 89 (1): 1–33.</w:t>
      </w:r>
    </w:p>
    <w:p w14:paraId="72437BA6" w14:textId="77777777" w:rsidR="00CA4232" w:rsidRDefault="00000000">
      <w:pPr>
        <w:pStyle w:val="Textkrper"/>
      </w:pPr>
      <w:r>
        <w:t xml:space="preserve">Coglianese, Cary, and David Lehr. 2019. “Transparency and Algorithmic Governance.” </w:t>
      </w:r>
      <w:r>
        <w:rPr>
          <w:i/>
          <w:iCs/>
        </w:rPr>
        <w:t>Administrative Law Review</w:t>
      </w:r>
      <w:r>
        <w:t xml:space="preserve"> 71 (1): 1–56.</w:t>
      </w:r>
    </w:p>
    <w:p w14:paraId="21EB7A01" w14:textId="77777777" w:rsidR="00CA4232" w:rsidRDefault="00000000">
      <w:pPr>
        <w:pStyle w:val="Textkrper"/>
      </w:pPr>
      <w:r>
        <w:lastRenderedPageBreak/>
        <w:t xml:space="preserve">Consumer Financial Protection Bureau. 2022. “CFPB Issues Guidance on Credit Denials by Lenders Using Artificial Intelligence.” May. </w:t>
      </w:r>
      <w:hyperlink r:id="rId35">
        <w:r>
          <w:rPr>
            <w:rStyle w:val="Hyperlink"/>
          </w:rPr>
          <w:t>https://www.consumerfinance.gov/about-us/newsroom/cfpb-issues-guidance-on-credit-denials-by-lenders-using-artificial-intelligence/</w:t>
        </w:r>
      </w:hyperlink>
      <w:r>
        <w:t>.</w:t>
      </w:r>
    </w:p>
    <w:p w14:paraId="61B44503" w14:textId="77777777" w:rsidR="00CA4232" w:rsidRDefault="00000000">
      <w:pPr>
        <w:pStyle w:val="Textkrper"/>
      </w:pPr>
      <w:r>
        <w:t xml:space="preserve">Corbett-Davies, Sam, and Sharad Goel. 2018. “The Measure and Mismeasure of Fairness: A Critical Review of Fair Machine Learning.” </w:t>
      </w:r>
      <w:r>
        <w:rPr>
          <w:i/>
          <w:iCs/>
        </w:rPr>
        <w:t>arXiv Preprint arXiv:1808.00023</w:t>
      </w:r>
      <w:r>
        <w:t>.</w:t>
      </w:r>
    </w:p>
    <w:p w14:paraId="5BC87D53" w14:textId="77777777" w:rsidR="00CA4232" w:rsidRDefault="00000000">
      <w:pPr>
        <w:pStyle w:val="Textkrper"/>
      </w:pPr>
      <w:r>
        <w:t xml:space="preserve">Costanza-Chock, Sasha, Inioluwa Deborah Raji, and Joy Buolamwini. 2022. “Who Audits the Auditors? Recommendations from a Field Scan of the Algorithmic Auditing Ecosystem.” </w:t>
      </w:r>
      <w:r>
        <w:rPr>
          <w:i/>
          <w:iCs/>
        </w:rPr>
        <w:t>Proceedings of the 2022 ACM Conference on Fairness, Accountability, and Transparency</w:t>
      </w:r>
      <w:r>
        <w:t xml:space="preserve">, 1–15. </w:t>
      </w:r>
      <w:hyperlink r:id="rId36">
        <w:r>
          <w:rPr>
            <w:rStyle w:val="Hyperlink"/>
          </w:rPr>
          <w:t>https://doi.org/10.1145/3531146.3533213</w:t>
        </w:r>
      </w:hyperlink>
      <w:r>
        <w:t>.</w:t>
      </w:r>
    </w:p>
    <w:p w14:paraId="357CAEF2" w14:textId="77777777" w:rsidR="00CA4232" w:rsidRDefault="00000000">
      <w:pPr>
        <w:pStyle w:val="Textkrper"/>
      </w:pPr>
      <w:r>
        <w:t xml:space="preserve">Coston, Amanda, Ashesh Rambachan, and Alexandra Chouldechova. 2021. “Characterizing Fairness Over the Set of Good Models Under Selective Labels.” </w:t>
      </w:r>
      <w:r>
        <w:rPr>
          <w:i/>
          <w:iCs/>
        </w:rPr>
        <w:t>Proceedings of Machine Learning Research</w:t>
      </w:r>
      <w:r>
        <w:t xml:space="preserve"> 139: 2144–55.</w:t>
      </w:r>
    </w:p>
    <w:p w14:paraId="0B5052EF" w14:textId="77777777" w:rsidR="00CA4232" w:rsidRDefault="00000000">
      <w:pPr>
        <w:pStyle w:val="Textkrper"/>
      </w:pPr>
      <w:r>
        <w:t xml:space="preserve">Cowgill, Bo, Fabrizio Dell’Acqua, Samuel Deng, Daniel Hsu, Nakul Verma, and Augustin Chaintreau. 2020. “Biased Programmers? Or Biased Data? A Field Experiment in Operationalizing AI Ethics.” </w:t>
      </w:r>
      <w:r>
        <w:rPr>
          <w:i/>
          <w:iCs/>
        </w:rPr>
        <w:t>Proceedings of the 21st ACM Conference on Economics and Computation</w:t>
      </w:r>
      <w:r>
        <w:t xml:space="preserve">, 679–81. </w:t>
      </w:r>
      <w:hyperlink r:id="rId37">
        <w:r>
          <w:rPr>
            <w:rStyle w:val="Hyperlink"/>
          </w:rPr>
          <w:t>https://doi.org/10.1145/3391403.3399545</w:t>
        </w:r>
      </w:hyperlink>
      <w:r>
        <w:t>.</w:t>
      </w:r>
    </w:p>
    <w:p w14:paraId="238A4636" w14:textId="77777777" w:rsidR="00CA4232" w:rsidRDefault="00000000">
      <w:pPr>
        <w:pStyle w:val="Textkrper"/>
      </w:pPr>
      <w:r>
        <w:t xml:space="preserve">Dai, Jessica, Sasha Upadhyay, Ulrich Aivodji, Stephen H. Bach, and Himabindu Lakkaraju. 2022. “The Road to Explainability Is Paved with Bias: Measuring the Fairness of Explanations.” </w:t>
      </w:r>
      <w:r>
        <w:rPr>
          <w:i/>
          <w:iCs/>
        </w:rPr>
        <w:t>Proceedings of the 2022 ACM Conference on Fairness, Accountability, and Transparency</w:t>
      </w:r>
      <w:r>
        <w:t xml:space="preserve">, 1194–206. </w:t>
      </w:r>
      <w:hyperlink r:id="rId38">
        <w:r>
          <w:rPr>
            <w:rStyle w:val="Hyperlink"/>
          </w:rPr>
          <w:t>https://doi.org/10.1145/3531146.3533179</w:t>
        </w:r>
      </w:hyperlink>
      <w:r>
        <w:t>.</w:t>
      </w:r>
    </w:p>
    <w:p w14:paraId="0AB43F9E" w14:textId="77777777" w:rsidR="00CA4232" w:rsidRDefault="00000000">
      <w:pPr>
        <w:pStyle w:val="Textkrper"/>
      </w:pPr>
      <w:r>
        <w:t xml:space="preserve">D’Amour, Alexander, Hansa Srinivasan, James Atwood, Pallavi Baljekar, D. Sculley, and Yoni Halpern. 2020. “Fairness Is Not Static: Deeper Understanding of Long Term Fairness via Simulation Studies.” </w:t>
      </w:r>
      <w:r>
        <w:rPr>
          <w:i/>
          <w:iCs/>
        </w:rPr>
        <w:t>Proceedings of the 2020 Conference on Fairness, Accountability, and Transparency</w:t>
      </w:r>
      <w:r>
        <w:t xml:space="preserve">, 525–34. </w:t>
      </w:r>
      <w:hyperlink r:id="rId39">
        <w:r>
          <w:rPr>
            <w:rStyle w:val="Hyperlink"/>
          </w:rPr>
          <w:t>https://doi.org/10.1145/3351095.3372878</w:t>
        </w:r>
      </w:hyperlink>
      <w:r>
        <w:t>.</w:t>
      </w:r>
    </w:p>
    <w:p w14:paraId="3FF93424" w14:textId="77777777" w:rsidR="00CA4232" w:rsidRDefault="00000000">
      <w:pPr>
        <w:pStyle w:val="Textkrper"/>
      </w:pPr>
      <w:r>
        <w:t xml:space="preserve">Dastin, Jeffrey. 2018. “Amazon Scraps Secret AI Recruiting Tool That Showed Bias Against Women.” In </w:t>
      </w:r>
      <w:r>
        <w:rPr>
          <w:i/>
          <w:iCs/>
        </w:rPr>
        <w:t>Reuters</w:t>
      </w:r>
      <w:r>
        <w:t>. October.</w:t>
      </w:r>
    </w:p>
    <w:p w14:paraId="56521534" w14:textId="77777777" w:rsidR="00CA4232" w:rsidRDefault="00000000">
      <w:pPr>
        <w:pStyle w:val="Textkrper"/>
      </w:pPr>
      <w:r>
        <w:t xml:space="preserve">Databricks. 2019a. “Using SHAP with Machine Learning Models to Detect Data Bias.” </w:t>
      </w:r>
      <w:hyperlink r:id="rId40">
        <w:r>
          <w:rPr>
            <w:rStyle w:val="Hyperlink"/>
          </w:rPr>
          <w:t>https://www.databricks.com/blog/2019/06/17/detecting-bias-with-shap.html</w:t>
        </w:r>
      </w:hyperlink>
      <w:r>
        <w:t>.</w:t>
      </w:r>
    </w:p>
    <w:p w14:paraId="26045AB6" w14:textId="77777777" w:rsidR="00CA4232" w:rsidRDefault="00000000">
      <w:pPr>
        <w:pStyle w:val="Textkrper"/>
      </w:pPr>
      <w:r>
        <w:t xml:space="preserve">Databricks. 2019b. “Using SHAP with Machine Learning Models to Detect Data Bias.” </w:t>
      </w:r>
      <w:hyperlink r:id="rId41">
        <w:r>
          <w:rPr>
            <w:rStyle w:val="Hyperlink"/>
          </w:rPr>
          <w:t>https://www.databricks.com/blog/2019/06/17/detecting-bias-with-shap.html</w:t>
        </w:r>
      </w:hyperlink>
      <w:r>
        <w:t>.</w:t>
      </w:r>
    </w:p>
    <w:p w14:paraId="1018C466" w14:textId="77777777" w:rsidR="00CA4232" w:rsidRDefault="00000000">
      <w:pPr>
        <w:pStyle w:val="Textkrper"/>
      </w:pPr>
      <w:r>
        <w:t xml:space="preserve">Deck, Luca, Jakob Schoeffer, Maria De-Arteaga, and Niklas Kühl. 2024a. “A Critical Survey on Fairness Benefits of Explainable AI.” </w:t>
      </w:r>
      <w:r>
        <w:rPr>
          <w:i/>
          <w:iCs/>
        </w:rPr>
        <w:t>Proceedings of the 2024 ACM Conference on Fairness, Accountability, and Transparency (FAccT)</w:t>
      </w:r>
      <w:r>
        <w:t xml:space="preserve">, 1579–95. </w:t>
      </w:r>
      <w:hyperlink r:id="rId42">
        <w:r>
          <w:rPr>
            <w:rStyle w:val="Hyperlink"/>
          </w:rPr>
          <w:t>https://doi.org/10.1145/3630106.3658990</w:t>
        </w:r>
      </w:hyperlink>
      <w:r>
        <w:t>.</w:t>
      </w:r>
    </w:p>
    <w:p w14:paraId="21332D16" w14:textId="77777777" w:rsidR="00CA4232" w:rsidRDefault="00000000">
      <w:pPr>
        <w:pStyle w:val="Textkrper"/>
      </w:pPr>
      <w:r>
        <w:t xml:space="preserve">Deck, Luca, Jakob Schoeffer, Maria De-Arteaga, and Niklas Kühl. 2024b. “A Critical Survey on Fairness Benefits of Explainable AI.” </w:t>
      </w:r>
      <w:r>
        <w:rPr>
          <w:i/>
          <w:iCs/>
        </w:rPr>
        <w:t xml:space="preserve">Proceedings of the 2024 ACM Conference on </w:t>
      </w:r>
      <w:r>
        <w:rPr>
          <w:i/>
          <w:iCs/>
        </w:rPr>
        <w:lastRenderedPageBreak/>
        <w:t>Fairness, Accountability, and Transparency</w:t>
      </w:r>
      <w:r>
        <w:t xml:space="preserve">, 1–17. </w:t>
      </w:r>
      <w:hyperlink r:id="rId43">
        <w:r>
          <w:rPr>
            <w:rStyle w:val="Hyperlink"/>
          </w:rPr>
          <w:t>https://doi.org/10.1145/3630106.3658990</w:t>
        </w:r>
      </w:hyperlink>
      <w:r>
        <w:t>.</w:t>
      </w:r>
    </w:p>
    <w:p w14:paraId="43556907" w14:textId="77777777" w:rsidR="00CA4232" w:rsidRDefault="00000000">
      <w:pPr>
        <w:pStyle w:val="Textkrper"/>
      </w:pPr>
      <w:r>
        <w:t xml:space="preserve">Deng, Wesley Hanwen, Manish Goel, Maria De-Arteaga, Kenneth Holstein, and Haiyi Wang. 2024. “Explanations, Fairness, and Appropriate Reliance in Human-AI Decision-Making.” </w:t>
      </w:r>
      <w:r>
        <w:rPr>
          <w:i/>
          <w:iCs/>
        </w:rPr>
        <w:t>Proceedings of the 2024 CHI Conference on Human Factors in Computing Systems</w:t>
      </w:r>
      <w:r>
        <w:t xml:space="preserve">, 1–20. </w:t>
      </w:r>
      <w:hyperlink r:id="rId44">
        <w:r>
          <w:rPr>
            <w:rStyle w:val="Hyperlink"/>
          </w:rPr>
          <w:t>https://doi.org/10.1145/3613904.3642621</w:t>
        </w:r>
      </w:hyperlink>
      <w:r>
        <w:t>.</w:t>
      </w:r>
    </w:p>
    <w:p w14:paraId="3EAB08AF" w14:textId="77777777" w:rsidR="00CA4232" w:rsidRDefault="00000000">
      <w:pPr>
        <w:pStyle w:val="Textkrper"/>
      </w:pPr>
      <w:r>
        <w:t xml:space="preserve">Desai, Deven R., and Joshua A. Kroll. 2017. “Trust But Verify: A Guide to Algorithms and the Law.” </w:t>
      </w:r>
      <w:r>
        <w:rPr>
          <w:i/>
          <w:iCs/>
        </w:rPr>
        <w:t>Harvard Journal of Law and Technology</w:t>
      </w:r>
      <w:r>
        <w:t xml:space="preserve"> 31 (1): 1–64.</w:t>
      </w:r>
    </w:p>
    <w:p w14:paraId="427904EE" w14:textId="77777777" w:rsidR="00CA4232" w:rsidRDefault="00000000">
      <w:pPr>
        <w:pStyle w:val="Textkrper"/>
      </w:pPr>
      <w:r>
        <w:t xml:space="preserve">Dixon, Lucas, John Li, Jeffrey Sorensen, Nithum Thain, and Lucy Vasserman. 2018. “Measuring and Mitigating Unintended Bias in Text Classification.” </w:t>
      </w:r>
      <w:r>
        <w:rPr>
          <w:i/>
          <w:iCs/>
        </w:rPr>
        <w:t>Proceedings of the 2018 AAAI/ACM Conference on AI, Ethics, and Society</w:t>
      </w:r>
      <w:r>
        <w:t xml:space="preserve">, 67–73. </w:t>
      </w:r>
      <w:hyperlink r:id="rId45">
        <w:r>
          <w:rPr>
            <w:rStyle w:val="Hyperlink"/>
          </w:rPr>
          <w:t>https://doi.org/10.1145/3278721.3278729</w:t>
        </w:r>
      </w:hyperlink>
      <w:r>
        <w:t>.</w:t>
      </w:r>
    </w:p>
    <w:p w14:paraId="37BEF2C2" w14:textId="77777777" w:rsidR="00CA4232" w:rsidRDefault="00000000">
      <w:pPr>
        <w:pStyle w:val="Textkrper"/>
      </w:pPr>
      <w:r>
        <w:t xml:space="preserve">Dodge, Jonathan, Q. Vera Liao, Yunfeng Zhang, Rachel K. E. Bellamy, and Casey Dugan. 2019. “Explaining Models: An Empirical Study of How Explanations Impact Fairness Judgment.” </w:t>
      </w:r>
      <w:r>
        <w:rPr>
          <w:i/>
          <w:iCs/>
        </w:rPr>
        <w:t>Proceedings of the 24th International Conference on Intelligent User Interfaces</w:t>
      </w:r>
      <w:r>
        <w:t xml:space="preserve">, 275–85. </w:t>
      </w:r>
      <w:hyperlink r:id="rId46">
        <w:r>
          <w:rPr>
            <w:rStyle w:val="Hyperlink"/>
          </w:rPr>
          <w:t>https://doi.org/10.1145/3301275.3302310</w:t>
        </w:r>
      </w:hyperlink>
      <w:r>
        <w:t>.</w:t>
      </w:r>
    </w:p>
    <w:p w14:paraId="3373BD37" w14:textId="77777777" w:rsidR="00CA4232" w:rsidRDefault="00000000">
      <w:pPr>
        <w:pStyle w:val="Textkrper"/>
      </w:pPr>
      <w:r>
        <w:t xml:space="preserve">Doshi-Velez, Finale, and Been Kim. 2017a. “Towards A Rigorous Science of Interpretability.” </w:t>
      </w:r>
      <w:r>
        <w:rPr>
          <w:i/>
          <w:iCs/>
        </w:rPr>
        <w:t>arXiv Preprint arXiv:1702.08608</w:t>
      </w:r>
      <w:r>
        <w:t>.</w:t>
      </w:r>
    </w:p>
    <w:p w14:paraId="7A2EBE6B" w14:textId="77777777" w:rsidR="00CA4232" w:rsidRDefault="00000000">
      <w:pPr>
        <w:pStyle w:val="Textkrper"/>
      </w:pPr>
      <w:r>
        <w:t xml:space="preserve">Doshi-Velez, Finale, and Been Kim. 2017b. “Towards A Rigorous Science of Interpretable Machine Learning.” </w:t>
      </w:r>
      <w:r>
        <w:rPr>
          <w:i/>
          <w:iCs/>
        </w:rPr>
        <w:t>arXiv Preprint arXiv:1702.08608</w:t>
      </w:r>
      <w:r>
        <w:t>.</w:t>
      </w:r>
    </w:p>
    <w:p w14:paraId="6E4C0E19" w14:textId="77777777" w:rsidR="00CA4232" w:rsidRDefault="00000000">
      <w:pPr>
        <w:pStyle w:val="Textkrper"/>
      </w:pPr>
      <w:r>
        <w:t xml:space="preserve">Dressel, Julia, and Hany Farid. 2018. “The Accuracy, Fairness, and Limits of Predicting Recidivism.” </w:t>
      </w:r>
      <w:r>
        <w:rPr>
          <w:i/>
          <w:iCs/>
        </w:rPr>
        <w:t>Science Advances</w:t>
      </w:r>
      <w:r>
        <w:t xml:space="preserve"> 4 (1): eaao5580. </w:t>
      </w:r>
      <w:hyperlink r:id="rId47">
        <w:r>
          <w:rPr>
            <w:rStyle w:val="Hyperlink"/>
          </w:rPr>
          <w:t>https://doi.org/10.1126/sciadv.aao5580</w:t>
        </w:r>
      </w:hyperlink>
      <w:r>
        <w:t>.</w:t>
      </w:r>
    </w:p>
    <w:p w14:paraId="76C5BF41" w14:textId="77777777" w:rsidR="00CA4232" w:rsidRDefault="00000000">
      <w:pPr>
        <w:pStyle w:val="Textkrper"/>
      </w:pPr>
      <w:r>
        <w:t xml:space="preserve">Dwork, Cynthia, Moritz Hardt, Toniann Pitassi, Omer Reingold, and Richard Zemel. 2012a. “Fairness Through Awareness.” </w:t>
      </w:r>
      <w:r>
        <w:rPr>
          <w:i/>
          <w:iCs/>
        </w:rPr>
        <w:t>Proceedings of the 3rd Innovations in Theoretical Computer Science Conference</w:t>
      </w:r>
      <w:r>
        <w:t xml:space="preserve">, 214–26. </w:t>
      </w:r>
      <w:hyperlink r:id="rId48">
        <w:r>
          <w:rPr>
            <w:rStyle w:val="Hyperlink"/>
          </w:rPr>
          <w:t>https://doi.org/10.1145/2090236.2090255</w:t>
        </w:r>
      </w:hyperlink>
      <w:r>
        <w:t>.</w:t>
      </w:r>
    </w:p>
    <w:p w14:paraId="1B47094A" w14:textId="77777777" w:rsidR="00CA4232" w:rsidRDefault="00000000">
      <w:pPr>
        <w:pStyle w:val="Textkrper"/>
      </w:pPr>
      <w:r>
        <w:t xml:space="preserve">Dwork, Cynthia, Moritz Hardt, Toniann Pitassi, Omer Reingold, and Richard Zemel. 2012b. “Fairness Through Awareness.” </w:t>
      </w:r>
      <w:r>
        <w:rPr>
          <w:i/>
          <w:iCs/>
        </w:rPr>
        <w:t>Proceedings of the 3rd Innovations in Theoretical Computer Science Conference</w:t>
      </w:r>
      <w:r>
        <w:t xml:space="preserve">, 214–26. </w:t>
      </w:r>
      <w:hyperlink r:id="rId49">
        <w:r>
          <w:rPr>
            <w:rStyle w:val="Hyperlink"/>
          </w:rPr>
          <w:t>https://doi.org/10.1145/2090236.2090255</w:t>
        </w:r>
      </w:hyperlink>
      <w:r>
        <w:t>.</w:t>
      </w:r>
    </w:p>
    <w:p w14:paraId="0F3C2C49" w14:textId="77777777" w:rsidR="00CA4232" w:rsidRDefault="00000000">
      <w:pPr>
        <w:pStyle w:val="Textkrper"/>
      </w:pPr>
      <w:r>
        <w:t xml:space="preserve">Dwork, Cynthia, Moritz Hardt, Toniann Pitassi, Omer Reingold, and Richard Zemel. 2012c. “Fairness Through Awareness.” </w:t>
      </w:r>
      <w:r>
        <w:rPr>
          <w:i/>
          <w:iCs/>
        </w:rPr>
        <w:t>Proceedings of the 3rd Innovations in Theoretical Computer Science Conference</w:t>
      </w:r>
      <w:r>
        <w:t xml:space="preserve">, 214–26. </w:t>
      </w:r>
      <w:hyperlink r:id="rId50">
        <w:r>
          <w:rPr>
            <w:rStyle w:val="Hyperlink"/>
          </w:rPr>
          <w:t>https://doi.org/10.1145/2090236.2090255</w:t>
        </w:r>
      </w:hyperlink>
      <w:r>
        <w:t>.</w:t>
      </w:r>
    </w:p>
    <w:p w14:paraId="127B9C2D" w14:textId="77777777" w:rsidR="00CA4232" w:rsidRDefault="00000000">
      <w:pPr>
        <w:pStyle w:val="Textkrper"/>
      </w:pPr>
      <w:r>
        <w:t xml:space="preserve">Dwork, Cynthia, Moritz Hardt, Toniann Pitassi, Omer Reingold, and Richard Zemel. 2012d. “Fairness Through Awareness.” </w:t>
      </w:r>
      <w:r>
        <w:rPr>
          <w:i/>
          <w:iCs/>
        </w:rPr>
        <w:t>Proceedings of the 3rd Innovations in Theoretical Computer Science Conference</w:t>
      </w:r>
      <w:r>
        <w:t xml:space="preserve">, 214–26. </w:t>
      </w:r>
      <w:hyperlink r:id="rId51">
        <w:r>
          <w:rPr>
            <w:rStyle w:val="Hyperlink"/>
          </w:rPr>
          <w:t>https://doi.org/10.1145/2090236.2090255</w:t>
        </w:r>
      </w:hyperlink>
      <w:r>
        <w:t>.</w:t>
      </w:r>
    </w:p>
    <w:p w14:paraId="2B2331E8" w14:textId="77777777" w:rsidR="00CA4232" w:rsidRDefault="00000000">
      <w:pPr>
        <w:pStyle w:val="Textkrper"/>
      </w:pPr>
      <w:r>
        <w:t xml:space="preserve">Edwards, Lilian, and Michael Veale. 2018. “Enslaving the Algorithm: From a ‘Right to an Explanation’ to a ‘Right to Better Decisions’?” </w:t>
      </w:r>
      <w:r>
        <w:rPr>
          <w:i/>
          <w:iCs/>
        </w:rPr>
        <w:t>IEEE Security &amp; Privacy</w:t>
      </w:r>
      <w:r>
        <w:t xml:space="preserve"> 16 (3): 46–54. </w:t>
      </w:r>
      <w:hyperlink r:id="rId52">
        <w:r>
          <w:rPr>
            <w:rStyle w:val="Hyperlink"/>
          </w:rPr>
          <w:t>https://doi.org/10.1109/MSP.2018.2701152</w:t>
        </w:r>
      </w:hyperlink>
      <w:r>
        <w:t>.</w:t>
      </w:r>
    </w:p>
    <w:p w14:paraId="003E56AB" w14:textId="77777777" w:rsidR="00CA4232" w:rsidRDefault="00000000">
      <w:pPr>
        <w:pStyle w:val="Textkrper"/>
      </w:pPr>
      <w:r>
        <w:lastRenderedPageBreak/>
        <w:t>Ehsan, Upol, and Mark O. Riedl. 2020. “Human-Centered Explainable AI: Towards a Reflective Sociotechnical Approach.”</w:t>
      </w:r>
    </w:p>
    <w:p w14:paraId="728F993D" w14:textId="77777777" w:rsidR="00CA4232" w:rsidRDefault="00000000">
      <w:pPr>
        <w:pStyle w:val="Textkrper"/>
      </w:pPr>
      <w:r>
        <w:t xml:space="preserve">Fares, Mayada, Dillon Moore, and Habib Jammal. 2024a. “Mitigating Bias in AI Recruitment: Leveraging LIME for Fair and Transparent Hiring Models.” </w:t>
      </w:r>
      <w:r>
        <w:rPr>
          <w:i/>
          <w:iCs/>
        </w:rPr>
        <w:t>Springer Lecture Notes in Networks and Systems</w:t>
      </w:r>
      <w:r>
        <w:t xml:space="preserve">, ahead of print. </w:t>
      </w:r>
      <w:hyperlink r:id="rId53">
        <w:r>
          <w:rPr>
            <w:rStyle w:val="Hyperlink"/>
          </w:rPr>
          <w:t>https://doi.org/10.1007/978-3-031-99958-1_29</w:t>
        </w:r>
      </w:hyperlink>
      <w:r>
        <w:t>.</w:t>
      </w:r>
    </w:p>
    <w:p w14:paraId="09F69F11" w14:textId="77777777" w:rsidR="00CA4232" w:rsidRDefault="00000000">
      <w:pPr>
        <w:pStyle w:val="Textkrper"/>
      </w:pPr>
      <w:r>
        <w:t xml:space="preserve">Fares, Mayada, Dillon Moore, and Habib Jammal. 2024b. “Mitigating Bias in AI Recruitment: Leveraging LIME for Fair and Transparent Hiring Models.” </w:t>
      </w:r>
      <w:r>
        <w:rPr>
          <w:i/>
          <w:iCs/>
        </w:rPr>
        <w:t>Springer Lecture Notes in Networks and Systems</w:t>
      </w:r>
      <w:r>
        <w:t xml:space="preserve">, ahead of print. </w:t>
      </w:r>
      <w:hyperlink r:id="rId54">
        <w:r>
          <w:rPr>
            <w:rStyle w:val="Hyperlink"/>
          </w:rPr>
          <w:t>https://doi.org/10.1007/978-3-031-99958-1_29</w:t>
        </w:r>
      </w:hyperlink>
      <w:r>
        <w:t>.</w:t>
      </w:r>
    </w:p>
    <w:p w14:paraId="5541123C" w14:textId="77777777" w:rsidR="00CA4232" w:rsidRDefault="00000000">
      <w:pPr>
        <w:pStyle w:val="Textkrper"/>
      </w:pPr>
      <w:r>
        <w:t xml:space="preserve">Fazelpour, Sina, Zachary C. Lipton, and David Danks. 2022. “Algorithmic Fairness and the Situated Dynamics of Justice.” </w:t>
      </w:r>
      <w:r>
        <w:rPr>
          <w:i/>
          <w:iCs/>
        </w:rPr>
        <w:t>Canadian Journal of Philosophy</w:t>
      </w:r>
      <w:r>
        <w:t xml:space="preserve"> 52 (1): 44–60. </w:t>
      </w:r>
      <w:hyperlink r:id="rId55">
        <w:r>
          <w:rPr>
            <w:rStyle w:val="Hyperlink"/>
          </w:rPr>
          <w:t>https://doi.org/10.1017/can.2022.26</w:t>
        </w:r>
      </w:hyperlink>
      <w:r>
        <w:t>.</w:t>
      </w:r>
    </w:p>
    <w:p w14:paraId="3C657771" w14:textId="77777777" w:rsidR="00CA4232" w:rsidRDefault="00000000">
      <w:pPr>
        <w:pStyle w:val="Textkrper"/>
      </w:pPr>
      <w:r>
        <w:t xml:space="preserve">Feldman, Michael, Sorelle A. Friedler, John Moeller, Carlos Scheidegger, and Suresh Venkatasubramanian. 2015. “Certifying and Removing Disparate Impact.” </w:t>
      </w:r>
      <w:r>
        <w:rPr>
          <w:i/>
          <w:iCs/>
        </w:rPr>
        <w:t>Proceedings of the 21st ACM SIGKDD International Conference on Knowledge Discovery and Data Mining</w:t>
      </w:r>
      <w:r>
        <w:t xml:space="preserve">, 259–68. </w:t>
      </w:r>
      <w:hyperlink r:id="rId56">
        <w:r>
          <w:rPr>
            <w:rStyle w:val="Hyperlink"/>
          </w:rPr>
          <w:t>https://doi.org/10.1145/2783258.2783311</w:t>
        </w:r>
      </w:hyperlink>
      <w:r>
        <w:t>.</w:t>
      </w:r>
    </w:p>
    <w:p w14:paraId="1BA3F641" w14:textId="77777777" w:rsidR="00CA4232" w:rsidRDefault="00000000">
      <w:pPr>
        <w:pStyle w:val="Textkrper"/>
      </w:pPr>
      <w:r>
        <w:t xml:space="preserve">Fleisher, Will. 2024. “Algorithmic Fairness Criteria as Evidence.” </w:t>
      </w:r>
      <w:r>
        <w:rPr>
          <w:i/>
          <w:iCs/>
        </w:rPr>
        <w:t>Ergo</w:t>
      </w:r>
      <w:r>
        <w:t>.</w:t>
      </w:r>
    </w:p>
    <w:p w14:paraId="7C2AEB09" w14:textId="77777777" w:rsidR="00CA4232" w:rsidRDefault="00000000">
      <w:pPr>
        <w:pStyle w:val="Textkrper"/>
      </w:pPr>
      <w:r>
        <w:t xml:space="preserve">Foulds, James R., Rashidul Islam, Kamrun Naher Keya, and Shimei Pan. 2020. “An Intersectional Definition of Fairness.” </w:t>
      </w:r>
      <w:r>
        <w:rPr>
          <w:i/>
          <w:iCs/>
        </w:rPr>
        <w:t>2020 IEEE 36th International Conference on Data Engineering</w:t>
      </w:r>
      <w:r>
        <w:t xml:space="preserve">, 1918–21. </w:t>
      </w:r>
      <w:hyperlink r:id="rId57">
        <w:r>
          <w:rPr>
            <w:rStyle w:val="Hyperlink"/>
          </w:rPr>
          <w:t>https://doi.org/10.1109/ICDE48307.2020.00203</w:t>
        </w:r>
      </w:hyperlink>
      <w:r>
        <w:t>.</w:t>
      </w:r>
    </w:p>
    <w:p w14:paraId="1587A6CB" w14:textId="77777777" w:rsidR="00CA4232" w:rsidRDefault="00000000">
      <w:pPr>
        <w:pStyle w:val="Textkrper"/>
      </w:pPr>
      <w:r>
        <w:t xml:space="preserve">Friedler, Sorelle A., Carlos Scheidegger, and Suresh Venkatasubramanian. 2016. “On the (Im)Possibility of Fairness.” </w:t>
      </w:r>
      <w:r>
        <w:rPr>
          <w:i/>
          <w:iCs/>
        </w:rPr>
        <w:t>arXiv Preprint arXiv:1609.07236</w:t>
      </w:r>
      <w:r>
        <w:t>.</w:t>
      </w:r>
    </w:p>
    <w:p w14:paraId="10166A3A" w14:textId="77777777" w:rsidR="00CA4232" w:rsidRDefault="00000000">
      <w:pPr>
        <w:pStyle w:val="Textkrper"/>
      </w:pPr>
      <w:r>
        <w:t xml:space="preserve">Gebru, Timnit, Jamie Morgenstern, Briana Vecchione, et al. 2021a. “Datasheets for Datasets.” </w:t>
      </w:r>
      <w:r>
        <w:rPr>
          <w:i/>
          <w:iCs/>
        </w:rPr>
        <w:t>Communications of the ACM</w:t>
      </w:r>
      <w:r>
        <w:t xml:space="preserve"> 64 (12): 86–92. </w:t>
      </w:r>
      <w:hyperlink r:id="rId58">
        <w:r>
          <w:rPr>
            <w:rStyle w:val="Hyperlink"/>
          </w:rPr>
          <w:t>https://doi.org/10.1145/3458723</w:t>
        </w:r>
      </w:hyperlink>
      <w:r>
        <w:t>.</w:t>
      </w:r>
    </w:p>
    <w:p w14:paraId="46F5FA8D" w14:textId="77777777" w:rsidR="00CA4232" w:rsidRDefault="00000000">
      <w:pPr>
        <w:pStyle w:val="Textkrper"/>
      </w:pPr>
      <w:r>
        <w:t xml:space="preserve">Gebru, Timnit, Jamie Morgenstern, Briana Vecchione, et al. 2021b. “Datasheets for Datasets.” </w:t>
      </w:r>
      <w:r>
        <w:rPr>
          <w:i/>
          <w:iCs/>
        </w:rPr>
        <w:t>Communications of the ACM</w:t>
      </w:r>
      <w:r>
        <w:t xml:space="preserve"> 64 (12): 86–92. </w:t>
      </w:r>
      <w:hyperlink r:id="rId59">
        <w:r>
          <w:rPr>
            <w:rStyle w:val="Hyperlink"/>
          </w:rPr>
          <w:t>https://doi.org/10.1145/3458723</w:t>
        </w:r>
      </w:hyperlink>
      <w:r>
        <w:t>.</w:t>
      </w:r>
    </w:p>
    <w:p w14:paraId="6599D800" w14:textId="77777777" w:rsidR="00CA4232" w:rsidRDefault="00000000">
      <w:pPr>
        <w:pStyle w:val="Textkrper"/>
      </w:pPr>
      <w:r>
        <w:t xml:space="preserve">Ghorbani, Amirata, Abubakar Abid, and James Zou. 2019a. “Interpretation of Neural Networks Is Fragile.” </w:t>
      </w:r>
      <w:r>
        <w:rPr>
          <w:i/>
          <w:iCs/>
        </w:rPr>
        <w:t>Proceedings of the AAAI Conference on Artificial Intelligence</w:t>
      </w:r>
      <w:r>
        <w:t xml:space="preserve"> 33: 3681–88. </w:t>
      </w:r>
      <w:hyperlink r:id="rId60">
        <w:r>
          <w:rPr>
            <w:rStyle w:val="Hyperlink"/>
          </w:rPr>
          <w:t>https://doi.org/10.1609/aaai.v33i01.33013681</w:t>
        </w:r>
      </w:hyperlink>
      <w:r>
        <w:t>.</w:t>
      </w:r>
    </w:p>
    <w:p w14:paraId="5A005D9A" w14:textId="77777777" w:rsidR="00CA4232" w:rsidRDefault="00000000">
      <w:pPr>
        <w:pStyle w:val="Textkrper"/>
      </w:pPr>
      <w:r>
        <w:t xml:space="preserve">Ghorbani, Amirata, Abubakar Abid, and James Zou. 2019b. “Interpretation of Neural Networks Is Fragile.” </w:t>
      </w:r>
      <w:r>
        <w:rPr>
          <w:i/>
          <w:iCs/>
        </w:rPr>
        <w:t>Proceedings of the AAAI Conference on Artificial Intelligence</w:t>
      </w:r>
      <w:r>
        <w:t xml:space="preserve"> 33: 3681–88. </w:t>
      </w:r>
      <w:hyperlink r:id="rId61">
        <w:r>
          <w:rPr>
            <w:rStyle w:val="Hyperlink"/>
          </w:rPr>
          <w:t>https://doi.org/10.1609/aaai.v33i01.33013681</w:t>
        </w:r>
      </w:hyperlink>
      <w:r>
        <w:t>.</w:t>
      </w:r>
    </w:p>
    <w:p w14:paraId="5B13C279" w14:textId="77777777" w:rsidR="00CA4232" w:rsidRDefault="00000000">
      <w:pPr>
        <w:pStyle w:val="Textkrper"/>
      </w:pPr>
      <w:r>
        <w:t xml:space="preserve">Goh, Gabriel, Andrew Cotter, Maya Gupta, and Michael P. Friedlander. 2016. “Satisfying Real-World Goals with Dataset Constraints.” </w:t>
      </w:r>
      <w:r>
        <w:rPr>
          <w:i/>
          <w:iCs/>
        </w:rPr>
        <w:t>Advances in Neural Information Processing Systems</w:t>
      </w:r>
      <w:r>
        <w:t xml:space="preserve"> 29: 2415–23.</w:t>
      </w:r>
    </w:p>
    <w:p w14:paraId="20187A85" w14:textId="77777777" w:rsidR="00CA4232" w:rsidRDefault="00000000">
      <w:pPr>
        <w:pStyle w:val="Textkrper"/>
      </w:pPr>
      <w:r>
        <w:t xml:space="preserve">Gramegna, Alex, and Paolo Giudici. 2021a. “SHAP and LIME: An Evaluation of Discriminative Power in Credit Risk.” </w:t>
      </w:r>
      <w:r>
        <w:rPr>
          <w:i/>
          <w:iCs/>
        </w:rPr>
        <w:t>Frontiers in Artificial Intelligence</w:t>
      </w:r>
      <w:r>
        <w:t xml:space="preserve"> 4: 752558. </w:t>
      </w:r>
      <w:hyperlink r:id="rId62">
        <w:r>
          <w:rPr>
            <w:rStyle w:val="Hyperlink"/>
          </w:rPr>
          <w:t>https://doi.org/10.3389/frai.2021.752558</w:t>
        </w:r>
      </w:hyperlink>
      <w:r>
        <w:t>.</w:t>
      </w:r>
    </w:p>
    <w:p w14:paraId="6620FCA2" w14:textId="77777777" w:rsidR="00CA4232" w:rsidRDefault="00000000">
      <w:pPr>
        <w:pStyle w:val="Textkrper"/>
      </w:pPr>
      <w:r>
        <w:lastRenderedPageBreak/>
        <w:t xml:space="preserve">Gramegna, Alex, and Paolo Giudici. 2021b. “SHAP and LIME: An Evaluation of Discriminative Power in Credit Risk.” </w:t>
      </w:r>
      <w:r>
        <w:rPr>
          <w:i/>
          <w:iCs/>
        </w:rPr>
        <w:t>Frontiers in Artificial Intelligence</w:t>
      </w:r>
      <w:r>
        <w:t xml:space="preserve"> 4: 752558. </w:t>
      </w:r>
      <w:hyperlink r:id="rId63">
        <w:r>
          <w:rPr>
            <w:rStyle w:val="Hyperlink"/>
          </w:rPr>
          <w:t>https://doi.org/10.3389/frai.2021.752558</w:t>
        </w:r>
      </w:hyperlink>
      <w:r>
        <w:t>.</w:t>
      </w:r>
    </w:p>
    <w:p w14:paraId="1A88B529" w14:textId="77777777" w:rsidR="00CA4232" w:rsidRDefault="00000000">
      <w:pPr>
        <w:pStyle w:val="Textkrper"/>
      </w:pPr>
      <w:r>
        <w:t xml:space="preserve">Green, Ben. 2022. “Escaping the Impossibility of Fairness: From Formal to Substantive Algorithmic Fairness.” </w:t>
      </w:r>
      <w:r>
        <w:rPr>
          <w:i/>
          <w:iCs/>
        </w:rPr>
        <w:t>Philosophy &amp; Technology</w:t>
      </w:r>
      <w:r>
        <w:t xml:space="preserve"> 35 (4): 90. </w:t>
      </w:r>
      <w:hyperlink r:id="rId64">
        <w:r>
          <w:rPr>
            <w:rStyle w:val="Hyperlink"/>
          </w:rPr>
          <w:t>https://doi.org/10.1007/s13347-022-00584-6</w:t>
        </w:r>
      </w:hyperlink>
      <w:r>
        <w:t>.</w:t>
      </w:r>
    </w:p>
    <w:p w14:paraId="099AA55D" w14:textId="77777777" w:rsidR="00CA4232" w:rsidRDefault="00000000">
      <w:pPr>
        <w:pStyle w:val="Textkrper"/>
      </w:pPr>
      <w:r>
        <w:t xml:space="preserve">Green, Ben, and Yiling Chen. 2019. “Disparate Interactions: An Algorithm-in-the-Loop Analysis of Fairness in Risk Assessments.” </w:t>
      </w:r>
      <w:r>
        <w:rPr>
          <w:i/>
          <w:iCs/>
        </w:rPr>
        <w:t>Proceedings of the Conference on Fairness, Accountability, and Transparency</w:t>
      </w:r>
      <w:r>
        <w:t xml:space="preserve">, 90–99. </w:t>
      </w:r>
      <w:hyperlink r:id="rId65">
        <w:r>
          <w:rPr>
            <w:rStyle w:val="Hyperlink"/>
          </w:rPr>
          <w:t>https://doi.org/10.1145/3287560.3287563</w:t>
        </w:r>
      </w:hyperlink>
      <w:r>
        <w:t>.</w:t>
      </w:r>
    </w:p>
    <w:p w14:paraId="0CC68E7F" w14:textId="77777777" w:rsidR="00CA4232" w:rsidRDefault="00000000">
      <w:pPr>
        <w:pStyle w:val="Textkrper"/>
      </w:pPr>
      <w:r>
        <w:t xml:space="preserve">Guidotti, Riccardo, Anna Monreale, Salvatore Ruggieri, Franco Turini, Fosca Giannotti, and Dino Pedreschi. 2019. “A Survey of Methods for Explaining Black Box Models.” </w:t>
      </w:r>
      <w:r>
        <w:rPr>
          <w:i/>
          <w:iCs/>
        </w:rPr>
        <w:t>ACM Computing Surveys</w:t>
      </w:r>
      <w:r>
        <w:t xml:space="preserve"> 51 (5): 1–42. </w:t>
      </w:r>
      <w:hyperlink r:id="rId66">
        <w:r>
          <w:rPr>
            <w:rStyle w:val="Hyperlink"/>
          </w:rPr>
          <w:t>https://doi.org/10.1145/3236009</w:t>
        </w:r>
      </w:hyperlink>
      <w:r>
        <w:t>.</w:t>
      </w:r>
    </w:p>
    <w:p w14:paraId="385549F8" w14:textId="77777777" w:rsidR="00CA4232" w:rsidRDefault="00000000">
      <w:pPr>
        <w:pStyle w:val="Textkrper"/>
      </w:pPr>
      <w:r>
        <w:t xml:space="preserve">Hardt, Moritz, Eric Price, and Nathan Srebro. 2016. “Equality of Opportunity in Supervised Learning.” </w:t>
      </w:r>
      <w:r>
        <w:rPr>
          <w:i/>
          <w:iCs/>
        </w:rPr>
        <w:t>Advances in Neural Information Processing Systems</w:t>
      </w:r>
      <w:r>
        <w:t xml:space="preserve"> 29: 3315–23.</w:t>
      </w:r>
    </w:p>
    <w:p w14:paraId="3B0392E6" w14:textId="77777777" w:rsidR="00CA4232" w:rsidRDefault="00000000">
      <w:pPr>
        <w:pStyle w:val="Textkrper"/>
      </w:pPr>
      <w:r>
        <w:t xml:space="preserve">Hellman, Deborah. 2020. “Measuring Algorithmic Fairness.” In </w:t>
      </w:r>
      <w:r>
        <w:rPr>
          <w:i/>
          <w:iCs/>
        </w:rPr>
        <w:t>Virginia Law Review</w:t>
      </w:r>
      <w:r>
        <w:t>, vol. 106. no. 4.</w:t>
      </w:r>
    </w:p>
    <w:p w14:paraId="1327594C" w14:textId="77777777" w:rsidR="00CA4232" w:rsidRDefault="00000000">
      <w:pPr>
        <w:pStyle w:val="Textkrper"/>
      </w:pPr>
      <w:r>
        <w:t xml:space="preserve">Holm, Sune. 2023a. “Egalitarianism and Algorithmic Fairness.” </w:t>
      </w:r>
      <w:r>
        <w:rPr>
          <w:i/>
          <w:iCs/>
        </w:rPr>
        <w:t>Philosophy &amp; Technology</w:t>
      </w:r>
      <w:r>
        <w:t xml:space="preserve"> 36 (1): 1–18. </w:t>
      </w:r>
      <w:hyperlink r:id="rId67">
        <w:r>
          <w:rPr>
            <w:rStyle w:val="Hyperlink"/>
          </w:rPr>
          <w:t>https://doi.org/10.1007/s13347-023-00607-w</w:t>
        </w:r>
      </w:hyperlink>
      <w:r>
        <w:t>.</w:t>
      </w:r>
    </w:p>
    <w:p w14:paraId="679986FB" w14:textId="77777777" w:rsidR="00CA4232" w:rsidRDefault="00000000">
      <w:pPr>
        <w:pStyle w:val="Textkrper"/>
      </w:pPr>
      <w:r>
        <w:t xml:space="preserve">Holm, Sune. 2023b. “The Fairness in Algorithmic Fairness.” </w:t>
      </w:r>
      <w:r>
        <w:rPr>
          <w:i/>
          <w:iCs/>
        </w:rPr>
        <w:t>Res Publica</w:t>
      </w:r>
      <w:r>
        <w:t xml:space="preserve"> 29 (2): 265–81. </w:t>
      </w:r>
      <w:hyperlink r:id="rId68">
        <w:r>
          <w:rPr>
            <w:rStyle w:val="Hyperlink"/>
          </w:rPr>
          <w:t>https://doi.org/10.1007/s11158-022-09546-3</w:t>
        </w:r>
      </w:hyperlink>
      <w:r>
        <w:t>.</w:t>
      </w:r>
    </w:p>
    <w:p w14:paraId="07DC4B3D" w14:textId="77777777" w:rsidR="00CA4232" w:rsidRDefault="00000000">
      <w:pPr>
        <w:pStyle w:val="Textkrper"/>
      </w:pPr>
      <w:r>
        <w:t xml:space="preserve">Holm, Sune. 2025. “Algorithmic Fairness, Decision Thresholds, and the Separateness of Persons.” </w:t>
      </w:r>
      <w:r>
        <w:rPr>
          <w:i/>
          <w:iCs/>
        </w:rPr>
        <w:t>Proceedings of the 2025 ACM Conference on Fairness, Accountability, and Transparency</w:t>
      </w:r>
      <w:r>
        <w:t xml:space="preserve">, 1–11. </w:t>
      </w:r>
      <w:hyperlink r:id="rId69">
        <w:r>
          <w:rPr>
            <w:rStyle w:val="Hyperlink"/>
          </w:rPr>
          <w:t>https://doi.org/10.1145/3715275.3732113</w:t>
        </w:r>
      </w:hyperlink>
      <w:r>
        <w:t>.</w:t>
      </w:r>
    </w:p>
    <w:p w14:paraId="293F26E6" w14:textId="77777777" w:rsidR="00CA4232" w:rsidRDefault="00000000">
      <w:pPr>
        <w:pStyle w:val="Textkrper"/>
      </w:pPr>
      <w:r>
        <w:t xml:space="preserve">Hu, Lily. 2023. “What Is ‘Race’ in Algorithmic Discrimination on the Basis of Race?” </w:t>
      </w:r>
      <w:r>
        <w:rPr>
          <w:i/>
          <w:iCs/>
        </w:rPr>
        <w:t>Journal of Moral Philosophy</w:t>
      </w:r>
      <w:r>
        <w:t xml:space="preserve"> 21 (1–2): 1–34. </w:t>
      </w:r>
      <w:hyperlink r:id="rId70">
        <w:r>
          <w:rPr>
            <w:rStyle w:val="Hyperlink"/>
          </w:rPr>
          <w:t>https://doi.org/10.1163/17455243-20234437</w:t>
        </w:r>
      </w:hyperlink>
      <w:r>
        <w:t>.</w:t>
      </w:r>
    </w:p>
    <w:p w14:paraId="76C400D2" w14:textId="77777777" w:rsidR="00CA4232" w:rsidRDefault="00000000">
      <w:pPr>
        <w:pStyle w:val="Textkrper"/>
      </w:pPr>
      <w:r>
        <w:t xml:space="preserve">Kalluri, Pratyusha. 2020. “Don’t Ask If Artificial Intelligence Is Good or Fair, Ask How It Shifts Power.” </w:t>
      </w:r>
      <w:r>
        <w:rPr>
          <w:i/>
          <w:iCs/>
        </w:rPr>
        <w:t>Nature</w:t>
      </w:r>
      <w:r>
        <w:t xml:space="preserve"> 583 (7815): 169. </w:t>
      </w:r>
      <w:hyperlink r:id="rId71">
        <w:r>
          <w:rPr>
            <w:rStyle w:val="Hyperlink"/>
          </w:rPr>
          <w:t>https://doi.org/10.1038/d41586-020-02003-2</w:t>
        </w:r>
      </w:hyperlink>
      <w:r>
        <w:t>.</w:t>
      </w:r>
    </w:p>
    <w:p w14:paraId="58606C21" w14:textId="77777777" w:rsidR="00CA4232" w:rsidRDefault="00000000">
      <w:pPr>
        <w:pStyle w:val="Textkrper"/>
      </w:pPr>
      <w:r>
        <w:t xml:space="preserve">Kaminski, Margot E. 2019. “Binary Governance: Lessons from the GDPR’s Approach to Algorithmic Accountability.” </w:t>
      </w:r>
      <w:r>
        <w:rPr>
          <w:i/>
          <w:iCs/>
        </w:rPr>
        <w:t>Southern California Law Review</w:t>
      </w:r>
      <w:r>
        <w:t xml:space="preserve"> 92 (6): 1529–616.</w:t>
      </w:r>
    </w:p>
    <w:p w14:paraId="062100CA" w14:textId="77777777" w:rsidR="00CA4232" w:rsidRDefault="00000000">
      <w:pPr>
        <w:pStyle w:val="Textkrper"/>
      </w:pPr>
      <w:r>
        <w:t xml:space="preserve">Kaminski, Margot E., and Gianclaudio Malgieri. 2021. “Algorithmic Impact Assessments under the GDPR: Producing Multi-Layered Explanations.” </w:t>
      </w:r>
      <w:r>
        <w:rPr>
          <w:i/>
          <w:iCs/>
        </w:rPr>
        <w:t>International Data Privacy Law</w:t>
      </w:r>
      <w:r>
        <w:t xml:space="preserve"> 11 (2): 125–44. </w:t>
      </w:r>
      <w:hyperlink r:id="rId72">
        <w:r>
          <w:rPr>
            <w:rStyle w:val="Hyperlink"/>
          </w:rPr>
          <w:t>https://doi.org/10.1093/idpl/ipaa020</w:t>
        </w:r>
      </w:hyperlink>
      <w:r>
        <w:t>.</w:t>
      </w:r>
    </w:p>
    <w:p w14:paraId="3B27EDD8" w14:textId="77777777" w:rsidR="00CA4232" w:rsidRDefault="00000000">
      <w:pPr>
        <w:pStyle w:val="Textkrper"/>
      </w:pPr>
      <w:r>
        <w:t xml:space="preserve">Karimi, Amir-Hossein, Gilles Barthe, Bernhard Schölkopf, and Isabel Valera. 2022. “A Survey of Algorithmic Recourse: Contrastive Explanations and Consequential Recommendations.” </w:t>
      </w:r>
      <w:r>
        <w:rPr>
          <w:i/>
          <w:iCs/>
        </w:rPr>
        <w:t>ACM Computing Surveys</w:t>
      </w:r>
      <w:r>
        <w:t xml:space="preserve"> 55 (5): 1–29. </w:t>
      </w:r>
      <w:hyperlink r:id="rId73">
        <w:r>
          <w:rPr>
            <w:rStyle w:val="Hyperlink"/>
          </w:rPr>
          <w:t>https://doi.org/10.1145/3527848</w:t>
        </w:r>
      </w:hyperlink>
      <w:r>
        <w:t>.</w:t>
      </w:r>
    </w:p>
    <w:p w14:paraId="05DC549C" w14:textId="77777777" w:rsidR="00CA4232" w:rsidRDefault="00000000">
      <w:pPr>
        <w:pStyle w:val="Textkrper"/>
      </w:pPr>
      <w:r>
        <w:lastRenderedPageBreak/>
        <w:t xml:space="preserve">Kaur, Harmanpreet, Eytan Adar, Eric Gilbert, and Cliff Lampe. 2022. “Sensible AI: Re-Imagining Interpretability and Explainability Using Sensemaking Theory.” </w:t>
      </w:r>
      <w:r>
        <w:rPr>
          <w:i/>
          <w:iCs/>
        </w:rPr>
        <w:t>Proceedings of the 2022 ACM Conference on Fairness, Accountability, and Transparency</w:t>
      </w:r>
      <w:r>
        <w:t xml:space="preserve">, 229–39. </w:t>
      </w:r>
      <w:hyperlink r:id="rId74">
        <w:r>
          <w:rPr>
            <w:rStyle w:val="Hyperlink"/>
          </w:rPr>
          <w:t>https://doi.org/10.1145/3531146.3533135</w:t>
        </w:r>
      </w:hyperlink>
      <w:r>
        <w:t>.</w:t>
      </w:r>
    </w:p>
    <w:p w14:paraId="70A68FAE" w14:textId="77777777" w:rsidR="00CA4232" w:rsidRDefault="00000000">
      <w:pPr>
        <w:pStyle w:val="Textkrper"/>
      </w:pPr>
      <w:r>
        <w:t xml:space="preserve">Kaur, Harmanpreet, Harsha Nori, Samuel Jenkins, Rich Caruana, Hanna Wallach, and Jennifer Wortman Vaughan. 2020a. “Interpreting Interpretability: Understanding Data Scientists’ Use of Interpretability Tools for Machine Learning.” </w:t>
      </w:r>
      <w:r>
        <w:rPr>
          <w:i/>
          <w:iCs/>
        </w:rPr>
        <w:t>Proceedings of the 2020 CHI Conference on Human Factors in Computing Systems</w:t>
      </w:r>
      <w:r>
        <w:t xml:space="preserve">, 1–14. </w:t>
      </w:r>
      <w:hyperlink r:id="rId75">
        <w:r>
          <w:rPr>
            <w:rStyle w:val="Hyperlink"/>
          </w:rPr>
          <w:t>https://doi.org/10.1145/3313831.3376219</w:t>
        </w:r>
      </w:hyperlink>
      <w:r>
        <w:t>.</w:t>
      </w:r>
    </w:p>
    <w:p w14:paraId="40E2EA17" w14:textId="77777777" w:rsidR="00CA4232" w:rsidRDefault="00000000">
      <w:pPr>
        <w:pStyle w:val="Textkrper"/>
      </w:pPr>
      <w:r>
        <w:t xml:space="preserve">Kaur, Harmanpreet, Harsha Nori, Samuel Jenkins, Rich Caruana, Hanna Wallach, and Jennifer Wortman Vaughan. 2020b. “Interpreting Interpretability: Understanding Data Scientists’ Use of Interpretability Tools for Machine Learning.” </w:t>
      </w:r>
      <w:r>
        <w:rPr>
          <w:i/>
          <w:iCs/>
        </w:rPr>
        <w:t>Proceedings of the 2020 CHI Conference on Human Factors in Computing Systems</w:t>
      </w:r>
      <w:r>
        <w:t xml:space="preserve">, 1–14. </w:t>
      </w:r>
      <w:hyperlink r:id="rId76">
        <w:r>
          <w:rPr>
            <w:rStyle w:val="Hyperlink"/>
          </w:rPr>
          <w:t>https://doi.org/10.1145/3313831.3376219</w:t>
        </w:r>
      </w:hyperlink>
      <w:r>
        <w:t>.</w:t>
      </w:r>
    </w:p>
    <w:p w14:paraId="5C3B5323" w14:textId="77777777" w:rsidR="00CA4232" w:rsidRDefault="00000000">
      <w:pPr>
        <w:pStyle w:val="Textkrper"/>
      </w:pPr>
      <w:r>
        <w:t xml:space="preserve">Kearns, Michael, Seth Neel, Aaron Roth, and Zhiwei Steven Wu. 2018a. “Preventing Fairness Gerrymandering: Auditing and Learning for Subgroup Fairness.” </w:t>
      </w:r>
      <w:r>
        <w:rPr>
          <w:i/>
          <w:iCs/>
        </w:rPr>
        <w:t>Proceedings of the 35th International Conference on Machine Learning</w:t>
      </w:r>
      <w:r>
        <w:t xml:space="preserve"> 80: 2564–72.</w:t>
      </w:r>
    </w:p>
    <w:p w14:paraId="6AF15D4C" w14:textId="77777777" w:rsidR="00CA4232" w:rsidRDefault="00000000">
      <w:pPr>
        <w:pStyle w:val="Textkrper"/>
      </w:pPr>
      <w:r>
        <w:t xml:space="preserve">Kearns, Michael, Seth Neel, Aaron Roth, and Zhiwei Steven Wu. 2018b. “Preventing Fairness Gerrymandering: Auditing and Learning for Subgroup Fairness.” </w:t>
      </w:r>
      <w:r>
        <w:rPr>
          <w:i/>
          <w:iCs/>
        </w:rPr>
        <w:t>Proceedings of the 35th International Conference on Machine Learning</w:t>
      </w:r>
      <w:r>
        <w:t>, 2564–72.</w:t>
      </w:r>
    </w:p>
    <w:p w14:paraId="489528EA" w14:textId="77777777" w:rsidR="00CA4232" w:rsidRDefault="00000000">
      <w:pPr>
        <w:pStyle w:val="Textkrper"/>
      </w:pPr>
      <w:r>
        <w:t xml:space="preserve">Kearns, Michael, Seth Neel, Aaron Roth, and Zhiwei Steven Wu. 2018c. “Preventing Fairness Gerrymandering: Auditing and Learning for Subgroup Fairness.” </w:t>
      </w:r>
      <w:r>
        <w:rPr>
          <w:i/>
          <w:iCs/>
        </w:rPr>
        <w:t>Proceedings of the 35th International Conference on Machine Learning</w:t>
      </w:r>
      <w:r>
        <w:t>, 2564–72.</w:t>
      </w:r>
    </w:p>
    <w:p w14:paraId="1D4F8009" w14:textId="77777777" w:rsidR="00CA4232" w:rsidRDefault="00000000">
      <w:pPr>
        <w:pStyle w:val="Textkrper"/>
      </w:pPr>
      <w:r>
        <w:t xml:space="preserve">Kearns, Michael, and Aaron Roth. 2019. </w:t>
      </w:r>
      <w:r>
        <w:rPr>
          <w:i/>
          <w:iCs/>
        </w:rPr>
        <w:t>The Ethical Algorithm: The Science of Socially Aware Algorithm Design</w:t>
      </w:r>
      <w:r>
        <w:t>. Oxford University Press.</w:t>
      </w:r>
    </w:p>
    <w:p w14:paraId="0DEFA9BF" w14:textId="77777777" w:rsidR="00CA4232" w:rsidRDefault="00000000">
      <w:pPr>
        <w:pStyle w:val="Textkrper"/>
      </w:pPr>
      <w:r>
        <w:t xml:space="preserve">Kim, Michael P., Amirata Ghorbani, and James Zou. 2019. “Multiaccuracy: Black-Box Post-Processing for Fairness in Classification.” </w:t>
      </w:r>
      <w:r>
        <w:rPr>
          <w:i/>
          <w:iCs/>
        </w:rPr>
        <w:t>Proceedings of the 2019 AAAI/ACM Conference on AI, Ethics, and Society</w:t>
      </w:r>
      <w:r>
        <w:t xml:space="preserve">, 247–54. </w:t>
      </w:r>
      <w:hyperlink r:id="rId77">
        <w:r>
          <w:rPr>
            <w:rStyle w:val="Hyperlink"/>
          </w:rPr>
          <w:t>https://doi.org/10.1145/3306618.3314287</w:t>
        </w:r>
      </w:hyperlink>
      <w:r>
        <w:t>.</w:t>
      </w:r>
    </w:p>
    <w:p w14:paraId="3E4FBB03" w14:textId="77777777" w:rsidR="00CA4232" w:rsidRDefault="00000000">
      <w:pPr>
        <w:pStyle w:val="Textkrper"/>
      </w:pPr>
      <w:r>
        <w:t xml:space="preserve">Kim, Pauline T. 2017. “Data-Driven Discrimination at Work.” </w:t>
      </w:r>
      <w:r>
        <w:rPr>
          <w:i/>
          <w:iCs/>
        </w:rPr>
        <w:t>William &amp; Mary Law Review</w:t>
      </w:r>
      <w:r>
        <w:t xml:space="preserve"> 58 (3): 857–936.</w:t>
      </w:r>
    </w:p>
    <w:p w14:paraId="13C62587" w14:textId="77777777" w:rsidR="00CA4232" w:rsidRDefault="00000000">
      <w:pPr>
        <w:pStyle w:val="Textkrper"/>
      </w:pPr>
      <w:r>
        <w:t xml:space="preserve">Kleinberg, Jon, Sendhil Mullainathan, and Manish Raghavan. 2017. “Inherent Trade-Offs in the Fair Determination of Risk Scores.” </w:t>
      </w:r>
      <w:r>
        <w:rPr>
          <w:i/>
          <w:iCs/>
        </w:rPr>
        <w:t>Proceedings of the 8th Innovations in Theoretical Computer Science Conference</w:t>
      </w:r>
      <w:r>
        <w:t xml:space="preserve">, 43:1-43:23. </w:t>
      </w:r>
      <w:hyperlink r:id="rId78">
        <w:r>
          <w:rPr>
            <w:rStyle w:val="Hyperlink"/>
          </w:rPr>
          <w:t>https://doi.org/10.4230/LIPIcs.ITCS.2017.43</w:t>
        </w:r>
      </w:hyperlink>
      <w:r>
        <w:t>.</w:t>
      </w:r>
    </w:p>
    <w:p w14:paraId="339A71CD" w14:textId="77777777" w:rsidR="00CA4232" w:rsidRDefault="00000000">
      <w:pPr>
        <w:pStyle w:val="Textkrper"/>
      </w:pPr>
      <w:r>
        <w:t xml:space="preserve">Kong, Youjin. 2022. “Are ‘Intersectionally Fair’ AI Algorithms Really Fair to Women of Color? A Philosophical Analysis.” </w:t>
      </w:r>
      <w:r>
        <w:rPr>
          <w:i/>
          <w:iCs/>
        </w:rPr>
        <w:t>Proceedings of the 2022 ACM Conference on Fairness, Accountability, and Transparency</w:t>
      </w:r>
      <w:r>
        <w:t xml:space="preserve">, 485–94. </w:t>
      </w:r>
      <w:hyperlink r:id="rId79">
        <w:r>
          <w:rPr>
            <w:rStyle w:val="Hyperlink"/>
          </w:rPr>
          <w:t>https://doi.org/10.1145/3531146.3533114</w:t>
        </w:r>
      </w:hyperlink>
      <w:r>
        <w:t>.</w:t>
      </w:r>
    </w:p>
    <w:p w14:paraId="470CA36F" w14:textId="77777777" w:rsidR="00CA4232" w:rsidRDefault="00000000">
      <w:pPr>
        <w:pStyle w:val="Textkrper"/>
      </w:pPr>
      <w:r>
        <w:lastRenderedPageBreak/>
        <w:t xml:space="preserve">Krishnan, Maya. 2020. “Against Interpretability: A Critical Examination of the Interpretability Problem in Machine Learning.” </w:t>
      </w:r>
      <w:r>
        <w:rPr>
          <w:i/>
          <w:iCs/>
        </w:rPr>
        <w:t>Philosophy &amp; Technology</w:t>
      </w:r>
      <w:r>
        <w:t xml:space="preserve"> 33 (3): 487–502. </w:t>
      </w:r>
      <w:hyperlink r:id="rId80">
        <w:r>
          <w:rPr>
            <w:rStyle w:val="Hyperlink"/>
          </w:rPr>
          <w:t>https://doi.org/10.1007/s13347-019-00372-9</w:t>
        </w:r>
      </w:hyperlink>
      <w:r>
        <w:t>.</w:t>
      </w:r>
    </w:p>
    <w:p w14:paraId="4AE6AA9F" w14:textId="77777777" w:rsidR="00CA4232" w:rsidRDefault="00000000">
      <w:pPr>
        <w:pStyle w:val="Textkrper"/>
      </w:pPr>
      <w:r>
        <w:t xml:space="preserve">Kroll, Joshua A., Joanna Huey, Solon Barocas, et al. 2017. “Accountable Algorithms.” </w:t>
      </w:r>
      <w:r>
        <w:rPr>
          <w:i/>
          <w:iCs/>
        </w:rPr>
        <w:t>University of Pennsylvania Law Review</w:t>
      </w:r>
      <w:r>
        <w:t xml:space="preserve"> 165 (3): 633–705.</w:t>
      </w:r>
    </w:p>
    <w:p w14:paraId="0E2C72AD" w14:textId="77777777" w:rsidR="00CA4232" w:rsidRDefault="00000000">
      <w:pPr>
        <w:pStyle w:val="Textkrper"/>
      </w:pPr>
      <w:r>
        <w:t xml:space="preserve">Kusner, Matt J., Joshua R. Loftus, Chris Russell, and Ricardo Silva. 2017a. “Counterfactual Fairness.” </w:t>
      </w:r>
      <w:r>
        <w:rPr>
          <w:i/>
          <w:iCs/>
        </w:rPr>
        <w:t>Advances in Neural Information Processing Systems 30 (NIPS 2017)</w:t>
      </w:r>
      <w:r>
        <w:t>, 4066–76.</w:t>
      </w:r>
    </w:p>
    <w:p w14:paraId="5A381350" w14:textId="77777777" w:rsidR="00CA4232" w:rsidRDefault="00000000">
      <w:pPr>
        <w:pStyle w:val="Textkrper"/>
      </w:pPr>
      <w:r>
        <w:t xml:space="preserve">Kusner, Matt J., Joshua R. Loftus, Chris Russell, and Ricardo Silva. 2017b. “Counterfactual Fairness.” </w:t>
      </w:r>
      <w:r>
        <w:rPr>
          <w:i/>
          <w:iCs/>
        </w:rPr>
        <w:t>Advances in Neural Information Processing Systems</w:t>
      </w:r>
      <w:r>
        <w:t xml:space="preserve"> 30: 4066–76.</w:t>
      </w:r>
    </w:p>
    <w:p w14:paraId="3449D44E" w14:textId="77777777" w:rsidR="00CA4232" w:rsidRDefault="00000000">
      <w:pPr>
        <w:pStyle w:val="Textkrper"/>
      </w:pPr>
      <w:r>
        <w:t xml:space="preserve">Le Quy, Tai, Arjun Roy, Vasileios Iosifidis, Wenbin Zhang, and Eirini Ntoutsi. 2022. “A Survey on Datasets for Fairness-Aware Machine Learning.” </w:t>
      </w:r>
      <w:r>
        <w:rPr>
          <w:i/>
          <w:iCs/>
        </w:rPr>
        <w:t>WIREs Data Mining and Knowledge Discovery</w:t>
      </w:r>
      <w:r>
        <w:t xml:space="preserve"> 12 (3). </w:t>
      </w:r>
      <w:hyperlink r:id="rId81">
        <w:r>
          <w:rPr>
            <w:rStyle w:val="Hyperlink"/>
          </w:rPr>
          <w:t>https://doi.org/10.1002/widm.1452</w:t>
        </w:r>
      </w:hyperlink>
      <w:r>
        <w:t>.</w:t>
      </w:r>
    </w:p>
    <w:p w14:paraId="0F6291ED" w14:textId="77777777" w:rsidR="00CA4232" w:rsidRDefault="00000000">
      <w:pPr>
        <w:pStyle w:val="Textkrper"/>
      </w:pPr>
      <w:r>
        <w:t xml:space="preserve">Leben, Derek. 2025. “AI Fairness: Designing Equal Opportunity Algorithms.” </w:t>
      </w:r>
      <w:r>
        <w:rPr>
          <w:i/>
          <w:iCs/>
        </w:rPr>
        <w:t>MIT Press</w:t>
      </w:r>
      <w:r>
        <w:t>.</w:t>
      </w:r>
    </w:p>
    <w:p w14:paraId="5384DF8D" w14:textId="77777777" w:rsidR="00CA4232" w:rsidRDefault="00000000">
      <w:pPr>
        <w:pStyle w:val="Textkrper"/>
      </w:pPr>
      <w:r>
        <w:t xml:space="preserve">Lee, Michelle Seng Ah, and Jatinder Singh. 2021. “The Landscape and Gaps in Open Source Fairness Toolkits.” </w:t>
      </w:r>
      <w:r>
        <w:rPr>
          <w:i/>
          <w:iCs/>
        </w:rPr>
        <w:t>Proceedings of the 2021 CHI Conference on Human Factors in Computing Systems</w:t>
      </w:r>
      <w:r>
        <w:t xml:space="preserve">, 1–13. </w:t>
      </w:r>
      <w:hyperlink r:id="rId82">
        <w:r>
          <w:rPr>
            <w:rStyle w:val="Hyperlink"/>
          </w:rPr>
          <w:t>https://doi.org/10.1145/3411764.3445261</w:t>
        </w:r>
      </w:hyperlink>
      <w:r>
        <w:t>.</w:t>
      </w:r>
    </w:p>
    <w:p w14:paraId="2B8115BE" w14:textId="77777777" w:rsidR="00CA4232" w:rsidRDefault="00000000">
      <w:pPr>
        <w:pStyle w:val="Textkrper"/>
      </w:pPr>
      <w:r>
        <w:t xml:space="preserve">Lee, Min Kyung, Anuraag Jain, Hae Jin Cha, Shashank Ojha, and Daniel Kusbit. 2019. “Procedural Justice in Algorithmic Fairness: Leveraging Transparency and Outcome Control for Fair Algorithmic Mediation.” </w:t>
      </w:r>
      <w:r>
        <w:rPr>
          <w:i/>
          <w:iCs/>
        </w:rPr>
        <w:t>Proceedings of the ACM on Human-Computer Interaction</w:t>
      </w:r>
      <w:r>
        <w:t xml:space="preserve"> 3 (CSCW): 1–26. </w:t>
      </w:r>
      <w:hyperlink r:id="rId83">
        <w:r>
          <w:rPr>
            <w:rStyle w:val="Hyperlink"/>
          </w:rPr>
          <w:t>https://doi.org/10.1145/3359284</w:t>
        </w:r>
      </w:hyperlink>
      <w:r>
        <w:t>.</w:t>
      </w:r>
    </w:p>
    <w:p w14:paraId="122BD49F" w14:textId="77777777" w:rsidR="00CA4232" w:rsidRDefault="00000000">
      <w:pPr>
        <w:pStyle w:val="Textkrper"/>
      </w:pPr>
      <w:r>
        <w:t xml:space="preserve">Liao, Q. Vera, Daniel Gruen, and Sarah Miller. 2020. “Questioning the AI: Informing Design Practices for Explainable AI User Experiences.” </w:t>
      </w:r>
      <w:r>
        <w:rPr>
          <w:i/>
          <w:iCs/>
        </w:rPr>
        <w:t>Proceedings of the 2020 CHI Conference on Human Factors in Computing Systems</w:t>
      </w:r>
      <w:r>
        <w:t xml:space="preserve">, 1–15. </w:t>
      </w:r>
      <w:hyperlink r:id="rId84">
        <w:r>
          <w:rPr>
            <w:rStyle w:val="Hyperlink"/>
          </w:rPr>
          <w:t>https://doi.org/10.1145/3313831.3376590</w:t>
        </w:r>
      </w:hyperlink>
      <w:r>
        <w:t>.</w:t>
      </w:r>
    </w:p>
    <w:p w14:paraId="36888CE3" w14:textId="77777777" w:rsidR="00CA4232" w:rsidRDefault="00000000">
      <w:pPr>
        <w:pStyle w:val="Textkrper"/>
      </w:pPr>
      <w:r>
        <w:t xml:space="preserve">Liao, Q. Vera, and Jennifer Wortman Vaughan. 2024. “SoK: Taming the Triangle–On the Interplays between Fairness, Interpretability and Privacy in Machine Learning.” </w:t>
      </w:r>
      <w:r>
        <w:rPr>
          <w:i/>
          <w:iCs/>
        </w:rPr>
        <w:t>arXiv Preprint arXiv:2312.16191</w:t>
      </w:r>
      <w:r>
        <w:t>.</w:t>
      </w:r>
    </w:p>
    <w:p w14:paraId="2F91B1FD" w14:textId="77777777" w:rsidR="00CA4232" w:rsidRDefault="00000000">
      <w:pPr>
        <w:pStyle w:val="Textkrper"/>
      </w:pPr>
      <w:r>
        <w:t xml:space="preserve">Lipton, Zachary C. 2018a. “The Mythos of Model Interpretability.” </w:t>
      </w:r>
      <w:r>
        <w:rPr>
          <w:i/>
          <w:iCs/>
        </w:rPr>
        <w:t>Queue</w:t>
      </w:r>
      <w:r>
        <w:t xml:space="preserve"> 16 (3): 31–57. </w:t>
      </w:r>
      <w:hyperlink r:id="rId85">
        <w:r>
          <w:rPr>
            <w:rStyle w:val="Hyperlink"/>
          </w:rPr>
          <w:t>https://doi.org/10.1145/3236386.3241340</w:t>
        </w:r>
      </w:hyperlink>
      <w:r>
        <w:t>.</w:t>
      </w:r>
    </w:p>
    <w:p w14:paraId="0366025E" w14:textId="77777777" w:rsidR="00CA4232" w:rsidRDefault="00000000">
      <w:pPr>
        <w:pStyle w:val="Textkrper"/>
      </w:pPr>
      <w:r>
        <w:t xml:space="preserve">Lipton, Zachary C. 2018b. “The Mythos of Model Interpretability: In Machine Learning, the Concept of Interpretability Is Both Important and Slippery.” </w:t>
      </w:r>
      <w:r>
        <w:rPr>
          <w:i/>
          <w:iCs/>
        </w:rPr>
        <w:t>Communications of the ACM</w:t>
      </w:r>
      <w:r>
        <w:t xml:space="preserve"> 61 (10): 36–43. </w:t>
      </w:r>
      <w:hyperlink r:id="rId86">
        <w:r>
          <w:rPr>
            <w:rStyle w:val="Hyperlink"/>
          </w:rPr>
          <w:t>https://doi.org/10.1145/3233231</w:t>
        </w:r>
      </w:hyperlink>
      <w:r>
        <w:t>.</w:t>
      </w:r>
    </w:p>
    <w:p w14:paraId="7B758040" w14:textId="77777777" w:rsidR="00CA4232" w:rsidRDefault="00000000">
      <w:pPr>
        <w:pStyle w:val="Textkrper"/>
      </w:pPr>
      <w:r>
        <w:t xml:space="preserve">Loi, Michele, Anders Herlitz, and Hoda Heidari. 2024. “Fair Equality of Chances for Prediction-Based Decisions.” </w:t>
      </w:r>
      <w:r>
        <w:rPr>
          <w:i/>
          <w:iCs/>
        </w:rPr>
        <w:t>Economics and Philosophy</w:t>
      </w:r>
      <w:r>
        <w:t xml:space="preserve"> 40 (3): 557–80. </w:t>
      </w:r>
      <w:hyperlink r:id="rId87">
        <w:r>
          <w:rPr>
            <w:rStyle w:val="Hyperlink"/>
          </w:rPr>
          <w:t>https://doi.org/10.1017/S0266267123000287</w:t>
        </w:r>
      </w:hyperlink>
      <w:r>
        <w:t>.</w:t>
      </w:r>
    </w:p>
    <w:p w14:paraId="65C6089D" w14:textId="77777777" w:rsidR="00CA4232" w:rsidRDefault="00000000">
      <w:pPr>
        <w:pStyle w:val="Textkrper"/>
      </w:pPr>
      <w:r>
        <w:t xml:space="preserve">Loi, Michele, Nikolas Liodakis, and Nikolaos Volanis. 2024. “The Conflict Between Algorithmic Fairness and Non-Discrimination: An Analysis of Fair Automated Hiring.” </w:t>
      </w:r>
      <w:r>
        <w:rPr>
          <w:i/>
          <w:iCs/>
        </w:rPr>
        <w:lastRenderedPageBreak/>
        <w:t>Proceedings of the 2024 ACM Conference on Fairness, Accountability, and Transparency</w:t>
      </w:r>
      <w:r>
        <w:t xml:space="preserve">, 1–12. </w:t>
      </w:r>
      <w:hyperlink r:id="rId88">
        <w:r>
          <w:rPr>
            <w:rStyle w:val="Hyperlink"/>
          </w:rPr>
          <w:t>https://doi.org/10.1145/3630106.3659015</w:t>
        </w:r>
      </w:hyperlink>
      <w:r>
        <w:t>.</w:t>
      </w:r>
    </w:p>
    <w:p w14:paraId="7945687E" w14:textId="77777777" w:rsidR="00CA4232" w:rsidRDefault="00000000">
      <w:pPr>
        <w:pStyle w:val="Textkrper"/>
      </w:pPr>
      <w:r>
        <w:t xml:space="preserve">Lundberg, Scott M. 2020a. “Explaining Quantitative Measures of Fairness.” </w:t>
      </w:r>
      <w:hyperlink r:id="rId89">
        <w:r>
          <w:rPr>
            <w:rStyle w:val="Hyperlink"/>
          </w:rPr>
          <w:t>https://scottlundberg.com/files/fairness_explanations.pdf</w:t>
        </w:r>
      </w:hyperlink>
      <w:r>
        <w:t>.</w:t>
      </w:r>
    </w:p>
    <w:p w14:paraId="76C69478" w14:textId="77777777" w:rsidR="00CA4232" w:rsidRDefault="00000000">
      <w:pPr>
        <w:pStyle w:val="Textkrper"/>
      </w:pPr>
      <w:r>
        <w:t>Lundberg, Scott M. 2020b. “Explaining Quantitative Measures of Fairness.” &lt;https://shap.readthedocs.io/en/latest/example_notebooks/overviews/Explaining quantitative measures of fairness.html&gt;.</w:t>
      </w:r>
    </w:p>
    <w:p w14:paraId="3B3AB29C" w14:textId="77777777" w:rsidR="00CA4232" w:rsidRDefault="00000000">
      <w:pPr>
        <w:pStyle w:val="Textkrper"/>
      </w:pPr>
      <w:r>
        <w:t xml:space="preserve">Lundberg, Scott M. 2020c. “Explaining Quantitative Measures of Fairness.” </w:t>
      </w:r>
      <w:hyperlink r:id="rId90">
        <w:r>
          <w:rPr>
            <w:rStyle w:val="Hyperlink"/>
          </w:rPr>
          <w:t>https://scottlundberg.com/files/fairness_explanations.pdf</w:t>
        </w:r>
      </w:hyperlink>
      <w:r>
        <w:t>.</w:t>
      </w:r>
    </w:p>
    <w:p w14:paraId="55E2DD9E" w14:textId="77777777" w:rsidR="00CA4232" w:rsidRDefault="00000000">
      <w:pPr>
        <w:pStyle w:val="Textkrper"/>
      </w:pPr>
      <w:r>
        <w:t>Lundberg, Scott M. 2020d. “Explaining Quantitative Measures of Fairness.” &lt;https://shap.readthedocs.io/en/latest/example_notebooks/overviews/Explaining quantitative measures of fairness.html&gt;.</w:t>
      </w:r>
    </w:p>
    <w:p w14:paraId="7B5CD328" w14:textId="77777777" w:rsidR="00CA4232" w:rsidRDefault="00000000">
      <w:pPr>
        <w:pStyle w:val="Textkrper"/>
      </w:pPr>
      <w:r>
        <w:t xml:space="preserve">Lundberg, Scott M., Gabriel Erion, Hugh Chen, et al. 2020a. “From Local Explanations to Global Understanding with Explainable AI for Trees.” </w:t>
      </w:r>
      <w:r>
        <w:rPr>
          <w:i/>
          <w:iCs/>
        </w:rPr>
        <w:t>Nature Machine Intelligence</w:t>
      </w:r>
      <w:r>
        <w:t xml:space="preserve"> 2: 56–67. </w:t>
      </w:r>
      <w:hyperlink r:id="rId91">
        <w:r>
          <w:rPr>
            <w:rStyle w:val="Hyperlink"/>
          </w:rPr>
          <w:t>https://doi.org/10.1038/s42256-019-0138-9</w:t>
        </w:r>
      </w:hyperlink>
      <w:r>
        <w:t>.</w:t>
      </w:r>
    </w:p>
    <w:p w14:paraId="331DA0CA" w14:textId="77777777" w:rsidR="00CA4232" w:rsidRDefault="00000000">
      <w:pPr>
        <w:pStyle w:val="Textkrper"/>
      </w:pPr>
      <w:r>
        <w:t xml:space="preserve">Lundberg, Scott M., Gabriel Erion, Hugh Chen, et al. 2020b. “From Local Explanations to Global Understanding with Explainable AI for Trees.” </w:t>
      </w:r>
      <w:r>
        <w:rPr>
          <w:i/>
          <w:iCs/>
        </w:rPr>
        <w:t>Nature Machine Intelligence</w:t>
      </w:r>
      <w:r>
        <w:t xml:space="preserve"> 2: 56–67. </w:t>
      </w:r>
      <w:hyperlink r:id="rId92">
        <w:r>
          <w:rPr>
            <w:rStyle w:val="Hyperlink"/>
          </w:rPr>
          <w:t>https://doi.org/10.1038/s42256-019-0138-9</w:t>
        </w:r>
      </w:hyperlink>
      <w:r>
        <w:t>.</w:t>
      </w:r>
    </w:p>
    <w:p w14:paraId="12AE3795" w14:textId="77777777" w:rsidR="00CA4232" w:rsidRDefault="00000000">
      <w:pPr>
        <w:pStyle w:val="Textkrper"/>
      </w:pPr>
      <w:r>
        <w:t xml:space="preserve">Lundberg, Scott M., Gabriel G. Erion, and Su-In Lee. 2018a. “Consistent Individualized Feature Attribution for Tree Ensembles.” </w:t>
      </w:r>
      <w:r>
        <w:rPr>
          <w:i/>
          <w:iCs/>
        </w:rPr>
        <w:t>arXiv Preprint arXiv:1802.03888</w:t>
      </w:r>
      <w:r>
        <w:t>.</w:t>
      </w:r>
    </w:p>
    <w:p w14:paraId="40970C92" w14:textId="77777777" w:rsidR="00CA4232" w:rsidRDefault="00000000">
      <w:pPr>
        <w:pStyle w:val="Textkrper"/>
      </w:pPr>
      <w:r>
        <w:t xml:space="preserve">Lundberg, Scott M., Gabriel G. Erion, and Su-In Lee. 2018b. “Consistent Individualized Feature Attribution for Tree Ensembles.” </w:t>
      </w:r>
      <w:r>
        <w:rPr>
          <w:i/>
          <w:iCs/>
        </w:rPr>
        <w:t>arXiv Preprint arXiv:1802.03888</w:t>
      </w:r>
      <w:r>
        <w:t>.</w:t>
      </w:r>
    </w:p>
    <w:p w14:paraId="7DCA14C7" w14:textId="77777777" w:rsidR="00CA4232" w:rsidRDefault="00000000">
      <w:pPr>
        <w:pStyle w:val="Textkrper"/>
      </w:pPr>
      <w:r>
        <w:t xml:space="preserve">Lundberg, Scott M., and Su-In Lee. 2017a. “A Unified Approach to Interpreting Model Predictions.” </w:t>
      </w:r>
      <w:r>
        <w:rPr>
          <w:i/>
          <w:iCs/>
        </w:rPr>
        <w:t>Advances in Neural Information Processing Systems 30 (NIPS 2017)</w:t>
      </w:r>
      <w:r>
        <w:t>, 4765–77.</w:t>
      </w:r>
    </w:p>
    <w:p w14:paraId="4C8C0B08" w14:textId="77777777" w:rsidR="00CA4232" w:rsidRDefault="00000000">
      <w:pPr>
        <w:pStyle w:val="Textkrper"/>
      </w:pPr>
      <w:r>
        <w:t xml:space="preserve">Lundberg, Scott M., and Su-In Lee. 2017b. “A Unified Approach to Interpreting Model Predictions.” </w:t>
      </w:r>
      <w:r>
        <w:rPr>
          <w:i/>
          <w:iCs/>
        </w:rPr>
        <w:t>Advances in Neural Information Processing Systems</w:t>
      </w:r>
      <w:r>
        <w:t xml:space="preserve"> 30: 4765–74.</w:t>
      </w:r>
    </w:p>
    <w:p w14:paraId="33900B99" w14:textId="77777777" w:rsidR="00CA4232" w:rsidRDefault="00000000">
      <w:pPr>
        <w:pStyle w:val="Textkrper"/>
      </w:pPr>
      <w:r>
        <w:t xml:space="preserve">Lundberg, Scott M., and Su-In Lee. 2017c. “A Unified Approach to Interpreting Model Predictions.” </w:t>
      </w:r>
      <w:r>
        <w:rPr>
          <w:i/>
          <w:iCs/>
        </w:rPr>
        <w:t>Advances in Neural Information Processing Systems</w:t>
      </w:r>
      <w:r>
        <w:t xml:space="preserve"> 30: 4765–74.</w:t>
      </w:r>
    </w:p>
    <w:p w14:paraId="3819B051" w14:textId="77777777" w:rsidR="00CA4232" w:rsidRDefault="00000000">
      <w:pPr>
        <w:pStyle w:val="Textkrper"/>
      </w:pPr>
      <w:r>
        <w:t xml:space="preserve">Lundberg, Scott M., and Su-In Lee. 2017d. “A Unified Approach to Interpreting Model Predictions.” </w:t>
      </w:r>
      <w:r>
        <w:rPr>
          <w:i/>
          <w:iCs/>
        </w:rPr>
        <w:t>Proceedings of the 31st International Conference on Neural Information Processing Systems</w:t>
      </w:r>
      <w:r>
        <w:t>, 4768–77.</w:t>
      </w:r>
    </w:p>
    <w:p w14:paraId="4C8DF50F" w14:textId="77777777" w:rsidR="00CA4232" w:rsidRDefault="00000000">
      <w:pPr>
        <w:pStyle w:val="Textkrper"/>
      </w:pPr>
      <w:r>
        <w:t xml:space="preserve">Lundberg, Scott M., and Su-In Lee. 2017e. “A Unified Approach to Interpreting Model Predictions.” </w:t>
      </w:r>
      <w:r>
        <w:rPr>
          <w:i/>
          <w:iCs/>
        </w:rPr>
        <w:t>Proceedings of the 31st International Conference on Neural Information Processing Systems</w:t>
      </w:r>
      <w:r>
        <w:t>, 4768–77.</w:t>
      </w:r>
    </w:p>
    <w:p w14:paraId="7CFF0DEC" w14:textId="77777777" w:rsidR="00CA4232" w:rsidRDefault="00000000">
      <w:pPr>
        <w:pStyle w:val="Textkrper"/>
      </w:pPr>
      <w:r>
        <w:lastRenderedPageBreak/>
        <w:t xml:space="preserve">Madaio, Michael A., Lisa Egede, Hariharan Subramonyam, Jennifer Wortman Vaughan, and Hanna Wallach. 2022. “Assessing the Fairness of AI Systems: AI Practitioners’ Processes, Challenges, and Needs for Support.” </w:t>
      </w:r>
      <w:r>
        <w:rPr>
          <w:i/>
          <w:iCs/>
        </w:rPr>
        <w:t>Proceedings of the ACM on Human-Computer Interaction</w:t>
      </w:r>
      <w:r>
        <w:t xml:space="preserve"> 6 (CSCW1): 1–26. </w:t>
      </w:r>
      <w:hyperlink r:id="rId93">
        <w:r>
          <w:rPr>
            <w:rStyle w:val="Hyperlink"/>
          </w:rPr>
          <w:t>https://doi.org/10.1145/3512899</w:t>
        </w:r>
      </w:hyperlink>
      <w:r>
        <w:t>.</w:t>
      </w:r>
    </w:p>
    <w:p w14:paraId="5FC60FE4" w14:textId="77777777" w:rsidR="00CA4232" w:rsidRDefault="00000000">
      <w:pPr>
        <w:pStyle w:val="Textkrper"/>
      </w:pPr>
      <w:r>
        <w:t xml:space="preserve">Madaio, Michael A., Luke Stark, Jennifer Wortman Vaughan, and Hanna Wallach. 2020. “Co-Designing Checklists to Understand Organizational Challenges and Opportunities around Fairness in AI.” </w:t>
      </w:r>
      <w:r>
        <w:rPr>
          <w:i/>
          <w:iCs/>
        </w:rPr>
        <w:t>Proceedings of the 2020 CHI Conference on Human Factors in Computing Systems</w:t>
      </w:r>
      <w:r>
        <w:t xml:space="preserve">, 1–14. </w:t>
      </w:r>
      <w:hyperlink r:id="rId94">
        <w:r>
          <w:rPr>
            <w:rStyle w:val="Hyperlink"/>
          </w:rPr>
          <w:t>https://doi.org/10.1145/3313831.3376445</w:t>
        </w:r>
      </w:hyperlink>
      <w:r>
        <w:t>.</w:t>
      </w:r>
    </w:p>
    <w:p w14:paraId="4C5C9317" w14:textId="77777777" w:rsidR="00CA4232" w:rsidRDefault="00000000">
      <w:pPr>
        <w:pStyle w:val="Textkrper"/>
      </w:pPr>
      <w:r>
        <w:t xml:space="preserve">Malgieri, Gianclaudio, and Giovanni Comandé. 2017. “Why a Right to Legibility of Automated Decision-Making Exists in the General Data Protection Regulation.” </w:t>
      </w:r>
      <w:r>
        <w:rPr>
          <w:i/>
          <w:iCs/>
        </w:rPr>
        <w:t>International Data Privacy Law</w:t>
      </w:r>
      <w:r>
        <w:t xml:space="preserve"> 7 (4): 243–65. </w:t>
      </w:r>
      <w:hyperlink r:id="rId95">
        <w:r>
          <w:rPr>
            <w:rStyle w:val="Hyperlink"/>
          </w:rPr>
          <w:t>https://doi.org/10.1093/idpl/ipx019</w:t>
        </w:r>
      </w:hyperlink>
      <w:r>
        <w:t>.</w:t>
      </w:r>
    </w:p>
    <w:p w14:paraId="1683BD76" w14:textId="77777777" w:rsidR="00CA4232" w:rsidRDefault="00000000">
      <w:pPr>
        <w:pStyle w:val="Textkrper"/>
      </w:pPr>
      <w:r>
        <w:t xml:space="preserve">Mehrabi, Ninareh, Fred Morstatter, Nripsuta Saxena, Kristina Lerman, and Aram Galstyan. 2021a. “A Survey on Bias and Fairness in Machine Learning.” </w:t>
      </w:r>
      <w:r>
        <w:rPr>
          <w:i/>
          <w:iCs/>
        </w:rPr>
        <w:t>ACM Computing Surveys</w:t>
      </w:r>
      <w:r>
        <w:t xml:space="preserve"> 54 (6): 1–35. </w:t>
      </w:r>
      <w:hyperlink r:id="rId96">
        <w:r>
          <w:rPr>
            <w:rStyle w:val="Hyperlink"/>
          </w:rPr>
          <w:t>https://doi.org/10.1145/3457607</w:t>
        </w:r>
      </w:hyperlink>
      <w:r>
        <w:t>.</w:t>
      </w:r>
    </w:p>
    <w:p w14:paraId="5708251E" w14:textId="77777777" w:rsidR="00CA4232" w:rsidRDefault="00000000">
      <w:pPr>
        <w:pStyle w:val="Textkrper"/>
      </w:pPr>
      <w:r>
        <w:t xml:space="preserve">Mehrabi, Ninareh, Fred Morstatter, Nripsuta Saxena, Kristina Lerman, and Aram Galstyan. 2021b. “A Survey on Bias and Fairness in Machine Learning.” </w:t>
      </w:r>
      <w:r>
        <w:rPr>
          <w:i/>
          <w:iCs/>
        </w:rPr>
        <w:t>ACM Computing Surveys</w:t>
      </w:r>
      <w:r>
        <w:t xml:space="preserve"> 54 (6): 1–35. </w:t>
      </w:r>
      <w:hyperlink r:id="rId97">
        <w:r>
          <w:rPr>
            <w:rStyle w:val="Hyperlink"/>
          </w:rPr>
          <w:t>https://doi.org/10.1145/3457607</w:t>
        </w:r>
      </w:hyperlink>
      <w:r>
        <w:t>.</w:t>
      </w:r>
    </w:p>
    <w:p w14:paraId="6E84D426" w14:textId="77777777" w:rsidR="00CA4232" w:rsidRDefault="00000000">
      <w:pPr>
        <w:pStyle w:val="Textkrper"/>
      </w:pPr>
      <w:r>
        <w:t xml:space="preserve">Mehrabi, Ninareh, Fred Morstatter, Nripsuta Saxena, Kristina Lerman, and Aram Galstyan. 2021c. “A Survey on Bias and Fairness in Machine Learning.” </w:t>
      </w:r>
      <w:r>
        <w:rPr>
          <w:i/>
          <w:iCs/>
        </w:rPr>
        <w:t>ACM Computing Surveys</w:t>
      </w:r>
      <w:r>
        <w:t xml:space="preserve"> 54 (6): 1–35. </w:t>
      </w:r>
      <w:hyperlink r:id="rId98">
        <w:r>
          <w:rPr>
            <w:rStyle w:val="Hyperlink"/>
          </w:rPr>
          <w:t>https://doi.org/10.1145/3457607</w:t>
        </w:r>
      </w:hyperlink>
      <w:r>
        <w:t>.</w:t>
      </w:r>
    </w:p>
    <w:p w14:paraId="78CBB75A" w14:textId="77777777" w:rsidR="00CA4232" w:rsidRDefault="00000000">
      <w:pPr>
        <w:pStyle w:val="Textkrper"/>
      </w:pPr>
      <w:r>
        <w:t xml:space="preserve">Mitchell, Margaret, Simone Wu, Andrew Zaldivar, et al. 2019a. “Model Cards for Model Reporting.” </w:t>
      </w:r>
      <w:r>
        <w:rPr>
          <w:i/>
          <w:iCs/>
        </w:rPr>
        <w:t>Proceedings of the Conference on Fairness, Accountability, and Transparency</w:t>
      </w:r>
      <w:r>
        <w:t xml:space="preserve">, 220–29. </w:t>
      </w:r>
      <w:hyperlink r:id="rId99">
        <w:r>
          <w:rPr>
            <w:rStyle w:val="Hyperlink"/>
          </w:rPr>
          <w:t>https://doi.org/10.1145/3287560.3287596</w:t>
        </w:r>
      </w:hyperlink>
      <w:r>
        <w:t>.</w:t>
      </w:r>
    </w:p>
    <w:p w14:paraId="3A45FA25" w14:textId="77777777" w:rsidR="00CA4232" w:rsidRDefault="00000000">
      <w:pPr>
        <w:pStyle w:val="Textkrper"/>
      </w:pPr>
      <w:r>
        <w:t xml:space="preserve">Mitchell, Margaret, Simone Wu, Andrew Zaldivar, et al. 2019b. “Model Cards for Model Reporting.” </w:t>
      </w:r>
      <w:r>
        <w:rPr>
          <w:i/>
          <w:iCs/>
        </w:rPr>
        <w:t>Proceedings of the Conference on Fairness, Accountability, and Transparency</w:t>
      </w:r>
      <w:r>
        <w:t xml:space="preserve">, 220–29. </w:t>
      </w:r>
      <w:hyperlink r:id="rId100">
        <w:r>
          <w:rPr>
            <w:rStyle w:val="Hyperlink"/>
          </w:rPr>
          <w:t>https://doi.org/10.1145/3287560.3287596</w:t>
        </w:r>
      </w:hyperlink>
      <w:r>
        <w:t>.</w:t>
      </w:r>
    </w:p>
    <w:p w14:paraId="299A406C" w14:textId="77777777" w:rsidR="00CA4232" w:rsidRDefault="00000000">
      <w:pPr>
        <w:pStyle w:val="Textkrper"/>
      </w:pPr>
      <w:r>
        <w:t xml:space="preserve">Mitchell, Shira, Eric Potash, Solon Barocas, Alexander D’Amour, and Kristian Lum. 2021. “Algorithmic Fairness: Choices, Assumptions, and Definitions.” </w:t>
      </w:r>
      <w:r>
        <w:rPr>
          <w:i/>
          <w:iCs/>
        </w:rPr>
        <w:t>Annual Review of Statistics and Its Application</w:t>
      </w:r>
      <w:r>
        <w:t xml:space="preserve"> 8: 141–63. </w:t>
      </w:r>
      <w:hyperlink r:id="rId101">
        <w:r>
          <w:rPr>
            <w:rStyle w:val="Hyperlink"/>
          </w:rPr>
          <w:t>https://doi.org/10.1146/annurev-statistics-042720-125902</w:t>
        </w:r>
      </w:hyperlink>
      <w:r>
        <w:t>.</w:t>
      </w:r>
    </w:p>
    <w:p w14:paraId="1DA6470E" w14:textId="77777777" w:rsidR="00CA4232" w:rsidRDefault="00000000">
      <w:pPr>
        <w:pStyle w:val="Textkrper"/>
      </w:pPr>
      <w:r>
        <w:t xml:space="preserve">Molnar, Christoph. 2019. </w:t>
      </w:r>
      <w:r>
        <w:rPr>
          <w:i/>
          <w:iCs/>
        </w:rPr>
        <w:t>Interpretable Machine Learning: A Guide for Making Black Box Models Explainable</w:t>
      </w:r>
      <w:r>
        <w:t>.</w:t>
      </w:r>
    </w:p>
    <w:p w14:paraId="0F009312" w14:textId="77777777" w:rsidR="00CA4232" w:rsidRDefault="00000000">
      <w:pPr>
        <w:pStyle w:val="Textkrper"/>
      </w:pPr>
      <w:r>
        <w:t xml:space="preserve">Molnar, Christoph. 2020. </w:t>
      </w:r>
      <w:r>
        <w:rPr>
          <w:i/>
          <w:iCs/>
        </w:rPr>
        <w:t>Interpretable Machine Learning: A Guide for Making Black Box Models Explainable</w:t>
      </w:r>
      <w:r>
        <w:t>. Lulu.com.</w:t>
      </w:r>
    </w:p>
    <w:p w14:paraId="2416C8BF" w14:textId="77777777" w:rsidR="00CA4232" w:rsidRDefault="00000000">
      <w:pPr>
        <w:pStyle w:val="Textkrper"/>
      </w:pPr>
      <w:r>
        <w:t xml:space="preserve">Molnar, Christoph. 2022a. </w:t>
      </w:r>
      <w:r>
        <w:rPr>
          <w:i/>
          <w:iCs/>
        </w:rPr>
        <w:t>Interpretable Machine Learning: A Guide for Making Black Box Models Explainable</w:t>
      </w:r>
      <w:r>
        <w:t xml:space="preserve">. </w:t>
      </w:r>
      <w:hyperlink r:id="rId102">
        <w:r>
          <w:rPr>
            <w:rStyle w:val="Hyperlink"/>
          </w:rPr>
          <w:t>https://christophm.github.io/interpretable-ml-book/</w:t>
        </w:r>
      </w:hyperlink>
      <w:r>
        <w:t>.</w:t>
      </w:r>
    </w:p>
    <w:p w14:paraId="19200B80" w14:textId="77777777" w:rsidR="00CA4232" w:rsidRDefault="00000000">
      <w:pPr>
        <w:pStyle w:val="Textkrper"/>
      </w:pPr>
      <w:r>
        <w:t xml:space="preserve">Molnar, Christoph. 2022b. </w:t>
      </w:r>
      <w:r>
        <w:rPr>
          <w:i/>
          <w:iCs/>
        </w:rPr>
        <w:t>Interpretable Machine Learning: A Guide for Making Black Box Models Explainable</w:t>
      </w:r>
      <w:r>
        <w:t xml:space="preserve">. </w:t>
      </w:r>
      <w:hyperlink r:id="rId103">
        <w:r>
          <w:rPr>
            <w:rStyle w:val="Hyperlink"/>
          </w:rPr>
          <w:t>https://christophm.github.io/interpretable-ml-book/</w:t>
        </w:r>
      </w:hyperlink>
      <w:r>
        <w:t>.</w:t>
      </w:r>
    </w:p>
    <w:p w14:paraId="7D65E53E" w14:textId="77777777" w:rsidR="00CA4232" w:rsidRDefault="00000000">
      <w:pPr>
        <w:pStyle w:val="Textkrper"/>
      </w:pPr>
      <w:r>
        <w:lastRenderedPageBreak/>
        <w:t xml:space="preserve">Mothilal, Ramaravind K., Amit Sharma, and Chenhao Tan. 2020a. “Explaining Machine Learning Classifiers through Diverse Counterfactual Explanations.” </w:t>
      </w:r>
      <w:r>
        <w:rPr>
          <w:i/>
          <w:iCs/>
        </w:rPr>
        <w:t>Proceedings of the 2020 Conference on Fairness, Accountability, and Transparency</w:t>
      </w:r>
      <w:r>
        <w:t xml:space="preserve">, 607–17. </w:t>
      </w:r>
      <w:hyperlink r:id="rId104">
        <w:r>
          <w:rPr>
            <w:rStyle w:val="Hyperlink"/>
          </w:rPr>
          <w:t>https://doi.org/10.1145/3351095.3372850</w:t>
        </w:r>
      </w:hyperlink>
      <w:r>
        <w:t>.</w:t>
      </w:r>
    </w:p>
    <w:p w14:paraId="4918811F" w14:textId="77777777" w:rsidR="00CA4232" w:rsidRDefault="00000000">
      <w:pPr>
        <w:pStyle w:val="Textkrper"/>
      </w:pPr>
      <w:r>
        <w:t xml:space="preserve">Mothilal, Ramaravind K., Amit Sharma, and Chenhao Tan. 2020b. “Explaining Machine Learning Classifiers through Diverse Counterfactual Explanations.” </w:t>
      </w:r>
      <w:r>
        <w:rPr>
          <w:i/>
          <w:iCs/>
        </w:rPr>
        <w:t>Proceedings of the 2020 Conference on Fairness, Accountability, and Transparency</w:t>
      </w:r>
      <w:r>
        <w:t xml:space="preserve">, 607–17. </w:t>
      </w:r>
      <w:hyperlink r:id="rId105">
        <w:r>
          <w:rPr>
            <w:rStyle w:val="Hyperlink"/>
          </w:rPr>
          <w:t>https://doi.org/10.1145/3351095.3372850</w:t>
        </w:r>
      </w:hyperlink>
      <w:r>
        <w:t>.</w:t>
      </w:r>
    </w:p>
    <w:p w14:paraId="4C1E5701" w14:textId="77777777" w:rsidR="00CA4232" w:rsidRDefault="00000000">
      <w:pPr>
        <w:pStyle w:val="Textkrper"/>
      </w:pPr>
      <w:r>
        <w:t xml:space="preserve">Mothilal, Ramaravind Kommiya, Amit Sharma, and Chenhao Tan. 2020. “Explaining Machine Learning Classifiers through Diverse Counterfactual Explanations.” _Proceedings of the 2020 Conference on Fairness, Accountability, and Transparency (FAT*)_, 607–17. </w:t>
      </w:r>
      <w:hyperlink r:id="rId106">
        <w:r>
          <w:rPr>
            <w:rStyle w:val="Hyperlink"/>
          </w:rPr>
          <w:t>https://doi.org/10.1145/3351095.3372850</w:t>
        </w:r>
      </w:hyperlink>
      <w:r>
        <w:t>.</w:t>
      </w:r>
    </w:p>
    <w:p w14:paraId="42FCABE9" w14:textId="77777777" w:rsidR="00CA4232" w:rsidRDefault="00000000">
      <w:pPr>
        <w:pStyle w:val="Textkrper"/>
      </w:pPr>
      <w:r>
        <w:t xml:space="preserve">Munechika, David, Zijie J. Wang, Jack Reidy, et al. 2022. “Visual Auditor: Interactive Visualization for Detection and Summarization of Model Biases.” </w:t>
      </w:r>
      <w:r>
        <w:rPr>
          <w:i/>
          <w:iCs/>
        </w:rPr>
        <w:t>2022 IEEE Visualization and Visual Analytics (VIS)</w:t>
      </w:r>
      <w:r>
        <w:t xml:space="preserve">, 45–49. </w:t>
      </w:r>
      <w:hyperlink r:id="rId107">
        <w:r>
          <w:rPr>
            <w:rStyle w:val="Hyperlink"/>
          </w:rPr>
          <w:t>https://doi.org/10.1109/VIS54862.2022.00017</w:t>
        </w:r>
      </w:hyperlink>
      <w:r>
        <w:t>.</w:t>
      </w:r>
    </w:p>
    <w:p w14:paraId="725BEEB8" w14:textId="77777777" w:rsidR="00CA4232" w:rsidRDefault="00000000">
      <w:pPr>
        <w:pStyle w:val="Textkrper"/>
      </w:pPr>
      <w:r>
        <w:t xml:space="preserve">Narayanan, Arvind. 2018a. “Translation Tutorial: 21 Fairness Definitions and Their Politics.” </w:t>
      </w:r>
      <w:r>
        <w:rPr>
          <w:i/>
          <w:iCs/>
        </w:rPr>
        <w:t>Proceedings of Conference on Fairness, Accountability, and Transparency</w:t>
      </w:r>
      <w:r>
        <w:t>.</w:t>
      </w:r>
    </w:p>
    <w:p w14:paraId="4BE20A52" w14:textId="77777777" w:rsidR="00CA4232" w:rsidRDefault="00000000">
      <w:pPr>
        <w:pStyle w:val="Textkrper"/>
      </w:pPr>
      <w:r>
        <w:t>Narayanan, Arvind. 2018b. “Translation Tutorial: 21 Fairness Definitions and Their Politics.”</w:t>
      </w:r>
    </w:p>
    <w:p w14:paraId="39B2C0D5" w14:textId="77777777" w:rsidR="00CA4232" w:rsidRDefault="00000000">
      <w:pPr>
        <w:pStyle w:val="Textkrper"/>
      </w:pPr>
      <w:r>
        <w:t>New York City. 2021. “Local Law 144 of 2021: Automated Employment Decision Tools.”</w:t>
      </w:r>
    </w:p>
    <w:p w14:paraId="199C8B71" w14:textId="77777777" w:rsidR="00CA4232" w:rsidRDefault="00000000">
      <w:pPr>
        <w:pStyle w:val="Textkrper"/>
      </w:pPr>
      <w:r>
        <w:t xml:space="preserve">Noble, Safiya Umoja. 2018. </w:t>
      </w:r>
      <w:r>
        <w:rPr>
          <w:i/>
          <w:iCs/>
        </w:rPr>
        <w:t>Algorithms of Oppression: How Search Engines Reinforce Racism</w:t>
      </w:r>
      <w:r>
        <w:t>. NYU Press.</w:t>
      </w:r>
    </w:p>
    <w:p w14:paraId="259E1C49" w14:textId="77777777" w:rsidR="00CA4232" w:rsidRDefault="00000000">
      <w:pPr>
        <w:pStyle w:val="Textkrper"/>
      </w:pPr>
      <w:r>
        <w:t xml:space="preserve">Nyrup, Rune. 2022. “The Limits of Value Transparency in Machine Learning.” </w:t>
      </w:r>
      <w:r>
        <w:rPr>
          <w:i/>
          <w:iCs/>
        </w:rPr>
        <w:t>Philosophy of Science</w:t>
      </w:r>
      <w:r>
        <w:t xml:space="preserve"> 89 (5): 1128–38. </w:t>
      </w:r>
      <w:hyperlink r:id="rId108">
        <w:r>
          <w:rPr>
            <w:rStyle w:val="Hyperlink"/>
          </w:rPr>
          <w:t>https://doi.org/10.1017/psa.2022.49</w:t>
        </w:r>
      </w:hyperlink>
      <w:r>
        <w:t>.</w:t>
      </w:r>
    </w:p>
    <w:p w14:paraId="3DAFD2C5" w14:textId="77777777" w:rsidR="00CA4232" w:rsidRDefault="00000000">
      <w:pPr>
        <w:pStyle w:val="Textkrper"/>
      </w:pPr>
      <w:r>
        <w:t xml:space="preserve">Obermeyer, Ziad, Brian Powers, Christine Vogeli, and Sendhil Mullainathan. 2019. “Dissecting Racial Bias in an Algorithm Used to Manage the Health of Populations.” </w:t>
      </w:r>
      <w:r>
        <w:rPr>
          <w:i/>
          <w:iCs/>
        </w:rPr>
        <w:t>Science</w:t>
      </w:r>
      <w:r>
        <w:t xml:space="preserve"> 366 (6464): 447–53. </w:t>
      </w:r>
      <w:hyperlink r:id="rId109">
        <w:r>
          <w:rPr>
            <w:rStyle w:val="Hyperlink"/>
          </w:rPr>
          <w:t>https://doi.org/10.1126/science.aax2342</w:t>
        </w:r>
      </w:hyperlink>
      <w:r>
        <w:t>.</w:t>
      </w:r>
    </w:p>
    <w:p w14:paraId="1D359687" w14:textId="77777777" w:rsidR="00CA4232" w:rsidRDefault="00000000">
      <w:pPr>
        <w:pStyle w:val="Textkrper"/>
      </w:pPr>
      <w:r>
        <w:t xml:space="preserve">Pasquale, Frank. 2015. </w:t>
      </w:r>
      <w:r>
        <w:rPr>
          <w:i/>
          <w:iCs/>
        </w:rPr>
        <w:t>The Black Box Society: The Secret Algorithms That Control Money and Information</w:t>
      </w:r>
      <w:r>
        <w:t>.</w:t>
      </w:r>
    </w:p>
    <w:p w14:paraId="2BDC6D0B" w14:textId="77777777" w:rsidR="00CA4232" w:rsidRDefault="00000000">
      <w:pPr>
        <w:pStyle w:val="Textkrper"/>
      </w:pPr>
      <w:r>
        <w:t xml:space="preserve">Pazzanese, Chiara, Luigi Cinque, and Mauro Mazzei. 2024a. “Interpreting Artificial Intelligence Models: A Systematic Review on the Application of LIME and SHAP in Alzheimer’s Disease Detection.” </w:t>
      </w:r>
      <w:r>
        <w:rPr>
          <w:i/>
          <w:iCs/>
        </w:rPr>
        <w:t>Brain Informatics</w:t>
      </w:r>
      <w:r>
        <w:t xml:space="preserve"> 11 (6). </w:t>
      </w:r>
      <w:hyperlink r:id="rId110">
        <w:r>
          <w:rPr>
            <w:rStyle w:val="Hyperlink"/>
          </w:rPr>
          <w:t>https://doi.org/10.1186/s40708-024-00222-1</w:t>
        </w:r>
      </w:hyperlink>
      <w:r>
        <w:t>.</w:t>
      </w:r>
    </w:p>
    <w:p w14:paraId="42501B15" w14:textId="77777777" w:rsidR="00CA4232" w:rsidRDefault="00000000">
      <w:pPr>
        <w:pStyle w:val="Textkrper"/>
      </w:pPr>
      <w:r>
        <w:t xml:space="preserve">Pazzanese, Chiara, Luigi Cinque, and Mauro Mazzei. 2024b. “Interpreting Artificial Intelligence Models: A Systematic Review on the Application of LIME and SHAP in Alzheimer’s Disease Detection.” </w:t>
      </w:r>
      <w:r>
        <w:rPr>
          <w:i/>
          <w:iCs/>
        </w:rPr>
        <w:t>Brain Informatics</w:t>
      </w:r>
      <w:r>
        <w:t xml:space="preserve"> 11 (6). </w:t>
      </w:r>
      <w:hyperlink r:id="rId111">
        <w:r>
          <w:rPr>
            <w:rStyle w:val="Hyperlink"/>
          </w:rPr>
          <w:t>https://doi.org/10.1186/s40708-024-00222-1</w:t>
        </w:r>
      </w:hyperlink>
      <w:r>
        <w:t>.</w:t>
      </w:r>
    </w:p>
    <w:p w14:paraId="162BD78A" w14:textId="77777777" w:rsidR="00CA4232" w:rsidRDefault="00000000">
      <w:pPr>
        <w:pStyle w:val="Textkrper"/>
      </w:pPr>
      <w:r>
        <w:lastRenderedPageBreak/>
        <w:t xml:space="preserve">Pessach, Dana, and Erez Shmueli. 2022. “A Review on Fairness in Machine Learning.” </w:t>
      </w:r>
      <w:r>
        <w:rPr>
          <w:i/>
          <w:iCs/>
        </w:rPr>
        <w:t>ACM Computing Surveys</w:t>
      </w:r>
      <w:r>
        <w:t xml:space="preserve"> 55 (3): 1–44. </w:t>
      </w:r>
      <w:hyperlink r:id="rId112">
        <w:r>
          <w:rPr>
            <w:rStyle w:val="Hyperlink"/>
          </w:rPr>
          <w:t>https://doi.org/10.1145/3494672</w:t>
        </w:r>
      </w:hyperlink>
      <w:r>
        <w:t>.</w:t>
      </w:r>
    </w:p>
    <w:p w14:paraId="2AF8739E" w14:textId="77777777" w:rsidR="00CA4232" w:rsidRDefault="00000000">
      <w:pPr>
        <w:pStyle w:val="Textkrper"/>
      </w:pPr>
      <w:r>
        <w:t xml:space="preserve">Pleiss, Geoff, Manish Raghavan, Felix Wu, Jon Kleinberg, and Kilian Q. Weinberger. 2017. “On Fairness and Calibration.” </w:t>
      </w:r>
      <w:r>
        <w:rPr>
          <w:i/>
          <w:iCs/>
        </w:rPr>
        <w:t>Advances in Neural Information Processing Systems</w:t>
      </w:r>
      <w:r>
        <w:t xml:space="preserve"> 30: 5680–89.</w:t>
      </w:r>
    </w:p>
    <w:p w14:paraId="18784DDE" w14:textId="77777777" w:rsidR="00CA4232" w:rsidRDefault="00000000">
      <w:pPr>
        <w:pStyle w:val="Textkrper"/>
      </w:pPr>
      <w:r>
        <w:t xml:space="preserve">ProPublica. 2016. “How We Analyzed the COMPAS Recidivism Algorithm.” </w:t>
      </w:r>
      <w:hyperlink r:id="rId113">
        <w:r>
          <w:rPr>
            <w:rStyle w:val="Hyperlink"/>
          </w:rPr>
          <w:t>https://www.propublica.org/article/how-we-analyzed-the-compas-recidivism-algorithm</w:t>
        </w:r>
      </w:hyperlink>
      <w:r>
        <w:t>.</w:t>
      </w:r>
    </w:p>
    <w:p w14:paraId="5A4FEC7A" w14:textId="77777777" w:rsidR="00CA4232" w:rsidRDefault="00000000">
      <w:pPr>
        <w:pStyle w:val="Textkrper"/>
      </w:pPr>
      <w:r>
        <w:t xml:space="preserve">Prunkl, Carina E. A. 2022. “Human Autonomy in the Age of Artificial Intelligence.” </w:t>
      </w:r>
      <w:r>
        <w:rPr>
          <w:i/>
          <w:iCs/>
        </w:rPr>
        <w:t>Nature Machine Intelligence</w:t>
      </w:r>
      <w:r>
        <w:t xml:space="preserve"> 4 (2): 99–101. </w:t>
      </w:r>
      <w:hyperlink r:id="rId114">
        <w:r>
          <w:rPr>
            <w:rStyle w:val="Hyperlink"/>
          </w:rPr>
          <w:t>https://doi.org/10.1038/s42256-022-00449-9</w:t>
        </w:r>
      </w:hyperlink>
      <w:r>
        <w:t>.</w:t>
      </w:r>
    </w:p>
    <w:p w14:paraId="472FF251" w14:textId="77777777" w:rsidR="00CA4232" w:rsidRDefault="00000000">
      <w:pPr>
        <w:pStyle w:val="Textkrper"/>
      </w:pPr>
      <w:r>
        <w:t xml:space="preserve">Raghavan, Manish, Solon Barocas, Jon Kleinberg, and Karen Levy. 2020. “Mitigating Bias in Algorithmic Hiring: Evaluating Claims and Practices.” </w:t>
      </w:r>
      <w:r>
        <w:rPr>
          <w:i/>
          <w:iCs/>
        </w:rPr>
        <w:t>Proceedings of the 2020 Conference on Fairness, Accountability, and Transparency</w:t>
      </w:r>
      <w:r>
        <w:t xml:space="preserve">, 469–81. </w:t>
      </w:r>
      <w:hyperlink r:id="rId115">
        <w:r>
          <w:rPr>
            <w:rStyle w:val="Hyperlink"/>
          </w:rPr>
          <w:t>https://doi.org/10.1145/3351095.3372828</w:t>
        </w:r>
      </w:hyperlink>
      <w:r>
        <w:t>.</w:t>
      </w:r>
    </w:p>
    <w:p w14:paraId="156FD9C8" w14:textId="77777777" w:rsidR="00CA4232" w:rsidRDefault="00000000">
      <w:pPr>
        <w:pStyle w:val="Textkrper"/>
      </w:pPr>
      <w:r>
        <w:t xml:space="preserve">Raji, Inioluwa Deborah, and Joy Buolamwini. 2019a. “Actionable Auditing: Investigating the Impact of Publicly Naming Biased Performance Results of Commercial AI Products.” </w:t>
      </w:r>
      <w:r>
        <w:rPr>
          <w:i/>
          <w:iCs/>
        </w:rPr>
        <w:t>Proceedings of the 2019 AAAI/ACM Conference on AI, Ethics, and Society</w:t>
      </w:r>
      <w:r>
        <w:t xml:space="preserve">, 429–35. </w:t>
      </w:r>
      <w:hyperlink r:id="rId116">
        <w:r>
          <w:rPr>
            <w:rStyle w:val="Hyperlink"/>
          </w:rPr>
          <w:t>https://doi.org/10.1145/3306618.3314244</w:t>
        </w:r>
      </w:hyperlink>
      <w:r>
        <w:t>.</w:t>
      </w:r>
    </w:p>
    <w:p w14:paraId="7F0284A6" w14:textId="77777777" w:rsidR="00CA4232" w:rsidRDefault="00000000">
      <w:pPr>
        <w:pStyle w:val="Textkrper"/>
      </w:pPr>
      <w:r>
        <w:t xml:space="preserve">Raji, Inioluwa Deborah, and Joy Buolamwini. 2019b. “Actionable Auditing: Investigating the Impact of Publicly Naming Biased Performance Results of Commercial AI Products.” </w:t>
      </w:r>
      <w:r>
        <w:rPr>
          <w:i/>
          <w:iCs/>
        </w:rPr>
        <w:t>Proceedings of the 2019 AAAI/ACM Conference on AI, Ethics, and Society</w:t>
      </w:r>
      <w:r>
        <w:t xml:space="preserve">, 429–35. </w:t>
      </w:r>
      <w:hyperlink r:id="rId117">
        <w:r>
          <w:rPr>
            <w:rStyle w:val="Hyperlink"/>
          </w:rPr>
          <w:t>https://doi.org/10.1145/3306618.3314244</w:t>
        </w:r>
      </w:hyperlink>
      <w:r>
        <w:t>.</w:t>
      </w:r>
    </w:p>
    <w:p w14:paraId="1EA7E0F3" w14:textId="77777777" w:rsidR="00CA4232" w:rsidRDefault="00000000">
      <w:pPr>
        <w:pStyle w:val="Textkrper"/>
      </w:pPr>
      <w:r>
        <w:t xml:space="preserve">Raji, Inioluwa Deborah, Timnit Gebru, Margaret Mitchell, Joy Buolamwini, Joonseok Lee, and Emily Denton. 2020. “Saving Face: Investigating the Ethical Concerns of Facial Recognition Auditing.” </w:t>
      </w:r>
      <w:r>
        <w:rPr>
          <w:i/>
          <w:iCs/>
        </w:rPr>
        <w:t>Proceedings of the AAAI/ACM Conference on AI, Ethics, and Society</w:t>
      </w:r>
      <w:r>
        <w:t xml:space="preserve">, 145–51. </w:t>
      </w:r>
      <w:hyperlink r:id="rId118">
        <w:r>
          <w:rPr>
            <w:rStyle w:val="Hyperlink"/>
          </w:rPr>
          <w:t>https://doi.org/10.1145/3375627.3375820</w:t>
        </w:r>
      </w:hyperlink>
      <w:r>
        <w:t>.</w:t>
      </w:r>
    </w:p>
    <w:p w14:paraId="296D7B82" w14:textId="77777777" w:rsidR="00CA4232" w:rsidRDefault="00000000">
      <w:pPr>
        <w:pStyle w:val="Textkrper"/>
      </w:pPr>
      <w:r>
        <w:t xml:space="preserve">Raji, Inioluwa Deborah, Andrew Smart, Rebecca N. White, et al. 2020. “Closing the AI Accountability Gap: Defining an End-to-End Framework for Internal Algorithmic Auditing.” </w:t>
      </w:r>
      <w:r>
        <w:rPr>
          <w:i/>
          <w:iCs/>
        </w:rPr>
        <w:t>Proceedings of the 2020 Conference on Fairness, Accountability, and Transparency</w:t>
      </w:r>
      <w:r>
        <w:t xml:space="preserve">, 33–44. </w:t>
      </w:r>
      <w:hyperlink r:id="rId119">
        <w:r>
          <w:rPr>
            <w:rStyle w:val="Hyperlink"/>
          </w:rPr>
          <w:t>https://doi.org/10.1145/3351095.3372873</w:t>
        </w:r>
      </w:hyperlink>
      <w:r>
        <w:t>.</w:t>
      </w:r>
    </w:p>
    <w:p w14:paraId="6827EAAA" w14:textId="77777777" w:rsidR="00CA4232" w:rsidRDefault="00000000">
      <w:pPr>
        <w:pStyle w:val="Textkrper"/>
      </w:pPr>
      <w:r>
        <w:t xml:space="preserve">Rambachan, Ashesh, Jon Kleinberg, Sendhil Mullainathan, and Jens Ludwig. 2020. “An Economic Approach to Regulating Algorithms.” </w:t>
      </w:r>
      <w:r>
        <w:rPr>
          <w:i/>
          <w:iCs/>
        </w:rPr>
        <w:t>NBER Working Paper</w:t>
      </w:r>
      <w:r>
        <w:t>, no. 27111.</w:t>
      </w:r>
    </w:p>
    <w:p w14:paraId="5E625DB0" w14:textId="77777777" w:rsidR="00CA4232" w:rsidRDefault="00000000">
      <w:pPr>
        <w:pStyle w:val="Textkrper"/>
      </w:pPr>
      <w:r>
        <w:t xml:space="preserve">Research, I. B. M. 2021a. “AI Fairness 360 - Demo LIME.” </w:t>
      </w:r>
      <w:hyperlink r:id="rId120">
        <w:r>
          <w:rPr>
            <w:rStyle w:val="Hyperlink"/>
          </w:rPr>
          <w:t>https://github.com/Trusted-AI/AIF360/blob/main/examples/demo_lime.ipynb</w:t>
        </w:r>
      </w:hyperlink>
      <w:r>
        <w:t>.</w:t>
      </w:r>
    </w:p>
    <w:p w14:paraId="7EB11248" w14:textId="77777777" w:rsidR="00CA4232" w:rsidRDefault="00000000">
      <w:pPr>
        <w:pStyle w:val="Textkrper"/>
      </w:pPr>
      <w:r>
        <w:t xml:space="preserve">Research, I. B. M. 2021b. “AI Fairness 360 - Demo LIME.” </w:t>
      </w:r>
      <w:hyperlink r:id="rId121">
        <w:r>
          <w:rPr>
            <w:rStyle w:val="Hyperlink"/>
          </w:rPr>
          <w:t>https://github.com/Trusted-AI/AIF360/blob/main/examples/demo_lime.ipynb</w:t>
        </w:r>
      </w:hyperlink>
      <w:r>
        <w:t>.</w:t>
      </w:r>
    </w:p>
    <w:p w14:paraId="6A176331" w14:textId="77777777" w:rsidR="00CA4232" w:rsidRDefault="00000000">
      <w:pPr>
        <w:pStyle w:val="Textkrper"/>
      </w:pPr>
      <w:r>
        <w:t xml:space="preserve">Ribeiro, Marco Tulio, Sameer Singh, and Carlos Guestrin. 2016a. “Why Should I Trust You?: Explaining the Predictions of Any Classifier.” </w:t>
      </w:r>
      <w:r>
        <w:rPr>
          <w:i/>
          <w:iCs/>
        </w:rPr>
        <w:t xml:space="preserve">Proceedings of the 22nd ACM SIGKDD </w:t>
      </w:r>
      <w:r>
        <w:rPr>
          <w:i/>
          <w:iCs/>
        </w:rPr>
        <w:lastRenderedPageBreak/>
        <w:t>International Conference on Knowledge Discovery and Data Mining</w:t>
      </w:r>
      <w:r>
        <w:t xml:space="preserve">, 1135–44. </w:t>
      </w:r>
      <w:hyperlink r:id="rId122">
        <w:r>
          <w:rPr>
            <w:rStyle w:val="Hyperlink"/>
          </w:rPr>
          <w:t>https://doi.org/10.1145/2939672.2939778</w:t>
        </w:r>
      </w:hyperlink>
      <w:r>
        <w:t>.</w:t>
      </w:r>
    </w:p>
    <w:p w14:paraId="1E454591" w14:textId="77777777" w:rsidR="00CA4232" w:rsidRDefault="00000000">
      <w:pPr>
        <w:pStyle w:val="Textkrper"/>
      </w:pPr>
      <w:r>
        <w:t xml:space="preserve">Ribeiro, Marco Túlio, Sameer Singh, and Carlos Guestrin. 2016. “Why Should I Trust You?: Explaining the Predictions of Any Classifier.” </w:t>
      </w:r>
      <w:r>
        <w:rPr>
          <w:i/>
          <w:iCs/>
        </w:rPr>
        <w:t>Proceedings of the 22nd ACM SIGKDD International Conference on Knowledge Discovery and Data Mining</w:t>
      </w:r>
      <w:r>
        <w:t xml:space="preserve">, 1135–44. </w:t>
      </w:r>
      <w:hyperlink r:id="rId123">
        <w:r>
          <w:rPr>
            <w:rStyle w:val="Hyperlink"/>
          </w:rPr>
          <w:t>https://doi.org/10.1145/2939672.2939778</w:t>
        </w:r>
      </w:hyperlink>
      <w:r>
        <w:t>.</w:t>
      </w:r>
    </w:p>
    <w:p w14:paraId="628A7B54" w14:textId="77777777" w:rsidR="00CA4232" w:rsidRDefault="00000000">
      <w:pPr>
        <w:pStyle w:val="Textkrper"/>
      </w:pPr>
      <w:r>
        <w:t xml:space="preserve">Ribeiro, Marco Tulio, Sameer Singh, and Carlos Guestrin. 2016b. “‘Why Should I Trust You?’ Explaining the Predictions of Any Classifier.” </w:t>
      </w:r>
      <w:r>
        <w:rPr>
          <w:i/>
          <w:iCs/>
        </w:rPr>
        <w:t>Proceedings of the 22nd ACM SIGKDD International Conference on Knowledge Discovery and Data Mining</w:t>
      </w:r>
      <w:r>
        <w:t xml:space="preserve">, 1135–44. </w:t>
      </w:r>
      <w:hyperlink r:id="rId124">
        <w:r>
          <w:rPr>
            <w:rStyle w:val="Hyperlink"/>
          </w:rPr>
          <w:t>https://doi.org/10.1145/2939672.2939778</w:t>
        </w:r>
      </w:hyperlink>
      <w:r>
        <w:t>.</w:t>
      </w:r>
    </w:p>
    <w:p w14:paraId="75AA336F" w14:textId="77777777" w:rsidR="00CA4232" w:rsidRDefault="00000000">
      <w:pPr>
        <w:pStyle w:val="Textkrper"/>
      </w:pPr>
      <w:r>
        <w:t xml:space="preserve">Ribeiro, Marco Tulio, Sameer Singh, and Carlos Guestrin. 2016c. “‘Why Should I Trust You?’ Explaining the Predictions of Any Classifier.” </w:t>
      </w:r>
      <w:r>
        <w:rPr>
          <w:i/>
          <w:iCs/>
        </w:rPr>
        <w:t>Proceedings of the 22nd ACM SIGKDD International Conference on Knowledge Discovery and Data Mining</w:t>
      </w:r>
      <w:r>
        <w:t xml:space="preserve">, 1135–44. </w:t>
      </w:r>
      <w:hyperlink r:id="rId125">
        <w:r>
          <w:rPr>
            <w:rStyle w:val="Hyperlink"/>
          </w:rPr>
          <w:t>https://doi.org/10.1145/2939672.2939778</w:t>
        </w:r>
      </w:hyperlink>
      <w:r>
        <w:t>.</w:t>
      </w:r>
    </w:p>
    <w:p w14:paraId="1D841513" w14:textId="77777777" w:rsidR="00CA4232" w:rsidRDefault="00000000">
      <w:pPr>
        <w:pStyle w:val="Textkrper"/>
      </w:pPr>
      <w:r>
        <w:t xml:space="preserve">Ribeiro, Marco Tulio, Sameer Singh, and Carlos Guestrin. 2016d. “‘Why Should I Trust You?’: Explaining the Predictions of Any Classifier.” </w:t>
      </w:r>
      <w:r>
        <w:rPr>
          <w:i/>
          <w:iCs/>
        </w:rPr>
        <w:t>Proceedings of the 22nd ACM SIGKDD International Conference on Knowledge Discovery and Data Mining</w:t>
      </w:r>
      <w:r>
        <w:t xml:space="preserve">, 1135–44. </w:t>
      </w:r>
      <w:hyperlink r:id="rId126">
        <w:r>
          <w:rPr>
            <w:rStyle w:val="Hyperlink"/>
          </w:rPr>
          <w:t>https://doi.org/10.1145/2939672.2939778</w:t>
        </w:r>
      </w:hyperlink>
      <w:r>
        <w:t>.</w:t>
      </w:r>
    </w:p>
    <w:p w14:paraId="6F293505" w14:textId="77777777" w:rsidR="00CA4232" w:rsidRDefault="00000000">
      <w:pPr>
        <w:pStyle w:val="Textkrper"/>
      </w:pPr>
      <w:r>
        <w:t xml:space="preserve">Ribeiro, Marco Tulio, Sameer Singh, and Carlos Guestrin. 2018. “Anchors: High-Precision Model-Agnostic Explanations.” </w:t>
      </w:r>
      <w:r>
        <w:rPr>
          <w:i/>
          <w:iCs/>
        </w:rPr>
        <w:t>Proceedings of the AAAI Conference on Artificial Intelligence</w:t>
      </w:r>
      <w:r>
        <w:t xml:space="preserve"> 32: 1527–35. </w:t>
      </w:r>
      <w:hyperlink r:id="rId127">
        <w:r>
          <w:rPr>
            <w:rStyle w:val="Hyperlink"/>
          </w:rPr>
          <w:t>https://doi.org/10.1609/aaai.v32i1.11491</w:t>
        </w:r>
      </w:hyperlink>
      <w:r>
        <w:t>.</w:t>
      </w:r>
    </w:p>
    <w:p w14:paraId="1AE3E6B9" w14:textId="77777777" w:rsidR="00CA4232" w:rsidRDefault="00000000">
      <w:pPr>
        <w:pStyle w:val="Textkrper"/>
      </w:pPr>
      <w:r>
        <w:t xml:space="preserve">Rudin, Cynthia. 2019a. “Stop Explaining Black Box Machine Learning Models for High Stakes Decisions and Use Interpretable Models Instead.” </w:t>
      </w:r>
      <w:r>
        <w:rPr>
          <w:i/>
          <w:iCs/>
        </w:rPr>
        <w:t>Nature Machine Intelligence</w:t>
      </w:r>
      <w:r>
        <w:t xml:space="preserve"> 1 (5): 206–15. </w:t>
      </w:r>
      <w:hyperlink r:id="rId128">
        <w:r>
          <w:rPr>
            <w:rStyle w:val="Hyperlink"/>
          </w:rPr>
          <w:t>https://doi.org/10.1038/s42256-019-0048-x</w:t>
        </w:r>
      </w:hyperlink>
      <w:r>
        <w:t>.</w:t>
      </w:r>
    </w:p>
    <w:p w14:paraId="3416FBE2" w14:textId="77777777" w:rsidR="00CA4232" w:rsidRDefault="00000000">
      <w:pPr>
        <w:pStyle w:val="Textkrper"/>
      </w:pPr>
      <w:r>
        <w:t xml:space="preserve">Rudin, Cynthia. 2019b. “Stop Explaining Black Box Machine Learning Models for High Stakes Decisions and Use Interpretable Models Instead.” </w:t>
      </w:r>
      <w:r>
        <w:rPr>
          <w:i/>
          <w:iCs/>
        </w:rPr>
        <w:t>Nature Machine Intelligence</w:t>
      </w:r>
      <w:r>
        <w:t xml:space="preserve"> 1 (5): 206–15. </w:t>
      </w:r>
      <w:hyperlink r:id="rId129">
        <w:r>
          <w:rPr>
            <w:rStyle w:val="Hyperlink"/>
          </w:rPr>
          <w:t>https://doi.org/10.1038/s42256-019-0048-x</w:t>
        </w:r>
      </w:hyperlink>
      <w:r>
        <w:t>.</w:t>
      </w:r>
    </w:p>
    <w:p w14:paraId="70C9DB2D" w14:textId="77777777" w:rsidR="00CA4232" w:rsidRDefault="00000000">
      <w:pPr>
        <w:pStyle w:val="Textkrper"/>
      </w:pPr>
      <w:r>
        <w:t xml:space="preserve">Rudin, Cynthia. 2019c. “Stop Explaining Black Box Machine Learning Models for High Stakes Decisions and Use Interpretable Models Instead.” </w:t>
      </w:r>
      <w:r>
        <w:rPr>
          <w:i/>
          <w:iCs/>
        </w:rPr>
        <w:t>Nature Machine Intelligence</w:t>
      </w:r>
      <w:r>
        <w:t xml:space="preserve"> 1: 206–15. </w:t>
      </w:r>
      <w:hyperlink r:id="rId130">
        <w:r>
          <w:rPr>
            <w:rStyle w:val="Hyperlink"/>
          </w:rPr>
          <w:t>https://doi.org/10.1038/s42256-019-0048-x</w:t>
        </w:r>
      </w:hyperlink>
      <w:r>
        <w:t>.</w:t>
      </w:r>
    </w:p>
    <w:p w14:paraId="0AEA3188" w14:textId="77777777" w:rsidR="00CA4232" w:rsidRDefault="00000000">
      <w:pPr>
        <w:pStyle w:val="Textkrper"/>
      </w:pPr>
      <w:r>
        <w:t xml:space="preserve">Rudin, Cynthia. 2019d. “Stop Explaining Black Box Machine Learning Models for High Stakes Decisions and Use Interpretable Models Instead.” </w:t>
      </w:r>
      <w:r>
        <w:rPr>
          <w:i/>
          <w:iCs/>
        </w:rPr>
        <w:t>Nature Machine Intelligence</w:t>
      </w:r>
      <w:r>
        <w:t xml:space="preserve"> 1: 206–15. </w:t>
      </w:r>
      <w:hyperlink r:id="rId131">
        <w:r>
          <w:rPr>
            <w:rStyle w:val="Hyperlink"/>
          </w:rPr>
          <w:t>https://doi.org/10.1038/s42256-019-0048-x</w:t>
        </w:r>
      </w:hyperlink>
      <w:r>
        <w:t>.</w:t>
      </w:r>
    </w:p>
    <w:p w14:paraId="557ADC56" w14:textId="77777777" w:rsidR="00CA4232" w:rsidRDefault="00000000">
      <w:pPr>
        <w:pStyle w:val="Textkrper"/>
      </w:pPr>
      <w:r>
        <w:t xml:space="preserve">Rudin, Cynthia. 2019e. “Stop Explaining Black Box Machine Learning Models for High Stakes Decisions and Use Interpretable Models Instead.” </w:t>
      </w:r>
      <w:r>
        <w:rPr>
          <w:i/>
          <w:iCs/>
        </w:rPr>
        <w:t>Nature Machine Intelligence</w:t>
      </w:r>
      <w:r>
        <w:t xml:space="preserve"> 1: 206–15. </w:t>
      </w:r>
      <w:hyperlink r:id="rId132">
        <w:r>
          <w:rPr>
            <w:rStyle w:val="Hyperlink"/>
          </w:rPr>
          <w:t>https://doi.org/10.1038/s42256-019-0048-x</w:t>
        </w:r>
      </w:hyperlink>
      <w:r>
        <w:t>.</w:t>
      </w:r>
    </w:p>
    <w:p w14:paraId="6563B657" w14:textId="77777777" w:rsidR="00CA4232" w:rsidRDefault="00000000">
      <w:pPr>
        <w:pStyle w:val="Textkrper"/>
      </w:pPr>
      <w:r>
        <w:t xml:space="preserve">Saleiro, Pedro, Benedict Kuester, Abby Stevens, et al. 2018. “Aequitas: A Bias and Fairness Audit Toolkit.” </w:t>
      </w:r>
      <w:r>
        <w:rPr>
          <w:i/>
          <w:iCs/>
        </w:rPr>
        <w:t>arXiv Preprint arXiv:1811.05577</w:t>
      </w:r>
      <w:r>
        <w:t>.</w:t>
      </w:r>
    </w:p>
    <w:p w14:paraId="3D572569" w14:textId="77777777" w:rsidR="00CA4232" w:rsidRDefault="00000000">
      <w:pPr>
        <w:pStyle w:val="Textkrper"/>
      </w:pPr>
      <w:r>
        <w:lastRenderedPageBreak/>
        <w:t xml:space="preserve">Salih, Amal, Zahra Raisi-Estabragh, Ilaria Boscolo Galazzo, et al. 2023a. “A Perspective on Explainable Artificial Intelligence Methods: SHAP and LIME.” </w:t>
      </w:r>
      <w:r>
        <w:rPr>
          <w:i/>
          <w:iCs/>
        </w:rPr>
        <w:t>Advanced Intelligent Systems</w:t>
      </w:r>
      <w:r>
        <w:t xml:space="preserve">, ahead of print. </w:t>
      </w:r>
      <w:hyperlink r:id="rId133">
        <w:r>
          <w:rPr>
            <w:rStyle w:val="Hyperlink"/>
          </w:rPr>
          <w:t>https://doi.org/10.1002/aisy.202400304</w:t>
        </w:r>
      </w:hyperlink>
      <w:r>
        <w:t>.</w:t>
      </w:r>
    </w:p>
    <w:p w14:paraId="53430602" w14:textId="77777777" w:rsidR="00CA4232" w:rsidRDefault="00000000">
      <w:pPr>
        <w:pStyle w:val="Textkrper"/>
      </w:pPr>
      <w:r>
        <w:t xml:space="preserve">Salih, Amal, Zahra Raisi-Estabragh, Ilaria Boscolo Galazzo, et al. 2023b. “A Perspective on Explainable Artificial Intelligence Methods: SHAP and LIME.” </w:t>
      </w:r>
      <w:r>
        <w:rPr>
          <w:i/>
          <w:iCs/>
        </w:rPr>
        <w:t>Advanced Intelligent Systems</w:t>
      </w:r>
      <w:r>
        <w:t xml:space="preserve">, ahead of print. </w:t>
      </w:r>
      <w:hyperlink r:id="rId134">
        <w:r>
          <w:rPr>
            <w:rStyle w:val="Hyperlink"/>
          </w:rPr>
          <w:t>https://doi.org/10.1002/aisy.202400304</w:t>
        </w:r>
      </w:hyperlink>
      <w:r>
        <w:t>.</w:t>
      </w:r>
    </w:p>
    <w:p w14:paraId="4D4A64E6" w14:textId="77777777" w:rsidR="00CA4232" w:rsidRDefault="00000000">
      <w:pPr>
        <w:pStyle w:val="Textkrper"/>
      </w:pPr>
      <w:r>
        <w:t xml:space="preserve">Saxena, Nripsuta Ani, Karen Huang, Evan DeFilippis, Goran Radanovic, David C. Parkes, and Yang Liu. 2024. “EARN Fairness: Explaining, Asking, Reviewing, and Negotiating Artificial Intelligence Fairness Metrics Among Stakeholders.” </w:t>
      </w:r>
      <w:r>
        <w:rPr>
          <w:i/>
          <w:iCs/>
        </w:rPr>
        <w:t>Proceedings of the ACM on Human-Computer Interaction</w:t>
      </w:r>
      <w:r>
        <w:t xml:space="preserve"> 8 (CSCW2): 1–32. </w:t>
      </w:r>
      <w:hyperlink r:id="rId135">
        <w:r>
          <w:rPr>
            <w:rStyle w:val="Hyperlink"/>
          </w:rPr>
          <w:t>https://doi.org/10.1145/3710908</w:t>
        </w:r>
      </w:hyperlink>
      <w:r>
        <w:t>.</w:t>
      </w:r>
    </w:p>
    <w:p w14:paraId="3A0DB428" w14:textId="77777777" w:rsidR="00CA4232" w:rsidRDefault="00000000">
      <w:pPr>
        <w:pStyle w:val="Textkrper"/>
      </w:pPr>
      <w:r>
        <w:t xml:space="preserve">Selbst, Andrew D. 2025. “Trust, Explainability and AI.” </w:t>
      </w:r>
      <w:r>
        <w:rPr>
          <w:i/>
          <w:iCs/>
        </w:rPr>
        <w:t>Philosophy &amp; Technology</w:t>
      </w:r>
      <w:r>
        <w:t xml:space="preserve"> 38 (1): 4. </w:t>
      </w:r>
      <w:hyperlink r:id="rId136">
        <w:r>
          <w:rPr>
            <w:rStyle w:val="Hyperlink"/>
          </w:rPr>
          <w:t>https://doi.org/10.1007/s13347-024-00837-6</w:t>
        </w:r>
      </w:hyperlink>
      <w:r>
        <w:t>.</w:t>
      </w:r>
    </w:p>
    <w:p w14:paraId="3AC52BE3" w14:textId="77777777" w:rsidR="00CA4232" w:rsidRDefault="00000000">
      <w:pPr>
        <w:pStyle w:val="Textkrper"/>
      </w:pPr>
      <w:r>
        <w:t xml:space="preserve">Selbst, Andrew D., and Solon Barocas. 2023. “Unfair Artificial Intelligence: How FTC Intervention Can Overcome the Limitations of Discrimination Law.” </w:t>
      </w:r>
      <w:r>
        <w:rPr>
          <w:i/>
          <w:iCs/>
        </w:rPr>
        <w:t>University of Pennsylvania Law Review</w:t>
      </w:r>
      <w:r>
        <w:t xml:space="preserve"> 171: 1069–135.</w:t>
      </w:r>
    </w:p>
    <w:p w14:paraId="393176A3" w14:textId="77777777" w:rsidR="00CA4232" w:rsidRDefault="00000000">
      <w:pPr>
        <w:pStyle w:val="Textkrper"/>
      </w:pPr>
      <w:r>
        <w:t xml:space="preserve">Selbst, Andrew D., Danah Boyd, Sorelle A. Friedler, Suresh Venkatasubramanian, and Janet Vertesi. 2019. “Fairness and Abstraction in Sociotechnical Systems.” </w:t>
      </w:r>
      <w:r>
        <w:rPr>
          <w:i/>
          <w:iCs/>
        </w:rPr>
        <w:t>Proceedings of the Conference on Fairness, Accountability, and Transparency</w:t>
      </w:r>
      <w:r>
        <w:t xml:space="preserve">, 59–68. </w:t>
      </w:r>
      <w:hyperlink r:id="rId137">
        <w:r>
          <w:rPr>
            <w:rStyle w:val="Hyperlink"/>
          </w:rPr>
          <w:t>https://doi.org/10.1145/3287560.3287598</w:t>
        </w:r>
      </w:hyperlink>
      <w:r>
        <w:t>.</w:t>
      </w:r>
    </w:p>
    <w:p w14:paraId="39A11685" w14:textId="77777777" w:rsidR="00CA4232" w:rsidRDefault="00000000">
      <w:pPr>
        <w:pStyle w:val="Textkrper"/>
      </w:pPr>
      <w:r>
        <w:t xml:space="preserve">Selvaraju, Ramprasaath R., Michael Cogswell, Abhishek Das, Ramakrishna Vedantam, Devi Parikh, and Dhruv Batra. 2017. “Grad-CAM: Visual Explanations From Deep Networks via Gradient-Based Localization.” </w:t>
      </w:r>
      <w:r>
        <w:rPr>
          <w:i/>
          <w:iCs/>
        </w:rPr>
        <w:t>Proceedings of the IEEE International Conference on Computer Vision (ICCV)</w:t>
      </w:r>
      <w:r>
        <w:t xml:space="preserve">, 618–26. </w:t>
      </w:r>
      <w:hyperlink r:id="rId138">
        <w:r>
          <w:rPr>
            <w:rStyle w:val="Hyperlink"/>
          </w:rPr>
          <w:t>https://doi.org/10.1109/ICCV.2017.74</w:t>
        </w:r>
      </w:hyperlink>
      <w:r>
        <w:t>.</w:t>
      </w:r>
    </w:p>
    <w:p w14:paraId="73E9B4D8" w14:textId="77777777" w:rsidR="00CA4232" w:rsidRDefault="00000000">
      <w:pPr>
        <w:pStyle w:val="Textkrper"/>
      </w:pPr>
      <w:r>
        <w:t xml:space="preserve">Services, Amazon Web. 2023a. “Amazon SageMaker Clarify: Machine Learning Bias Detection and Model Explainability.” </w:t>
      </w:r>
      <w:hyperlink r:id="rId139">
        <w:r>
          <w:rPr>
            <w:rStyle w:val="Hyperlink"/>
          </w:rPr>
          <w:t>https://docs.aws.amazon.com/sagemaker/latest/dg/clarify-configure-processing-jobs.html</w:t>
        </w:r>
      </w:hyperlink>
      <w:r>
        <w:t>.</w:t>
      </w:r>
    </w:p>
    <w:p w14:paraId="67CBBC13" w14:textId="77777777" w:rsidR="00CA4232" w:rsidRDefault="00000000">
      <w:pPr>
        <w:pStyle w:val="Textkrper"/>
      </w:pPr>
      <w:r>
        <w:t xml:space="preserve">Services, Amazon Web. 2023b. “Amazon SageMaker Clarify: Machine Learning Bias Detection and Model Explainability.” </w:t>
      </w:r>
      <w:hyperlink r:id="rId140">
        <w:r>
          <w:rPr>
            <w:rStyle w:val="Hyperlink"/>
          </w:rPr>
          <w:t>https://docs.aws.amazon.com/sagemaker/latest/dg/clarify-configure-processing-jobs.html</w:t>
        </w:r>
      </w:hyperlink>
      <w:r>
        <w:t>.</w:t>
      </w:r>
    </w:p>
    <w:p w14:paraId="0DFB1D9D" w14:textId="77777777" w:rsidR="00CA4232" w:rsidRDefault="00000000">
      <w:pPr>
        <w:pStyle w:val="Textkrper"/>
      </w:pPr>
      <w:r>
        <w:t xml:space="preserve">Shen, Hong, Haojian Jin, Ángel Alexander Cabrera, Adam Hines, et al. 2020. “Interpreting Interpretability: Understanding Data Scientists’ Use of Interpretability Tools for Machine Learning.” </w:t>
      </w:r>
      <w:r>
        <w:rPr>
          <w:i/>
          <w:iCs/>
        </w:rPr>
        <w:t>Proceedings of the 2020 CHI Conference on Human Factors in Computing Systems</w:t>
      </w:r>
      <w:r>
        <w:t xml:space="preserve">, 1–13. </w:t>
      </w:r>
      <w:hyperlink r:id="rId141">
        <w:r>
          <w:rPr>
            <w:rStyle w:val="Hyperlink"/>
          </w:rPr>
          <w:t>https://doi.org/10.1145/3313831.3376219</w:t>
        </w:r>
      </w:hyperlink>
      <w:r>
        <w:t>.</w:t>
      </w:r>
    </w:p>
    <w:p w14:paraId="75ABDB69" w14:textId="77777777" w:rsidR="00CA4232" w:rsidRDefault="00000000">
      <w:pPr>
        <w:pStyle w:val="Textkrper"/>
      </w:pPr>
      <w:r>
        <w:t xml:space="preserve">Shen, Hong, Haojian Jin, Ángel Alexander Cabrera, Adam Perer, Haiyi Zhu, and Jason I. Hong. 2020. “Designing Alternative Representations of Confusion Matrices to Support Non-Expert Public Understanding of Algorithm Performance.” </w:t>
      </w:r>
      <w:r>
        <w:rPr>
          <w:i/>
          <w:iCs/>
        </w:rPr>
        <w:t>Proceedings of the ACM on Human-Computer Interaction</w:t>
      </w:r>
      <w:r>
        <w:t xml:space="preserve"> 4 (CSCW2): 1–22. </w:t>
      </w:r>
      <w:hyperlink r:id="rId142">
        <w:r>
          <w:rPr>
            <w:rStyle w:val="Hyperlink"/>
          </w:rPr>
          <w:t>https://doi.org/10.1145/3415224</w:t>
        </w:r>
      </w:hyperlink>
      <w:r>
        <w:t>.</w:t>
      </w:r>
    </w:p>
    <w:p w14:paraId="5D0D4101" w14:textId="77777777" w:rsidR="00CA4232" w:rsidRDefault="00000000">
      <w:pPr>
        <w:pStyle w:val="Textkrper"/>
      </w:pPr>
      <w:r>
        <w:lastRenderedPageBreak/>
        <w:t xml:space="preserve">Slack, Dylan, Yangfeng Chen, Emily Jia, Sameer Singh, and Himabindu Lakkaraju. 2024. “SHLIME: Foiling Adversarial Attacks Fooling SHAP and LIME.” </w:t>
      </w:r>
      <w:r>
        <w:rPr>
          <w:i/>
          <w:iCs/>
        </w:rPr>
        <w:t>arXiv Preprint arXiv:2508.11053</w:t>
      </w:r>
      <w:r>
        <w:t>.</w:t>
      </w:r>
    </w:p>
    <w:p w14:paraId="6083B8ED" w14:textId="77777777" w:rsidR="00CA4232" w:rsidRDefault="00000000">
      <w:pPr>
        <w:pStyle w:val="Textkrper"/>
      </w:pPr>
      <w:r>
        <w:t xml:space="preserve">Slack, Dylan, and Sophie Hilgard. 2020a. “Fooling-LIME-SHAP: Adversarial Attacks on Post Hoc Explanation Techniques.” </w:t>
      </w:r>
      <w:hyperlink r:id="rId143">
        <w:r>
          <w:rPr>
            <w:rStyle w:val="Hyperlink"/>
          </w:rPr>
          <w:t>https://github.com/dylan-slack/Fooling-LIME-SHAP</w:t>
        </w:r>
      </w:hyperlink>
      <w:r>
        <w:t>.</w:t>
      </w:r>
    </w:p>
    <w:p w14:paraId="385A35B6" w14:textId="77777777" w:rsidR="00CA4232" w:rsidRDefault="00000000">
      <w:pPr>
        <w:pStyle w:val="Textkrper"/>
      </w:pPr>
      <w:r>
        <w:t xml:space="preserve">Slack, Dylan, and Sophie Hilgard. 2020b. “Fooling-LIME-SHAP: Adversarial Attacks on Post Hoc Explanation Techniques.” </w:t>
      </w:r>
      <w:hyperlink r:id="rId144">
        <w:r>
          <w:rPr>
            <w:rStyle w:val="Hyperlink"/>
          </w:rPr>
          <w:t>https://github.com/dylan-slack/Fooling-LIME-SHAP</w:t>
        </w:r>
      </w:hyperlink>
      <w:r>
        <w:t>.</w:t>
      </w:r>
    </w:p>
    <w:p w14:paraId="77CB6A3F" w14:textId="77777777" w:rsidR="00CA4232" w:rsidRDefault="00000000">
      <w:pPr>
        <w:pStyle w:val="Textkrper"/>
      </w:pPr>
      <w:r>
        <w:t xml:space="preserve">Slack, Dylan, Sophie Hilgard, Emily Jia, Sameer Singh, and Himabindu Lakkaraju. 2020a. “Fooling LIME and SHAP: Adversarial Attacks on Post Hoc Explanation Methods.” </w:t>
      </w:r>
      <w:r>
        <w:rPr>
          <w:i/>
          <w:iCs/>
        </w:rPr>
        <w:t>Proceedings of the AAAI/ACM Conference on AI, Ethics, and Society</w:t>
      </w:r>
      <w:r>
        <w:t xml:space="preserve">, 180–86. </w:t>
      </w:r>
      <w:hyperlink r:id="rId145">
        <w:r>
          <w:rPr>
            <w:rStyle w:val="Hyperlink"/>
          </w:rPr>
          <w:t>https://doi.org/10.1145/3375627.3375830</w:t>
        </w:r>
      </w:hyperlink>
      <w:r>
        <w:t>.</w:t>
      </w:r>
    </w:p>
    <w:p w14:paraId="51B7D8A3" w14:textId="77777777" w:rsidR="00CA4232" w:rsidRDefault="00000000">
      <w:pPr>
        <w:pStyle w:val="Textkrper"/>
      </w:pPr>
      <w:r>
        <w:t xml:space="preserve">Slack, Dylan, Sophie Hilgard, Emily Jia, Sameer Singh, and Himabindu Lakkaraju. 2020b. “Fooling LIME and SHAP: Adversarial Attacks on Post Hoc Explanation Methods.” </w:t>
      </w:r>
      <w:r>
        <w:rPr>
          <w:i/>
          <w:iCs/>
        </w:rPr>
        <w:t>Proceedings of the AAAI/ACM Conference on AI, Ethics, and Society</w:t>
      </w:r>
      <w:r>
        <w:t xml:space="preserve">, 180–86. </w:t>
      </w:r>
      <w:hyperlink r:id="rId146">
        <w:r>
          <w:rPr>
            <w:rStyle w:val="Hyperlink"/>
          </w:rPr>
          <w:t>https://doi.org/10.1145/3375627.3375830</w:t>
        </w:r>
      </w:hyperlink>
      <w:r>
        <w:t>.</w:t>
      </w:r>
    </w:p>
    <w:p w14:paraId="14FED8AF" w14:textId="77777777" w:rsidR="00CA4232" w:rsidRDefault="00000000">
      <w:pPr>
        <w:pStyle w:val="Textkrper"/>
      </w:pPr>
      <w:r>
        <w:t xml:space="preserve">Slack, Dylan, Sophie Hilgard, Emily Jia, Sameer Singh, and Himabindu Lakkaraju. 2020c. “Fooling LIME and SHAP: Adversarial Attacks on Post Hoc Explanation Methods.” </w:t>
      </w:r>
      <w:r>
        <w:rPr>
          <w:i/>
          <w:iCs/>
        </w:rPr>
        <w:t>Proceedings of the AAAI/ACM Conference on AI, Ethics, and Society</w:t>
      </w:r>
      <w:r>
        <w:t xml:space="preserve">, 180–86. </w:t>
      </w:r>
      <w:hyperlink r:id="rId147">
        <w:r>
          <w:rPr>
            <w:rStyle w:val="Hyperlink"/>
          </w:rPr>
          <w:t>https://doi.org/10.1145/3375627.3375830</w:t>
        </w:r>
      </w:hyperlink>
      <w:r>
        <w:t>.</w:t>
      </w:r>
    </w:p>
    <w:p w14:paraId="0FCB6188" w14:textId="77777777" w:rsidR="00CA4232" w:rsidRDefault="00000000">
      <w:pPr>
        <w:pStyle w:val="Textkrper"/>
      </w:pPr>
      <w:r>
        <w:t xml:space="preserve">Slack, Dylan, Sophie Hilgard, Emily Jia, Sameer Singh, and Himabindu Lakkaraju. 2020d. “Fooling LIME and SHAP: Adversarial Attacks on Post Hoc Explanation Methods.” </w:t>
      </w:r>
      <w:r>
        <w:rPr>
          <w:i/>
          <w:iCs/>
        </w:rPr>
        <w:t>Proceedings of the AAAI/ACM Conference on AI, Ethics, and Society</w:t>
      </w:r>
      <w:r>
        <w:t xml:space="preserve">, 180–86. </w:t>
      </w:r>
      <w:hyperlink r:id="rId148">
        <w:r>
          <w:rPr>
            <w:rStyle w:val="Hyperlink"/>
          </w:rPr>
          <w:t>https://doi.org/10.1145/3375627.3375830</w:t>
        </w:r>
      </w:hyperlink>
      <w:r>
        <w:t>.</w:t>
      </w:r>
    </w:p>
    <w:p w14:paraId="08695B7A" w14:textId="77777777" w:rsidR="00CA4232" w:rsidRDefault="00000000">
      <w:pPr>
        <w:pStyle w:val="Textkrper"/>
      </w:pPr>
      <w:r>
        <w:t xml:space="preserve">Slack, Dylan, Sophie Hilgard, Sameer Singh, and Himabindu Lakkaraju. 2023a. “Counterfactual Situation Testing: Uncovering Discrimination under Fairness given the Difference.” </w:t>
      </w:r>
      <w:r>
        <w:rPr>
          <w:i/>
          <w:iCs/>
        </w:rPr>
        <w:t>Proceedings of the 3rd ACM Conference on Equity and Access in Algorithms, Mechanisms, and Optimization</w:t>
      </w:r>
      <w:r>
        <w:t xml:space="preserve">. </w:t>
      </w:r>
      <w:hyperlink r:id="rId149">
        <w:r>
          <w:rPr>
            <w:rStyle w:val="Hyperlink"/>
          </w:rPr>
          <w:t>https://doi.org/10.1145/3617694.3623222</w:t>
        </w:r>
      </w:hyperlink>
      <w:r>
        <w:t>.</w:t>
      </w:r>
    </w:p>
    <w:p w14:paraId="4CE70C38" w14:textId="77777777" w:rsidR="00CA4232" w:rsidRDefault="00000000">
      <w:pPr>
        <w:pStyle w:val="Textkrper"/>
      </w:pPr>
      <w:r>
        <w:t xml:space="preserve">Slack, Dylan, Sophie Hilgard, Sameer Singh, and Himabindu Lakkaraju. 2023b. “Counterfactual Situation Testing: Uncovering Discrimination under Fairness given the Difference.” </w:t>
      </w:r>
      <w:r>
        <w:rPr>
          <w:i/>
          <w:iCs/>
        </w:rPr>
        <w:t>Proceedings of the 3rd ACM Conference on Equity and Access in Algorithms, Mechanisms, and Optimization</w:t>
      </w:r>
      <w:r>
        <w:t xml:space="preserve">. </w:t>
      </w:r>
      <w:hyperlink r:id="rId150">
        <w:r>
          <w:rPr>
            <w:rStyle w:val="Hyperlink"/>
          </w:rPr>
          <w:t>https://doi.org/10.1145/3617694.3623222</w:t>
        </w:r>
      </w:hyperlink>
      <w:r>
        <w:t>.</w:t>
      </w:r>
    </w:p>
    <w:p w14:paraId="56CCA353" w14:textId="77777777" w:rsidR="00CA4232" w:rsidRDefault="00000000">
      <w:pPr>
        <w:pStyle w:val="Textkrper"/>
      </w:pPr>
      <w:r>
        <w:t xml:space="preserve">Sokol, Kacper, and Peter Flach. 2020a. “LIMEtree: Interactively Customisable Explanations Based on Local Surrogate Multi-Output Regression Trees.” </w:t>
      </w:r>
      <w:r>
        <w:rPr>
          <w:i/>
          <w:iCs/>
        </w:rPr>
        <w:t>arXiv Preprint arXiv:1911.06316</w:t>
      </w:r>
      <w:r>
        <w:t>.</w:t>
      </w:r>
    </w:p>
    <w:p w14:paraId="03A27EF9" w14:textId="77777777" w:rsidR="00CA4232" w:rsidRDefault="00000000">
      <w:pPr>
        <w:pStyle w:val="Textkrper"/>
      </w:pPr>
      <w:r>
        <w:t xml:space="preserve">Sokol, Kacper, and Peter Flach. 2020b. “LIMEtree: Interactively Customisable Explanations Based on Local Surrogate Multi-Output Regression Trees.” </w:t>
      </w:r>
      <w:r>
        <w:rPr>
          <w:i/>
          <w:iCs/>
        </w:rPr>
        <w:t>arXiv Preprint arXiv:1911.06316</w:t>
      </w:r>
      <w:r>
        <w:t>.</w:t>
      </w:r>
    </w:p>
    <w:p w14:paraId="0BEDC571" w14:textId="77777777" w:rsidR="00CA4232" w:rsidRDefault="00000000">
      <w:pPr>
        <w:pStyle w:val="Textkrper"/>
      </w:pPr>
      <w:r>
        <w:t xml:space="preserve">Speicher, Till, Hoda Heidari, Nina Grgic-Hlaca, et al. 2018. “A Unified Approach to Quantifying Algorithmic Unfairness: Measuring Individual &amp; Group Unfairness via Inequality </w:t>
      </w:r>
      <w:r>
        <w:lastRenderedPageBreak/>
        <w:t xml:space="preserve">Indices.” </w:t>
      </w:r>
      <w:r>
        <w:rPr>
          <w:i/>
          <w:iCs/>
        </w:rPr>
        <w:t>Proceedings of the 24th ACM SIGKDD International Conference on Knowledge Discovery &amp; Data Mining</w:t>
      </w:r>
      <w:r>
        <w:t xml:space="preserve">, 2239–48. </w:t>
      </w:r>
      <w:hyperlink r:id="rId151">
        <w:r>
          <w:rPr>
            <w:rStyle w:val="Hyperlink"/>
          </w:rPr>
          <w:t>https://doi.org/10.1145/3219819.3220046</w:t>
        </w:r>
      </w:hyperlink>
      <w:r>
        <w:t>.</w:t>
      </w:r>
    </w:p>
    <w:p w14:paraId="3BBC2F42" w14:textId="77777777" w:rsidR="00CA4232" w:rsidRDefault="00000000">
      <w:pPr>
        <w:pStyle w:val="Textkrper"/>
      </w:pPr>
      <w:r>
        <w:t xml:space="preserve">Sullivan, Emily. 2022. “Understanding from Machine Learning Models.” </w:t>
      </w:r>
      <w:r>
        <w:rPr>
          <w:i/>
          <w:iCs/>
        </w:rPr>
        <w:t>The British Journal for the Philosophy of Science</w:t>
      </w:r>
      <w:r>
        <w:t xml:space="preserve"> 73 (1): 109–33. </w:t>
      </w:r>
      <w:hyperlink r:id="rId152">
        <w:r>
          <w:rPr>
            <w:rStyle w:val="Hyperlink"/>
          </w:rPr>
          <w:t>https://doi.org/10.1093/bjps/axz035</w:t>
        </w:r>
      </w:hyperlink>
      <w:r>
        <w:t>.</w:t>
      </w:r>
    </w:p>
    <w:p w14:paraId="3D6DBB16" w14:textId="77777777" w:rsidR="00CA4232" w:rsidRDefault="00000000">
      <w:pPr>
        <w:pStyle w:val="Textkrper"/>
      </w:pPr>
      <w:r>
        <w:t xml:space="preserve">Sundararajan, Mukund, Ankur Taly, and Qiqi Yan. 2017. “Axiomatic Attribution for Deep Networks.” </w:t>
      </w:r>
      <w:r>
        <w:rPr>
          <w:i/>
          <w:iCs/>
        </w:rPr>
        <w:t>Proceedings of the 34th International Conference on Machine Learning (ICML)</w:t>
      </w:r>
      <w:r>
        <w:t>, 3319–28.</w:t>
      </w:r>
    </w:p>
    <w:p w14:paraId="35AF191A" w14:textId="77777777" w:rsidR="00CA4232" w:rsidRDefault="00000000">
      <w:pPr>
        <w:pStyle w:val="Textkrper"/>
      </w:pPr>
      <w:r>
        <w:t xml:space="preserve">U.S. Equal Employment Opportunity Commission. 2023. “Assessing Adverse Impact in Software, Algorithms, and Artificial Intelligence Used in Employment Selection Procedures Under Title VII of the Civil Rights Act of 1964.” May. </w:t>
      </w:r>
      <w:hyperlink r:id="rId153">
        <w:r>
          <w:rPr>
            <w:rStyle w:val="Hyperlink"/>
          </w:rPr>
          <w:t>https://www.eeoc.gov/laws/guidance/assessing-adverse-impact-software-algorithms-and-artificial-intelligence-used</w:t>
        </w:r>
      </w:hyperlink>
      <w:r>
        <w:t>.</w:t>
      </w:r>
    </w:p>
    <w:p w14:paraId="1962D9AF" w14:textId="77777777" w:rsidR="00CA4232" w:rsidRDefault="00000000">
      <w:pPr>
        <w:pStyle w:val="Textkrper"/>
      </w:pPr>
      <w:r>
        <w:t xml:space="preserve">Ustun, Berk, and Cynthia Rudin. 2016. “Supersparse Linear Integer Models for Optimized Medical Scoring Systems.” </w:t>
      </w:r>
      <w:r>
        <w:rPr>
          <w:i/>
          <w:iCs/>
        </w:rPr>
        <w:t>Machine Learning</w:t>
      </w:r>
      <w:r>
        <w:t xml:space="preserve"> 102 (3): 349–91. </w:t>
      </w:r>
      <w:hyperlink r:id="rId154">
        <w:r>
          <w:rPr>
            <w:rStyle w:val="Hyperlink"/>
          </w:rPr>
          <w:t>https://doi.org/10.1007/s10994-015-5528-6</w:t>
        </w:r>
      </w:hyperlink>
      <w:r>
        <w:t>.</w:t>
      </w:r>
    </w:p>
    <w:p w14:paraId="0045BCE2" w14:textId="77777777" w:rsidR="00CA4232" w:rsidRDefault="00000000">
      <w:pPr>
        <w:pStyle w:val="Textkrper"/>
      </w:pPr>
      <w:r>
        <w:t xml:space="preserve">Ustun, Berk, Alexander Spangher, and Yang Liu. 2019a. “Actionable Recourse in Linear Classification.” _Proceedings of the Conference on Fairness, Accountability, and Transparency (FAT*)_, 10–19. </w:t>
      </w:r>
      <w:hyperlink r:id="rId155">
        <w:r>
          <w:rPr>
            <w:rStyle w:val="Hyperlink"/>
          </w:rPr>
          <w:t>https://doi.org/10.1145/3287560.3287566</w:t>
        </w:r>
      </w:hyperlink>
      <w:r>
        <w:t>.</w:t>
      </w:r>
    </w:p>
    <w:p w14:paraId="0E6BE752" w14:textId="77777777" w:rsidR="00CA4232" w:rsidRDefault="00000000">
      <w:pPr>
        <w:pStyle w:val="Textkrper"/>
      </w:pPr>
      <w:r>
        <w:t xml:space="preserve">Ustun, Berk, Alexander Spangher, and Yang Liu. 2019b. “Actionable Recourse in Linear Classification.” </w:t>
      </w:r>
      <w:r>
        <w:rPr>
          <w:i/>
          <w:iCs/>
        </w:rPr>
        <w:t>Proceedings of the Conference on Fairness, Accountability, and Transparency</w:t>
      </w:r>
      <w:r>
        <w:t xml:space="preserve">, 10–19. </w:t>
      </w:r>
      <w:hyperlink r:id="rId156">
        <w:r>
          <w:rPr>
            <w:rStyle w:val="Hyperlink"/>
          </w:rPr>
          <w:t>https://doi.org/10.1145/3287560.3287566</w:t>
        </w:r>
      </w:hyperlink>
      <w:r>
        <w:t>.</w:t>
      </w:r>
    </w:p>
    <w:p w14:paraId="5C95F7A0" w14:textId="77777777" w:rsidR="00CA4232" w:rsidRDefault="00000000">
      <w:pPr>
        <w:pStyle w:val="Textkrper"/>
      </w:pPr>
      <w:r>
        <w:t xml:space="preserve">Vallor, Shannon. 2024. </w:t>
      </w:r>
      <w:r>
        <w:rPr>
          <w:i/>
          <w:iCs/>
        </w:rPr>
        <w:t>The AI Mirror: How to Reclaim Our Humanity in an Age of Machine Thinking</w:t>
      </w:r>
      <w:r>
        <w:t>. Oxford University Press.</w:t>
      </w:r>
    </w:p>
    <w:p w14:paraId="00499E3C" w14:textId="77777777" w:rsidR="00CA4232" w:rsidRDefault="00000000">
      <w:pPr>
        <w:pStyle w:val="Textkrper"/>
      </w:pPr>
      <w:r>
        <w:t xml:space="preserve">Veale, Michael, and Frederik Zuiderveen Borgesius. 2021. “Demystifying the Draft EU Artificial Intelligence Act.” </w:t>
      </w:r>
      <w:r>
        <w:rPr>
          <w:i/>
          <w:iCs/>
        </w:rPr>
        <w:t>Computer Law Review International</w:t>
      </w:r>
      <w:r>
        <w:t xml:space="preserve"> 22 (4): 97–112. </w:t>
      </w:r>
      <w:hyperlink r:id="rId157">
        <w:r>
          <w:rPr>
            <w:rStyle w:val="Hyperlink"/>
          </w:rPr>
          <w:t>https://doi.org/10.9785/cri-2021-220402</w:t>
        </w:r>
      </w:hyperlink>
      <w:r>
        <w:t>.</w:t>
      </w:r>
    </w:p>
    <w:p w14:paraId="23481913" w14:textId="77777777" w:rsidR="00CA4232" w:rsidRDefault="00000000">
      <w:pPr>
        <w:pStyle w:val="Textkrper"/>
      </w:pPr>
      <w:r>
        <w:t xml:space="preserve">Verma, Giridhari, Zhizhe Cui, Navid Okati, Rohan Ghosh, and Manuel Gomez Rodriguez. 2024. “Counterfactual Explanations and Algorithmic Recourses for Machine Learning: A Review.” </w:t>
      </w:r>
      <w:r>
        <w:rPr>
          <w:i/>
          <w:iCs/>
        </w:rPr>
        <w:t>ACM Computing Surveys</w:t>
      </w:r>
      <w:r>
        <w:t xml:space="preserve"> 57 (4). </w:t>
      </w:r>
      <w:hyperlink r:id="rId158">
        <w:r>
          <w:rPr>
            <w:rStyle w:val="Hyperlink"/>
          </w:rPr>
          <w:t>https://doi.org/10.1145/3677119</w:t>
        </w:r>
      </w:hyperlink>
      <w:r>
        <w:t>.</w:t>
      </w:r>
    </w:p>
    <w:p w14:paraId="1FF6A700" w14:textId="77777777" w:rsidR="00CA4232" w:rsidRDefault="00000000">
      <w:pPr>
        <w:pStyle w:val="Textkrper"/>
      </w:pPr>
      <w:r>
        <w:t xml:space="preserve">Verma, Sahil, and Julia Rubin. 2018. “Fairness Definitions Explained.” </w:t>
      </w:r>
      <w:r>
        <w:rPr>
          <w:i/>
          <w:iCs/>
        </w:rPr>
        <w:t>Proceedings of the International Workshop on Software Fairness</w:t>
      </w:r>
      <w:r>
        <w:t xml:space="preserve">, 1–7. </w:t>
      </w:r>
      <w:hyperlink r:id="rId159">
        <w:r>
          <w:rPr>
            <w:rStyle w:val="Hyperlink"/>
          </w:rPr>
          <w:t>https://doi.org/10.1145/3194770.3194776</w:t>
        </w:r>
      </w:hyperlink>
      <w:r>
        <w:t>.</w:t>
      </w:r>
    </w:p>
    <w:p w14:paraId="54717C99" w14:textId="77777777" w:rsidR="00CA4232" w:rsidRDefault="00000000">
      <w:pPr>
        <w:pStyle w:val="Textkrper"/>
      </w:pPr>
      <w:r>
        <w:t xml:space="preserve">Wachter, Sandra, Brent Mittelstadt, and Luciano Floridi. 2017. “Why a Right to Explanation of Automated Decision-Making Does Not Exist in the General Data Protection Regulation.” </w:t>
      </w:r>
      <w:r>
        <w:rPr>
          <w:i/>
          <w:iCs/>
        </w:rPr>
        <w:t>International Data Privacy Law</w:t>
      </w:r>
      <w:r>
        <w:t xml:space="preserve"> 7 (2): 76–99. </w:t>
      </w:r>
      <w:hyperlink r:id="rId160">
        <w:r>
          <w:rPr>
            <w:rStyle w:val="Hyperlink"/>
          </w:rPr>
          <w:t>https://doi.org/10.1093/idpl/ipx005</w:t>
        </w:r>
      </w:hyperlink>
      <w:r>
        <w:t>.</w:t>
      </w:r>
    </w:p>
    <w:p w14:paraId="20C5CC01" w14:textId="77777777" w:rsidR="00CA4232" w:rsidRDefault="00000000">
      <w:pPr>
        <w:pStyle w:val="Textkrper"/>
      </w:pPr>
      <w:r>
        <w:lastRenderedPageBreak/>
        <w:t xml:space="preserve">Wachter, Sandra, Brent Mittelstadt, and Chris Russell. 2017a. “Counterfactual Explanations Without Opening the Black Box: Automated Decisions and the GDPR.” </w:t>
      </w:r>
      <w:r>
        <w:rPr>
          <w:i/>
          <w:iCs/>
        </w:rPr>
        <w:t>Harvard Journal of Law &amp; Technology</w:t>
      </w:r>
      <w:r>
        <w:t xml:space="preserve"> 31 (2): 841–87.</w:t>
      </w:r>
    </w:p>
    <w:p w14:paraId="5F3014B5" w14:textId="77777777" w:rsidR="00CA4232" w:rsidRDefault="00000000">
      <w:pPr>
        <w:pStyle w:val="Textkrper"/>
      </w:pPr>
      <w:r>
        <w:t xml:space="preserve">Wachter, Sandra, Brent Mittelstadt, and Chris Russell. 2017b. “Counterfactual Explanations Without Opening the Black Box: Automated Decisions and the GDPR.” </w:t>
      </w:r>
      <w:r>
        <w:rPr>
          <w:i/>
          <w:iCs/>
        </w:rPr>
        <w:t>Harvard Journal of Law &amp; Technology</w:t>
      </w:r>
      <w:r>
        <w:t xml:space="preserve"> 31: 842–87.</w:t>
      </w:r>
    </w:p>
    <w:p w14:paraId="5297557F" w14:textId="77777777" w:rsidR="00CA4232" w:rsidRDefault="00000000">
      <w:pPr>
        <w:pStyle w:val="Textkrper"/>
      </w:pPr>
      <w:r>
        <w:t xml:space="preserve">Wachter, Sandra, Brent Mittelstadt, and Chris Russell. 2018a. “Counterfactual Explanations Without Opening the Black Box: Automated Decisions and the GDPR.” </w:t>
      </w:r>
      <w:r>
        <w:rPr>
          <w:i/>
          <w:iCs/>
        </w:rPr>
        <w:t>Harvard Journal of Law &amp; Technology</w:t>
      </w:r>
      <w:r>
        <w:t xml:space="preserve"> 31 (2): 841–87.</w:t>
      </w:r>
    </w:p>
    <w:p w14:paraId="12B7B8A4" w14:textId="77777777" w:rsidR="00CA4232" w:rsidRDefault="00000000">
      <w:pPr>
        <w:pStyle w:val="Textkrper"/>
      </w:pPr>
      <w:r>
        <w:t xml:space="preserve">Wachter, Sandra, Brent Mittelstadt, and Chris Russell. 2018b. “Counterfactual Explanations Without Opening the Black Box: Automated Decisions and the GDPR.” </w:t>
      </w:r>
      <w:r>
        <w:rPr>
          <w:i/>
          <w:iCs/>
        </w:rPr>
        <w:t>Harvard Journal of Law &amp; Technology</w:t>
      </w:r>
      <w:r>
        <w:t xml:space="preserve"> 31 (2): 841–87.</w:t>
      </w:r>
    </w:p>
    <w:p w14:paraId="2D331457" w14:textId="77777777" w:rsidR="00CA4232" w:rsidRDefault="00000000">
      <w:pPr>
        <w:pStyle w:val="Textkrper"/>
      </w:pPr>
      <w:r>
        <w:t xml:space="preserve">Wang, Angelina, Vikram Voleti Ramaswamy, and Olga Russakovsky. 2020. “Towards Fairness in Visual Recognition: Effective Strategies for Bias Mitigation.” </w:t>
      </w:r>
      <w:r>
        <w:rPr>
          <w:i/>
          <w:iCs/>
        </w:rPr>
        <w:t>Proceedings of the IEEE/CVF Conference on Computer Vision and Pattern Recognition</w:t>
      </w:r>
      <w:r>
        <w:t>, 8916–25.</w:t>
      </w:r>
    </w:p>
    <w:p w14:paraId="1BA02041" w14:textId="77777777" w:rsidR="00CA4232" w:rsidRDefault="00000000">
      <w:pPr>
        <w:pStyle w:val="Textkrper"/>
      </w:pPr>
      <w:r>
        <w:t xml:space="preserve">Wang, Mei, and Weihong Deng. 2020. “Mitigating Bias in Face Recognition Using Skewness-Aware Reinforcement Learning.” </w:t>
      </w:r>
      <w:r>
        <w:rPr>
          <w:i/>
          <w:iCs/>
        </w:rPr>
        <w:t>Proceedings of the IEEE/CVF Conference on Computer Vision and Pattern Recognition</w:t>
      </w:r>
      <w:r>
        <w:t>, 9322–31.</w:t>
      </w:r>
    </w:p>
    <w:p w14:paraId="69021E80" w14:textId="77777777" w:rsidR="00CA4232" w:rsidRDefault="00000000">
      <w:pPr>
        <w:pStyle w:val="Textkrper"/>
      </w:pPr>
      <w:r>
        <w:t xml:space="preserve">Wexler, James, Mahima Pushkarna, Tolga Bolukbasi, Martin Wattenberg, Fernanda Viégas, and Jimbo Wilson. 2020. “The What-If Tool: Interactive Probing of Machine Learning Models.” </w:t>
      </w:r>
      <w:r>
        <w:rPr>
          <w:i/>
          <w:iCs/>
        </w:rPr>
        <w:t>IEEE Transactions on Visualization and Computer Graphics</w:t>
      </w:r>
      <w:r>
        <w:t xml:space="preserve"> 26 (1): 56–65. </w:t>
      </w:r>
      <w:hyperlink r:id="rId161">
        <w:r>
          <w:rPr>
            <w:rStyle w:val="Hyperlink"/>
          </w:rPr>
          <w:t>https://doi.org/10.1109/TVCG.2019.2934619</w:t>
        </w:r>
      </w:hyperlink>
      <w:r>
        <w:t>.</w:t>
      </w:r>
    </w:p>
    <w:p w14:paraId="1158F9E2" w14:textId="77777777" w:rsidR="00CA4232" w:rsidRDefault="00000000">
      <w:pPr>
        <w:pStyle w:val="Textkrper"/>
      </w:pPr>
      <w:r>
        <w:t xml:space="preserve">White House Office of Science and Technology Policy. 2022. “Blueprint for an AI Bill of Rights: Making Automated Systems Work for the American People.” October. </w:t>
      </w:r>
      <w:hyperlink r:id="rId162">
        <w:r>
          <w:rPr>
            <w:rStyle w:val="Hyperlink"/>
          </w:rPr>
          <w:t>https://www.whitehouse.gov/ostp/ai-bill-of-rights/</w:t>
        </w:r>
      </w:hyperlink>
      <w:r>
        <w:t>.</w:t>
      </w:r>
    </w:p>
    <w:p w14:paraId="1D76FD5D" w14:textId="77777777" w:rsidR="00CA4232" w:rsidRDefault="00000000">
      <w:pPr>
        <w:pStyle w:val="Textkrper"/>
      </w:pPr>
      <w:r>
        <w:t xml:space="preserve">Wu, Yuanyuan, Yuewen Zhang, Rongjun Mo, et al. 2022. “Toward Involving End-Users in Interactive Human-in-the-Loop AI Fairness.” </w:t>
      </w:r>
      <w:r>
        <w:rPr>
          <w:i/>
          <w:iCs/>
        </w:rPr>
        <w:t>ACM Transactions on Interactive Intelligent Systems</w:t>
      </w:r>
      <w:r>
        <w:t xml:space="preserve"> 12 (3): 1–32. </w:t>
      </w:r>
      <w:hyperlink r:id="rId163">
        <w:r>
          <w:rPr>
            <w:rStyle w:val="Hyperlink"/>
          </w:rPr>
          <w:t>https://doi.org/10.1145/3514258</w:t>
        </w:r>
      </w:hyperlink>
      <w:r>
        <w:t>.</w:t>
      </w:r>
    </w:p>
    <w:p w14:paraId="78E29D57" w14:textId="77777777" w:rsidR="00CA4232" w:rsidRDefault="00000000">
      <w:pPr>
        <w:pStyle w:val="Textkrper"/>
      </w:pPr>
      <w:r>
        <w:t xml:space="preserve">Xenidis, Raphaële. 2024. “When Computers Say No: Towards a Legal Response to Algorithmic Discrimination in Europe.” </w:t>
      </w:r>
      <w:r>
        <w:rPr>
          <w:i/>
          <w:iCs/>
        </w:rPr>
        <w:t>Research Handbook on Law and Technology</w:t>
      </w:r>
      <w:r>
        <w:t>, 337–62.</w:t>
      </w:r>
    </w:p>
    <w:p w14:paraId="28BB1A87" w14:textId="77777777" w:rsidR="00CA4232" w:rsidRDefault="00000000">
      <w:pPr>
        <w:pStyle w:val="Textkrper"/>
      </w:pPr>
      <w:r>
        <w:t xml:space="preserve">Xiang, Alice, and Inioluwa Deborah Raji. 2019. “On the Legal Compatibility of Fairness Definitions.” </w:t>
      </w:r>
      <w:r>
        <w:rPr>
          <w:i/>
          <w:iCs/>
        </w:rPr>
        <w:t>arXiv Preprint arXiv:1912.00761</w:t>
      </w:r>
      <w:r>
        <w:t>.</w:t>
      </w:r>
    </w:p>
    <w:p w14:paraId="2CF5738D" w14:textId="77777777" w:rsidR="00CA4232" w:rsidRDefault="00000000">
      <w:pPr>
        <w:pStyle w:val="Textkrper"/>
      </w:pPr>
      <w:r>
        <w:t xml:space="preserve">Yan, Jing Nathan, Ziwei Gu, Hubert Lin, and Jeffrey M. Rzeszotarski. 2020. “Silva: Interactively Assessing Machine Learning Fairness Using Causality.” </w:t>
      </w:r>
      <w:r>
        <w:rPr>
          <w:i/>
          <w:iCs/>
        </w:rPr>
        <w:t>Proceedings of the 2020 CHI Conference on Human Factors in Computing Systems</w:t>
      </w:r>
      <w:r>
        <w:t xml:space="preserve">, 1–13. </w:t>
      </w:r>
      <w:hyperlink r:id="rId164">
        <w:r>
          <w:rPr>
            <w:rStyle w:val="Hyperlink"/>
          </w:rPr>
          <w:t>https://doi.org/10.1145/3313831.3376447</w:t>
        </w:r>
      </w:hyperlink>
      <w:r>
        <w:t>.</w:t>
      </w:r>
    </w:p>
    <w:p w14:paraId="5F5EBF23" w14:textId="77777777" w:rsidR="00CA4232" w:rsidRDefault="00000000">
      <w:pPr>
        <w:pStyle w:val="Textkrper"/>
      </w:pPr>
      <w:r>
        <w:lastRenderedPageBreak/>
        <w:t xml:space="preserve">Zeng, Jiaming, Berk Ustun, and Cynthia Rudin. 2017. “Interpretable Classification Models for Recidivism Prediction.” </w:t>
      </w:r>
      <w:r>
        <w:rPr>
          <w:i/>
          <w:iCs/>
        </w:rPr>
        <w:t>Journal of the Royal Statistical Society Series A</w:t>
      </w:r>
      <w:r>
        <w:t xml:space="preserve"> 180 (3): 689–722. </w:t>
      </w:r>
      <w:hyperlink r:id="rId165">
        <w:r>
          <w:rPr>
            <w:rStyle w:val="Hyperlink"/>
          </w:rPr>
          <w:t>https://doi.org/10.1111/rssa.12227</w:t>
        </w:r>
      </w:hyperlink>
      <w:r>
        <w:t>.</w:t>
      </w:r>
    </w:p>
    <w:p w14:paraId="50D79687" w14:textId="77777777" w:rsidR="00CA4232" w:rsidRDefault="00000000">
      <w:pPr>
        <w:pStyle w:val="Textkrper"/>
      </w:pPr>
      <w:r>
        <w:t xml:space="preserve">Zhang, Brian Hu, Blake Lemoine, and Margaret Mitchell. 2018a. “Mitigating Unwanted Biases with Adversarial Learning.” </w:t>
      </w:r>
      <w:r>
        <w:rPr>
          <w:i/>
          <w:iCs/>
        </w:rPr>
        <w:t>Proceedings of the 2018 AAAI/ACM Conference on AI, Ethics, and Society</w:t>
      </w:r>
      <w:r>
        <w:t xml:space="preserve">, 335–40. </w:t>
      </w:r>
      <w:hyperlink r:id="rId166">
        <w:r>
          <w:rPr>
            <w:rStyle w:val="Hyperlink"/>
          </w:rPr>
          <w:t>https://doi.org/10.1145/3278721.3278779</w:t>
        </w:r>
      </w:hyperlink>
      <w:r>
        <w:t>.</w:t>
      </w:r>
    </w:p>
    <w:p w14:paraId="79B699B3" w14:textId="77777777" w:rsidR="00CA4232" w:rsidRDefault="00000000">
      <w:pPr>
        <w:pStyle w:val="Textkrper"/>
      </w:pPr>
      <w:r>
        <w:t xml:space="preserve">Zhang, Brian Hu, Blake Lemoine, and Margaret Mitchell. 2018b. “Mitigating Unwanted Biases with Adversarial Learning.” </w:t>
      </w:r>
      <w:r>
        <w:rPr>
          <w:i/>
          <w:iCs/>
        </w:rPr>
        <w:t>Proceedings of the 2018 AAAI/ACM Conference on AI, Ethics, and Society</w:t>
      </w:r>
      <w:r>
        <w:t xml:space="preserve">, 335–40. </w:t>
      </w:r>
      <w:hyperlink r:id="rId167">
        <w:r>
          <w:rPr>
            <w:rStyle w:val="Hyperlink"/>
          </w:rPr>
          <w:t>https://doi.org/10.1145/3278721.3278779</w:t>
        </w:r>
      </w:hyperlink>
      <w:r>
        <w:t>.</w:t>
      </w:r>
    </w:p>
    <w:p w14:paraId="6D334E01" w14:textId="77777777" w:rsidR="00CA4232" w:rsidRDefault="00000000">
      <w:pPr>
        <w:pStyle w:val="Textkrper"/>
      </w:pPr>
      <w:r>
        <w:t xml:space="preserve">Zhang, Wenbin, and Eirini Ntoutsi. 2023. “Fairness-Aware Machine Learning Engineering: How Far Are We?” </w:t>
      </w:r>
      <w:r>
        <w:rPr>
          <w:i/>
          <w:iCs/>
        </w:rPr>
        <w:t>PeerJ Computer Science</w:t>
      </w:r>
      <w:r>
        <w:t xml:space="preserve"> 9. </w:t>
      </w:r>
      <w:hyperlink r:id="rId168">
        <w:r>
          <w:rPr>
            <w:rStyle w:val="Hyperlink"/>
          </w:rPr>
          <w:t>https://doi.org/10.7717/peerj-cs.1598</w:t>
        </w:r>
      </w:hyperlink>
      <w:r>
        <w:t>.</w:t>
      </w:r>
    </w:p>
    <w:p w14:paraId="64445E71" w14:textId="77777777" w:rsidR="00CA4232" w:rsidRDefault="00000000">
      <w:pPr>
        <w:pStyle w:val="Textkrper"/>
      </w:pPr>
      <w:r>
        <w:t xml:space="preserve">Zhang, Xinyang, Ningfei Wang, Hua Shen, Shouling Ji, Xiapu Luo, and Ting Wang. 2020a. “Interpretable Deep Learning under Fire.” </w:t>
      </w:r>
      <w:r>
        <w:rPr>
          <w:i/>
          <w:iCs/>
        </w:rPr>
        <w:t>Proceedings of the 29th USENIX Security Symposium</w:t>
      </w:r>
      <w:r>
        <w:t>, 1659–76.</w:t>
      </w:r>
    </w:p>
    <w:p w14:paraId="2DE80C6A" w14:textId="77777777" w:rsidR="00CA4232" w:rsidRDefault="00000000">
      <w:pPr>
        <w:pStyle w:val="Textkrper"/>
      </w:pPr>
      <w:r>
        <w:t xml:space="preserve">Zhang, Xinyang, Ningfei Wang, Hua Shen, Shouling Ji, Xiapu Luo, and Ting Wang. 2020b. “Interpretable Deep Learning under Fire.” </w:t>
      </w:r>
      <w:r>
        <w:rPr>
          <w:i/>
          <w:iCs/>
        </w:rPr>
        <w:t>Proceedings of the 29th USENIX Security Symposium</w:t>
      </w:r>
      <w:r>
        <w:t>, 1659–76.</w:t>
      </w:r>
    </w:p>
    <w:p w14:paraId="3A30FF8C" w14:textId="77777777" w:rsidR="00CA4232" w:rsidRDefault="00000000">
      <w:pPr>
        <w:pStyle w:val="Textkrper"/>
      </w:pPr>
      <w:r>
        <w:t xml:space="preserve">Zhou, Angela, David Madras, Deborah Raji, Smitha Milli, Bogdan Kulynych, and Richard Zemel. 2020. “Participatory Approaches to Machine Learning.” </w:t>
      </w:r>
      <w:hyperlink r:id="rId169">
        <w:r>
          <w:rPr>
            <w:rStyle w:val="Hyperlink"/>
          </w:rPr>
          <w:t>https://participatoryml.github.io/</w:t>
        </w:r>
      </w:hyperlink>
      <w:r>
        <w:t>.</w:t>
      </w:r>
      <w:bookmarkEnd w:id="0"/>
      <w:bookmarkEnd w:id="23"/>
      <w:bookmarkEnd w:id="26"/>
    </w:p>
    <w:sectPr w:rsidR="00CA4232">
      <w:footnotePr>
        <w:numRestart w:val="eachSect"/>
      </w:footnotePr>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416BC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80A83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99472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36232946">
    <w:abstractNumId w:val="0"/>
  </w:num>
  <w:num w:numId="2" w16cid:durableId="1930811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064240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81045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32487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464208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321177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045682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324154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41095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A4232"/>
    <w:rsid w:val="003975A4"/>
    <w:rsid w:val="00827CB6"/>
    <w:rsid w:val="00B94AD1"/>
    <w:rsid w:val="00CA4232"/>
    <w:rsid w:val="00CD4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C6A78"/>
  <w15:docId w15:val="{C2906FA2-6C61-6B40-A7CC-250CFA726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Textkrper"/>
    <w:qFormat/>
    <w:pPr>
      <w:keepNext/>
      <w:keepLines/>
    </w:pPr>
    <w:rPr>
      <w:sz w:val="24"/>
      <w:szCs w:val="24"/>
    </w:rPr>
  </w:style>
  <w:style w:type="paragraph" w:styleId="Datum">
    <w:name w:val="Date"/>
    <w:basedOn w:val="Titel"/>
    <w:next w:val="Textkrper"/>
    <w:qFormat/>
    <w:pPr>
      <w:keepNext/>
      <w:keepLines/>
    </w:pPr>
    <w:rPr>
      <w:sz w:val="24"/>
      <w:szCs w:val="24"/>
    </w:r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45/3306618.3314244" TargetMode="External"/><Relationship Id="rId21" Type="http://schemas.openxmlformats.org/officeDocument/2006/relationships/hyperlink" Target="https://doi.org/10.1145/3411764.3445365" TargetMode="External"/><Relationship Id="rId42" Type="http://schemas.openxmlformats.org/officeDocument/2006/relationships/hyperlink" Target="https://doi.org/10.1145/3630106.3658990" TargetMode="External"/><Relationship Id="rId63" Type="http://schemas.openxmlformats.org/officeDocument/2006/relationships/hyperlink" Target="https://doi.org/10.3389/frai.2021.752558" TargetMode="External"/><Relationship Id="rId84" Type="http://schemas.openxmlformats.org/officeDocument/2006/relationships/hyperlink" Target="https://doi.org/10.1145/3313831.3376590" TargetMode="External"/><Relationship Id="rId138" Type="http://schemas.openxmlformats.org/officeDocument/2006/relationships/hyperlink" Target="https://doi.org/10.1109/ICCV.2017.74" TargetMode="External"/><Relationship Id="rId159" Type="http://schemas.openxmlformats.org/officeDocument/2006/relationships/hyperlink" Target="https://doi.org/10.1145/3194770.3194776" TargetMode="External"/><Relationship Id="rId170" Type="http://schemas.openxmlformats.org/officeDocument/2006/relationships/fontTable" Target="fontTable.xml"/><Relationship Id="rId107" Type="http://schemas.openxmlformats.org/officeDocument/2006/relationships/hyperlink" Target="https://doi.org/10.1109/VIS54862.2022.00017" TargetMode="External"/><Relationship Id="rId11" Type="http://schemas.openxmlformats.org/officeDocument/2006/relationships/hyperlink" Target="https://doi.org/10.1002/qre.3579" TargetMode="External"/><Relationship Id="rId32" Type="http://schemas.openxmlformats.org/officeDocument/2006/relationships/hyperlink" Target="https://doi.org/10.1609/aaai.v33i01.33017801" TargetMode="External"/><Relationship Id="rId53" Type="http://schemas.openxmlformats.org/officeDocument/2006/relationships/hyperlink" Target="https://doi.org/10.1007/978-3-031-99958-1_29" TargetMode="External"/><Relationship Id="rId74" Type="http://schemas.openxmlformats.org/officeDocument/2006/relationships/hyperlink" Target="https://doi.org/10.1145/3531146.3533135" TargetMode="External"/><Relationship Id="rId128" Type="http://schemas.openxmlformats.org/officeDocument/2006/relationships/hyperlink" Target="https://doi.org/10.1038/s42256-019-0048-x" TargetMode="External"/><Relationship Id="rId149" Type="http://schemas.openxmlformats.org/officeDocument/2006/relationships/hyperlink" Target="https://doi.org/10.1145/3617694.3623222" TargetMode="External"/><Relationship Id="rId5" Type="http://schemas.openxmlformats.org/officeDocument/2006/relationships/hyperlink" Target="https://www.tensorflow.org/responsible_ai/fairness_indicators/guide" TargetMode="External"/><Relationship Id="rId95" Type="http://schemas.openxmlformats.org/officeDocument/2006/relationships/hyperlink" Target="https://doi.org/10.1093/idpl/ipx019" TargetMode="External"/><Relationship Id="rId160" Type="http://schemas.openxmlformats.org/officeDocument/2006/relationships/hyperlink" Target="https://doi.org/10.1093/idpl/ipx005" TargetMode="External"/><Relationship Id="rId22" Type="http://schemas.openxmlformats.org/officeDocument/2006/relationships/hyperlink" Target="https://doi.org/10.1145/3715275.3732167" TargetMode="External"/><Relationship Id="rId43" Type="http://schemas.openxmlformats.org/officeDocument/2006/relationships/hyperlink" Target="https://doi.org/10.1145/3630106.3658990" TargetMode="External"/><Relationship Id="rId64" Type="http://schemas.openxmlformats.org/officeDocument/2006/relationships/hyperlink" Target="https://doi.org/10.1007/s13347-022-00584-6" TargetMode="External"/><Relationship Id="rId118" Type="http://schemas.openxmlformats.org/officeDocument/2006/relationships/hyperlink" Target="https://doi.org/10.1145/3375627.3375820" TargetMode="External"/><Relationship Id="rId139" Type="http://schemas.openxmlformats.org/officeDocument/2006/relationships/hyperlink" Target="https://docs.aws.amazon.com/sagemaker/latest/dg/clarify-configure-processing-jobs.html" TargetMode="External"/><Relationship Id="rId85" Type="http://schemas.openxmlformats.org/officeDocument/2006/relationships/hyperlink" Target="https://doi.org/10.1145/3236386.3241340" TargetMode="External"/><Relationship Id="rId150" Type="http://schemas.openxmlformats.org/officeDocument/2006/relationships/hyperlink" Target="https://doi.org/10.1145/3617694.3623222" TargetMode="External"/><Relationship Id="rId171" Type="http://schemas.openxmlformats.org/officeDocument/2006/relationships/theme" Target="theme/theme1.xml"/><Relationship Id="rId12" Type="http://schemas.openxmlformats.org/officeDocument/2006/relationships/hyperlink" Target="https://doi.org/10.1002/qre.3579" TargetMode="External"/><Relationship Id="rId33" Type="http://schemas.openxmlformats.org/officeDocument/2006/relationships/hyperlink" Target="https://doi.org/10.1089/big.2016.0047" TargetMode="External"/><Relationship Id="rId108" Type="http://schemas.openxmlformats.org/officeDocument/2006/relationships/hyperlink" Target="https://doi.org/10.1017/psa.2022.49" TargetMode="External"/><Relationship Id="rId129" Type="http://schemas.openxmlformats.org/officeDocument/2006/relationships/hyperlink" Target="https://doi.org/10.1038/s42256-019-0048-x" TargetMode="External"/><Relationship Id="rId54" Type="http://schemas.openxmlformats.org/officeDocument/2006/relationships/hyperlink" Target="https://doi.org/10.1007/978-3-031-99958-1_29" TargetMode="External"/><Relationship Id="rId70" Type="http://schemas.openxmlformats.org/officeDocument/2006/relationships/hyperlink" Target="https://doi.org/10.1163/17455243-20234437" TargetMode="External"/><Relationship Id="rId75" Type="http://schemas.openxmlformats.org/officeDocument/2006/relationships/hyperlink" Target="https://doi.org/10.1145/3313831.3376219" TargetMode="External"/><Relationship Id="rId91" Type="http://schemas.openxmlformats.org/officeDocument/2006/relationships/hyperlink" Target="https://doi.org/10.1038/s42256-019-0138-9" TargetMode="External"/><Relationship Id="rId96" Type="http://schemas.openxmlformats.org/officeDocument/2006/relationships/hyperlink" Target="https://doi.org/10.1145/3457607" TargetMode="External"/><Relationship Id="rId140" Type="http://schemas.openxmlformats.org/officeDocument/2006/relationships/hyperlink" Target="https://docs.aws.amazon.com/sagemaker/latest/dg/clarify-configure-processing-jobs.html" TargetMode="External"/><Relationship Id="rId145" Type="http://schemas.openxmlformats.org/officeDocument/2006/relationships/hyperlink" Target="https://doi.org/10.1145/3375627.3375830" TargetMode="External"/><Relationship Id="rId161" Type="http://schemas.openxmlformats.org/officeDocument/2006/relationships/hyperlink" Target="https://doi.org/10.1109/TVCG.2019.2934619" TargetMode="External"/><Relationship Id="rId166" Type="http://schemas.openxmlformats.org/officeDocument/2006/relationships/hyperlink" Target="https://doi.org/10.1145/3278721.3278779" TargetMode="External"/><Relationship Id="rId1" Type="http://schemas.openxmlformats.org/officeDocument/2006/relationships/numbering" Target="numbering.xml"/><Relationship Id="rId6" Type="http://schemas.openxmlformats.org/officeDocument/2006/relationships/hyperlink" Target="https://www.tensorflow.org/responsible_ai/fairness_indicators/guide" TargetMode="External"/><Relationship Id="rId23" Type="http://schemas.openxmlformats.org/officeDocument/2006/relationships/hyperlink" Target="https://doi.org/10.1145/3715275.3732167" TargetMode="External"/><Relationship Id="rId28" Type="http://schemas.openxmlformats.org/officeDocument/2006/relationships/hyperlink" Target="https://www.microsoft.com/en-us/research/publication/fairlearn-a-toolkit-for-assessing-and-improving-fairness-in-ai/" TargetMode="External"/><Relationship Id="rId49" Type="http://schemas.openxmlformats.org/officeDocument/2006/relationships/hyperlink" Target="https://doi.org/10.1145/2090236.2090255" TargetMode="External"/><Relationship Id="rId114" Type="http://schemas.openxmlformats.org/officeDocument/2006/relationships/hyperlink" Target="https://doi.org/10.1038/s42256-022-00449-9" TargetMode="External"/><Relationship Id="rId119" Type="http://schemas.openxmlformats.org/officeDocument/2006/relationships/hyperlink" Target="https://doi.org/10.1145/3351095.3372873" TargetMode="External"/><Relationship Id="rId44" Type="http://schemas.openxmlformats.org/officeDocument/2006/relationships/hyperlink" Target="https://doi.org/10.1145/3613904.3642621" TargetMode="External"/><Relationship Id="rId60" Type="http://schemas.openxmlformats.org/officeDocument/2006/relationships/hyperlink" Target="https://doi.org/10.1609/aaai.v33i01.33013681" TargetMode="External"/><Relationship Id="rId65" Type="http://schemas.openxmlformats.org/officeDocument/2006/relationships/hyperlink" Target="https://doi.org/10.1145/3287560.3287563" TargetMode="External"/><Relationship Id="rId81" Type="http://schemas.openxmlformats.org/officeDocument/2006/relationships/hyperlink" Target="https://doi.org/10.1002/widm.1452" TargetMode="External"/><Relationship Id="rId86" Type="http://schemas.openxmlformats.org/officeDocument/2006/relationships/hyperlink" Target="https://doi.org/10.1145/3233231" TargetMode="External"/><Relationship Id="rId130" Type="http://schemas.openxmlformats.org/officeDocument/2006/relationships/hyperlink" Target="https://doi.org/10.1038/s42256-019-0048-x" TargetMode="External"/><Relationship Id="rId135" Type="http://schemas.openxmlformats.org/officeDocument/2006/relationships/hyperlink" Target="https://doi.org/10.1145/3710908" TargetMode="External"/><Relationship Id="rId151" Type="http://schemas.openxmlformats.org/officeDocument/2006/relationships/hyperlink" Target="https://doi.org/10.1145/3219819.3220046" TargetMode="External"/><Relationship Id="rId156" Type="http://schemas.openxmlformats.org/officeDocument/2006/relationships/hyperlink" Target="https://doi.org/10.1145/3287560.3287566" TargetMode="External"/><Relationship Id="rId13" Type="http://schemas.openxmlformats.org/officeDocument/2006/relationships/hyperlink" Target="https://doi.org/10.1145/3411764.3445717" TargetMode="External"/><Relationship Id="rId18" Type="http://schemas.openxmlformats.org/officeDocument/2006/relationships/hyperlink" Target="https://doi.org/10.1111/phc3.12830" TargetMode="External"/><Relationship Id="rId39" Type="http://schemas.openxmlformats.org/officeDocument/2006/relationships/hyperlink" Target="https://doi.org/10.1145/3351095.3372878" TargetMode="External"/><Relationship Id="rId109" Type="http://schemas.openxmlformats.org/officeDocument/2006/relationships/hyperlink" Target="https://doi.org/10.1126/science.aax2342" TargetMode="External"/><Relationship Id="rId34" Type="http://schemas.openxmlformats.org/officeDocument/2006/relationships/hyperlink" Target="https://doi.org/10.1089/big.2016.0047" TargetMode="External"/><Relationship Id="rId50" Type="http://schemas.openxmlformats.org/officeDocument/2006/relationships/hyperlink" Target="https://doi.org/10.1145/2090236.2090255" TargetMode="External"/><Relationship Id="rId55" Type="http://schemas.openxmlformats.org/officeDocument/2006/relationships/hyperlink" Target="https://doi.org/10.1017/can.2022.26" TargetMode="External"/><Relationship Id="rId76" Type="http://schemas.openxmlformats.org/officeDocument/2006/relationships/hyperlink" Target="https://doi.org/10.1145/3313831.3376219" TargetMode="External"/><Relationship Id="rId97" Type="http://schemas.openxmlformats.org/officeDocument/2006/relationships/hyperlink" Target="https://doi.org/10.1145/3457607" TargetMode="External"/><Relationship Id="rId104" Type="http://schemas.openxmlformats.org/officeDocument/2006/relationships/hyperlink" Target="https://doi.org/10.1145/3351095.3372850" TargetMode="External"/><Relationship Id="rId120" Type="http://schemas.openxmlformats.org/officeDocument/2006/relationships/hyperlink" Target="https://github.com/Trusted-AI/AIF360/blob/main/examples/demo_lime.ipynb" TargetMode="External"/><Relationship Id="rId125" Type="http://schemas.openxmlformats.org/officeDocument/2006/relationships/hyperlink" Target="https://doi.org/10.1145/2939672.2939778" TargetMode="External"/><Relationship Id="rId141" Type="http://schemas.openxmlformats.org/officeDocument/2006/relationships/hyperlink" Target="https://doi.org/10.1145/3313831.3376219" TargetMode="External"/><Relationship Id="rId146" Type="http://schemas.openxmlformats.org/officeDocument/2006/relationships/hyperlink" Target="https://doi.org/10.1145/3375627.3375830" TargetMode="External"/><Relationship Id="rId167" Type="http://schemas.openxmlformats.org/officeDocument/2006/relationships/hyperlink" Target="https://doi.org/10.1145/3278721.3278779" TargetMode="External"/><Relationship Id="rId7" Type="http://schemas.openxmlformats.org/officeDocument/2006/relationships/hyperlink" Target="https://doi.org/10.1177/1461444816676645" TargetMode="External"/><Relationship Id="rId71" Type="http://schemas.openxmlformats.org/officeDocument/2006/relationships/hyperlink" Target="https://doi.org/10.1038/d41586-020-02003-2" TargetMode="External"/><Relationship Id="rId92" Type="http://schemas.openxmlformats.org/officeDocument/2006/relationships/hyperlink" Target="https://doi.org/10.1038/s42256-019-0138-9" TargetMode="External"/><Relationship Id="rId162" Type="http://schemas.openxmlformats.org/officeDocument/2006/relationships/hyperlink" Target="https://www.whitehouse.gov/ostp/ai-bill-of-rights/" TargetMode="External"/><Relationship Id="rId2" Type="http://schemas.openxmlformats.org/officeDocument/2006/relationships/styles" Target="styles.xml"/><Relationship Id="rId29" Type="http://schemas.openxmlformats.org/officeDocument/2006/relationships/hyperlink" Target="https://doi.org/10.1016/j.patter.2021.100205" TargetMode="External"/><Relationship Id="rId24" Type="http://schemas.openxmlformats.org/officeDocument/2006/relationships/hyperlink" Target="https://doi.org/10.24963/ijcai.2020/417" TargetMode="External"/><Relationship Id="rId40" Type="http://schemas.openxmlformats.org/officeDocument/2006/relationships/hyperlink" Target="https://www.databricks.com/blog/2019/06/17/detecting-bias-with-shap.html" TargetMode="External"/><Relationship Id="rId45" Type="http://schemas.openxmlformats.org/officeDocument/2006/relationships/hyperlink" Target="https://doi.org/10.1145/3278721.3278729" TargetMode="External"/><Relationship Id="rId66" Type="http://schemas.openxmlformats.org/officeDocument/2006/relationships/hyperlink" Target="https://doi.org/10.1145/3236009" TargetMode="External"/><Relationship Id="rId87" Type="http://schemas.openxmlformats.org/officeDocument/2006/relationships/hyperlink" Target="https://doi.org/10.1017/S0266267123000287" TargetMode="External"/><Relationship Id="rId110" Type="http://schemas.openxmlformats.org/officeDocument/2006/relationships/hyperlink" Target="https://doi.org/10.1186/s40708-024-00222-1" TargetMode="External"/><Relationship Id="rId115" Type="http://schemas.openxmlformats.org/officeDocument/2006/relationships/hyperlink" Target="https://doi.org/10.1145/3351095.3372828" TargetMode="External"/><Relationship Id="rId131" Type="http://schemas.openxmlformats.org/officeDocument/2006/relationships/hyperlink" Target="https://doi.org/10.1038/s42256-019-0048-x" TargetMode="External"/><Relationship Id="rId136" Type="http://schemas.openxmlformats.org/officeDocument/2006/relationships/hyperlink" Target="https://doi.org/10.1007/s13347-024-00837-6" TargetMode="External"/><Relationship Id="rId157" Type="http://schemas.openxmlformats.org/officeDocument/2006/relationships/hyperlink" Target="https://doi.org/10.9785/cri-2021-220402" TargetMode="External"/><Relationship Id="rId61" Type="http://schemas.openxmlformats.org/officeDocument/2006/relationships/hyperlink" Target="https://doi.org/10.1609/aaai.v33i01.33013681" TargetMode="External"/><Relationship Id="rId82" Type="http://schemas.openxmlformats.org/officeDocument/2006/relationships/hyperlink" Target="https://doi.org/10.1145/3411764.3445261" TargetMode="External"/><Relationship Id="rId152" Type="http://schemas.openxmlformats.org/officeDocument/2006/relationships/hyperlink" Target="https://doi.org/10.1093/bjps/axz035" TargetMode="External"/><Relationship Id="rId19" Type="http://schemas.openxmlformats.org/officeDocument/2006/relationships/hyperlink" Target="https://doi.org/10.1147/JRD.2019.2942287" TargetMode="External"/><Relationship Id="rId14" Type="http://schemas.openxmlformats.org/officeDocument/2006/relationships/hyperlink" Target="https://fairmlbook.org" TargetMode="External"/><Relationship Id="rId30" Type="http://schemas.openxmlformats.org/officeDocument/2006/relationships/hyperlink" Target="https://doi.org/10.1145/3531146.3533149" TargetMode="External"/><Relationship Id="rId35" Type="http://schemas.openxmlformats.org/officeDocument/2006/relationships/hyperlink" Target="https://www.consumerfinance.gov/about-us/newsroom/cfpb-issues-guidance-on-credit-denials-by-lenders-using-artificial-intelligence/" TargetMode="External"/><Relationship Id="rId56" Type="http://schemas.openxmlformats.org/officeDocument/2006/relationships/hyperlink" Target="https://doi.org/10.1145/2783258.2783311" TargetMode="External"/><Relationship Id="rId77" Type="http://schemas.openxmlformats.org/officeDocument/2006/relationships/hyperlink" Target="https://doi.org/10.1145/3306618.3314287" TargetMode="External"/><Relationship Id="rId100" Type="http://schemas.openxmlformats.org/officeDocument/2006/relationships/hyperlink" Target="https://doi.org/10.1145/3287560.3287596" TargetMode="External"/><Relationship Id="rId105" Type="http://schemas.openxmlformats.org/officeDocument/2006/relationships/hyperlink" Target="https://doi.org/10.1145/3351095.3372850" TargetMode="External"/><Relationship Id="rId126" Type="http://schemas.openxmlformats.org/officeDocument/2006/relationships/hyperlink" Target="https://doi.org/10.1145/2939672.2939778" TargetMode="External"/><Relationship Id="rId147" Type="http://schemas.openxmlformats.org/officeDocument/2006/relationships/hyperlink" Target="https://doi.org/10.1145/3375627.3375830" TargetMode="External"/><Relationship Id="rId168" Type="http://schemas.openxmlformats.org/officeDocument/2006/relationships/hyperlink" Target="https://doi.org/10.7717/peerj-cs.1598" TargetMode="External"/><Relationship Id="rId8" Type="http://schemas.openxmlformats.org/officeDocument/2006/relationships/hyperlink" Target="https://www.propublica.org/article/machine-bias-risk-assessments-in-criminal-sentencing" TargetMode="External"/><Relationship Id="rId51" Type="http://schemas.openxmlformats.org/officeDocument/2006/relationships/hyperlink" Target="https://doi.org/10.1145/2090236.2090255" TargetMode="External"/><Relationship Id="rId72" Type="http://schemas.openxmlformats.org/officeDocument/2006/relationships/hyperlink" Target="https://doi.org/10.1093/idpl/ipaa020" TargetMode="External"/><Relationship Id="rId93" Type="http://schemas.openxmlformats.org/officeDocument/2006/relationships/hyperlink" Target="https://doi.org/10.1145/3512899" TargetMode="External"/><Relationship Id="rId98" Type="http://schemas.openxmlformats.org/officeDocument/2006/relationships/hyperlink" Target="https://doi.org/10.1145/3457607" TargetMode="External"/><Relationship Id="rId121" Type="http://schemas.openxmlformats.org/officeDocument/2006/relationships/hyperlink" Target="https://github.com/Trusted-AI/AIF360/blob/main/examples/demo_lime.ipynb" TargetMode="External"/><Relationship Id="rId142" Type="http://schemas.openxmlformats.org/officeDocument/2006/relationships/hyperlink" Target="https://doi.org/10.1145/3415224" TargetMode="External"/><Relationship Id="rId163" Type="http://schemas.openxmlformats.org/officeDocument/2006/relationships/hyperlink" Target="https://doi.org/10.1145/3514258" TargetMode="External"/><Relationship Id="rId3" Type="http://schemas.openxmlformats.org/officeDocument/2006/relationships/settings" Target="settings.xml"/><Relationship Id="rId25" Type="http://schemas.openxmlformats.org/officeDocument/2006/relationships/hyperlink" Target="https://doi.org/10.24963/ijcai.2020/417" TargetMode="External"/><Relationship Id="rId46" Type="http://schemas.openxmlformats.org/officeDocument/2006/relationships/hyperlink" Target="https://doi.org/10.1145/3301275.3302310" TargetMode="External"/><Relationship Id="rId67" Type="http://schemas.openxmlformats.org/officeDocument/2006/relationships/hyperlink" Target="https://doi.org/10.1007/s13347-023-00607-w" TargetMode="External"/><Relationship Id="rId116" Type="http://schemas.openxmlformats.org/officeDocument/2006/relationships/hyperlink" Target="https://doi.org/10.1145/3306618.3314244" TargetMode="External"/><Relationship Id="rId137" Type="http://schemas.openxmlformats.org/officeDocument/2006/relationships/hyperlink" Target="https://doi.org/10.1145/3287560.3287598" TargetMode="External"/><Relationship Id="rId158" Type="http://schemas.openxmlformats.org/officeDocument/2006/relationships/hyperlink" Target="https://doi.org/10.1145/3677119" TargetMode="External"/><Relationship Id="rId20" Type="http://schemas.openxmlformats.org/officeDocument/2006/relationships/hyperlink" Target="https://doi.org/10.1147/JRD.2019.2942287" TargetMode="External"/><Relationship Id="rId41" Type="http://schemas.openxmlformats.org/officeDocument/2006/relationships/hyperlink" Target="https://www.databricks.com/blog/2019/06/17/detecting-bias-with-shap.html" TargetMode="External"/><Relationship Id="rId62" Type="http://schemas.openxmlformats.org/officeDocument/2006/relationships/hyperlink" Target="https://doi.org/10.3389/frai.2021.752558" TargetMode="External"/><Relationship Id="rId83" Type="http://schemas.openxmlformats.org/officeDocument/2006/relationships/hyperlink" Target="https://doi.org/10.1145/3359284" TargetMode="External"/><Relationship Id="rId88" Type="http://schemas.openxmlformats.org/officeDocument/2006/relationships/hyperlink" Target="https://doi.org/10.1145/3630106.3659015" TargetMode="External"/><Relationship Id="rId111" Type="http://schemas.openxmlformats.org/officeDocument/2006/relationships/hyperlink" Target="https://doi.org/10.1186/s40708-024-00222-1" TargetMode="External"/><Relationship Id="rId132" Type="http://schemas.openxmlformats.org/officeDocument/2006/relationships/hyperlink" Target="https://doi.org/10.1038/s42256-019-0048-x" TargetMode="External"/><Relationship Id="rId153" Type="http://schemas.openxmlformats.org/officeDocument/2006/relationships/hyperlink" Target="https://www.eeoc.gov/laws/guidance/assessing-adverse-impact-software-algorithms-and-artificial-intelligence-used" TargetMode="External"/><Relationship Id="rId15" Type="http://schemas.openxmlformats.org/officeDocument/2006/relationships/hyperlink" Target="https://fairmlbook.org" TargetMode="External"/><Relationship Id="rId36" Type="http://schemas.openxmlformats.org/officeDocument/2006/relationships/hyperlink" Target="https://doi.org/10.1145/3531146.3533213" TargetMode="External"/><Relationship Id="rId57" Type="http://schemas.openxmlformats.org/officeDocument/2006/relationships/hyperlink" Target="https://doi.org/10.1109/ICDE48307.2020.00203" TargetMode="External"/><Relationship Id="rId106" Type="http://schemas.openxmlformats.org/officeDocument/2006/relationships/hyperlink" Target="https://doi.org/10.1145/3351095.3372850" TargetMode="External"/><Relationship Id="rId127" Type="http://schemas.openxmlformats.org/officeDocument/2006/relationships/hyperlink" Target="https://doi.org/10.1609/aaai.v32i1.11491" TargetMode="External"/><Relationship Id="rId10" Type="http://schemas.openxmlformats.org/officeDocument/2006/relationships/hyperlink" Target="https://doi.org/10.1016/j.inffus.2019.12.012" TargetMode="External"/><Relationship Id="rId31" Type="http://schemas.openxmlformats.org/officeDocument/2006/relationships/hyperlink" Target="https://doi.org/10.1145/3593013.3593996" TargetMode="External"/><Relationship Id="rId52" Type="http://schemas.openxmlformats.org/officeDocument/2006/relationships/hyperlink" Target="https://doi.org/10.1109/MSP.2018.2701152" TargetMode="External"/><Relationship Id="rId73" Type="http://schemas.openxmlformats.org/officeDocument/2006/relationships/hyperlink" Target="https://doi.org/10.1145/3527848" TargetMode="External"/><Relationship Id="rId78" Type="http://schemas.openxmlformats.org/officeDocument/2006/relationships/hyperlink" Target="https://doi.org/10.4230/LIPIcs.ITCS.2017.43" TargetMode="External"/><Relationship Id="rId94" Type="http://schemas.openxmlformats.org/officeDocument/2006/relationships/hyperlink" Target="https://doi.org/10.1145/3313831.3376445" TargetMode="External"/><Relationship Id="rId99" Type="http://schemas.openxmlformats.org/officeDocument/2006/relationships/hyperlink" Target="https://doi.org/10.1145/3287560.3287596" TargetMode="External"/><Relationship Id="rId101" Type="http://schemas.openxmlformats.org/officeDocument/2006/relationships/hyperlink" Target="https://doi.org/10.1146/annurev-statistics-042720-125902" TargetMode="External"/><Relationship Id="rId122" Type="http://schemas.openxmlformats.org/officeDocument/2006/relationships/hyperlink" Target="https://doi.org/10.1145/2939672.2939778" TargetMode="External"/><Relationship Id="rId143" Type="http://schemas.openxmlformats.org/officeDocument/2006/relationships/hyperlink" Target="https://github.com/dylan-slack/Fooling-LIME-SHAP" TargetMode="External"/><Relationship Id="rId148" Type="http://schemas.openxmlformats.org/officeDocument/2006/relationships/hyperlink" Target="https://doi.org/10.1145/3375627.3375830" TargetMode="External"/><Relationship Id="rId164" Type="http://schemas.openxmlformats.org/officeDocument/2006/relationships/hyperlink" Target="https://doi.org/10.1145/3313831.3376447" TargetMode="External"/><Relationship Id="rId169" Type="http://schemas.openxmlformats.org/officeDocument/2006/relationships/hyperlink" Target="https://participatoryml.github.io/" TargetMode="External"/><Relationship Id="rId4" Type="http://schemas.openxmlformats.org/officeDocument/2006/relationships/webSettings" Target="webSettings.xml"/><Relationship Id="rId9" Type="http://schemas.openxmlformats.org/officeDocument/2006/relationships/hyperlink" Target="https://www.propublica.org/article/machine-bias-risk-assessments-in-criminal-sentencing" TargetMode="External"/><Relationship Id="rId26" Type="http://schemas.openxmlformats.org/officeDocument/2006/relationships/hyperlink" Target="https://doi.org/10.1145/3351095.3375624" TargetMode="External"/><Relationship Id="rId47" Type="http://schemas.openxmlformats.org/officeDocument/2006/relationships/hyperlink" Target="https://doi.org/10.1126/sciadv.aao5580" TargetMode="External"/><Relationship Id="rId68" Type="http://schemas.openxmlformats.org/officeDocument/2006/relationships/hyperlink" Target="https://doi.org/10.1007/s11158-022-09546-3" TargetMode="External"/><Relationship Id="rId89" Type="http://schemas.openxmlformats.org/officeDocument/2006/relationships/hyperlink" Target="https://scottlundberg.com/files/fairness_explanations.pdf" TargetMode="External"/><Relationship Id="rId112" Type="http://schemas.openxmlformats.org/officeDocument/2006/relationships/hyperlink" Target="https://doi.org/10.1145/3494672" TargetMode="External"/><Relationship Id="rId133" Type="http://schemas.openxmlformats.org/officeDocument/2006/relationships/hyperlink" Target="https://doi.org/10.1002/aisy.202400304" TargetMode="External"/><Relationship Id="rId154" Type="http://schemas.openxmlformats.org/officeDocument/2006/relationships/hyperlink" Target="https://doi.org/10.1007/s10994-015-5528-6" TargetMode="External"/><Relationship Id="rId16" Type="http://schemas.openxmlformats.org/officeDocument/2006/relationships/hyperlink" Target="https://doi.org/10.15779/Z38BG31" TargetMode="External"/><Relationship Id="rId37" Type="http://schemas.openxmlformats.org/officeDocument/2006/relationships/hyperlink" Target="https://doi.org/10.1145/3391403.3399545" TargetMode="External"/><Relationship Id="rId58" Type="http://schemas.openxmlformats.org/officeDocument/2006/relationships/hyperlink" Target="https://doi.org/10.1145/3458723" TargetMode="External"/><Relationship Id="rId79" Type="http://schemas.openxmlformats.org/officeDocument/2006/relationships/hyperlink" Target="https://doi.org/10.1145/3531146.3533114" TargetMode="External"/><Relationship Id="rId102" Type="http://schemas.openxmlformats.org/officeDocument/2006/relationships/hyperlink" Target="https://christophm.github.io/interpretable-ml-book/" TargetMode="External"/><Relationship Id="rId123" Type="http://schemas.openxmlformats.org/officeDocument/2006/relationships/hyperlink" Target="https://doi.org/10.1145/2939672.2939778" TargetMode="External"/><Relationship Id="rId144" Type="http://schemas.openxmlformats.org/officeDocument/2006/relationships/hyperlink" Target="https://github.com/dylan-slack/Fooling-LIME-SHAP" TargetMode="External"/><Relationship Id="rId90" Type="http://schemas.openxmlformats.org/officeDocument/2006/relationships/hyperlink" Target="https://scottlundberg.com/files/fairness_explanations.pdf" TargetMode="External"/><Relationship Id="rId165" Type="http://schemas.openxmlformats.org/officeDocument/2006/relationships/hyperlink" Target="https://doi.org/10.1111/rssa.12227" TargetMode="External"/><Relationship Id="rId27" Type="http://schemas.openxmlformats.org/officeDocument/2006/relationships/hyperlink" Target="https://www.microsoft.com/en-us/research/publication/fairlearn-a-toolkit-for-assessing-and-improving-fairness-in-ai/" TargetMode="External"/><Relationship Id="rId48" Type="http://schemas.openxmlformats.org/officeDocument/2006/relationships/hyperlink" Target="https://doi.org/10.1145/2090236.2090255" TargetMode="External"/><Relationship Id="rId69" Type="http://schemas.openxmlformats.org/officeDocument/2006/relationships/hyperlink" Target="https://doi.org/10.1145/3715275.3732113" TargetMode="External"/><Relationship Id="rId113" Type="http://schemas.openxmlformats.org/officeDocument/2006/relationships/hyperlink" Target="https://www.propublica.org/article/how-we-analyzed-the-compas-recidivism-algorithm" TargetMode="External"/><Relationship Id="rId134" Type="http://schemas.openxmlformats.org/officeDocument/2006/relationships/hyperlink" Target="https://doi.org/10.1002/aisy.202400304" TargetMode="External"/><Relationship Id="rId80" Type="http://schemas.openxmlformats.org/officeDocument/2006/relationships/hyperlink" Target="https://doi.org/10.1007/s13347-019-00372-9" TargetMode="External"/><Relationship Id="rId155" Type="http://schemas.openxmlformats.org/officeDocument/2006/relationships/hyperlink" Target="https://doi.org/10.1145/3287560.3287566" TargetMode="External"/><Relationship Id="rId17" Type="http://schemas.openxmlformats.org/officeDocument/2006/relationships/hyperlink" Target="https://doi.org/10.15779/Z38BG31" TargetMode="External"/><Relationship Id="rId38" Type="http://schemas.openxmlformats.org/officeDocument/2006/relationships/hyperlink" Target="https://doi.org/10.1145/3531146.3533179" TargetMode="External"/><Relationship Id="rId59" Type="http://schemas.openxmlformats.org/officeDocument/2006/relationships/hyperlink" Target="https://doi.org/10.1145/3458723" TargetMode="External"/><Relationship Id="rId103" Type="http://schemas.openxmlformats.org/officeDocument/2006/relationships/hyperlink" Target="https://christophm.github.io/interpretable-ml-book/" TargetMode="External"/><Relationship Id="rId124" Type="http://schemas.openxmlformats.org/officeDocument/2006/relationships/hyperlink" Target="https://doi.org/10.1145/2939672.29397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21533</Words>
  <Characters>149016</Characters>
  <Application>Microsoft Office Word</Application>
  <DocSecurity>0</DocSecurity>
  <Lines>2257</Lines>
  <Paragraphs>613</Paragraphs>
  <ScaleCrop>false</ScaleCrop>
  <Company/>
  <LinksUpToDate>false</LinksUpToDate>
  <CharactersWithSpaces>169936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Marco Meyer</cp:lastModifiedBy>
  <cp:revision>4</cp:revision>
  <dcterms:created xsi:type="dcterms:W3CDTF">2025-11-24T10:06:00Z</dcterms:created>
  <dcterms:modified xsi:type="dcterms:W3CDTF">2025-11-24T10:12:00Z</dcterms:modified>
</cp:coreProperties>
</file>