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20260001-李明-实验二-文本相似度算法</w:t>
      </w:r>
    </w:p>
    <w:p>
      <w:r>
        <w:t>文本相似度算法分析实验报告由李明（20260001）完成，报告围绕课程设计系统的真实功能进行分析。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系统采用前后端分离结构，前端负责交互展示，后端负责业务校验、文本解析和查重计算。</w:t>
      </w:r>
    </w:p>
    <w:p>
      <w:r>
        <w:t>报告上传后需要先保存原始文件，再提取正文内容，并记录解析状态、字数和句子数量。</w:t>
      </w:r>
    </w:p>
    <w:p>
      <w:r>
        <w:t>查重过程会对同一实验任务下解析成功的报告进行两两比较，计算综合相似度并保存风险等级。</w:t>
      </w:r>
    </w:p>
    <w:p>
      <w:r>
        <w:t>相似句详情能够帮助教师定位重复段落，比只给出一个总分更容易解释查重结论。</w:t>
      </w:r>
    </w:p>
    <w:p>
      <w:r>
        <w:t>当删除课程、班级、任务或报告时，系统应先检查关联数据，并给出明确中文原因提示。</w:t>
      </w:r>
    </w:p>
    <w:p>
      <w:r>
        <w:t>本报告保留了较多公共句子，适合作为高风险重复案例。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