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20260003-赵强-实验二-文本相似度算法</w:t>
      </w:r>
    </w:p>
    <w:p>
      <w:r>
        <w:t>文本相似度算法分析实验报告由赵强（20260003）完成，报告围绕课程设计系统的真实功能进行分析。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系统采用前后端分离结构，前端负责交互展示，后端负责业务校验、文本解析和查重计算。</w:t>
      </w:r>
    </w:p>
    <w:p>
      <w:r>
        <w:t>报告提交之后，系统需要保存文件、抽取文本，并把解析状态、字数与句子数量写入数据库。</w:t>
      </w:r>
    </w:p>
    <w:p>
      <w:r>
        <w:t>相似句详情能够帮助教师定位重复段落，比只给出一个总分更容易解释查重结论。</w:t>
      </w:r>
    </w:p>
    <w:p>
      <w:r>
        <w:t>本报告在公共句基础上进行了部分改写，适合作为中风险案例。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