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ТЕХНИЧЕСКИЙ КЕЙС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Локальная псевдонимизация перед облачным запросом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Репозиторий: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Запуск: </w:t>
      </w:r>
      <w:r>
        <w:rPr>
          <w:rFonts w:ascii="Calibri" w:hAnsi="Calibri"/>
          <w:sz w:val="21"/>
        </w:rPr>
        <w:t>21 июля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Данные: </w:t>
      </w:r>
      <w:r>
        <w:rPr>
          <w:rFonts w:ascii="Calibri" w:hAnsi="Calibri"/>
          <w:sz w:val="21"/>
        </w:rPr>
        <w:t>52 синтетических документа</w:t>
      </w:r>
    </w:p>
    <w:p>
      <w:pPr>
        <w:spacing w:after="40"/>
      </w:pPr>
    </w:p>
    <w:p>
      <w:pPr>
        <w:pStyle w:val="Heading1"/>
      </w:pPr>
      <w:r>
        <w:t>1. Задача и реализация</w:t>
      </w:r>
    </w:p>
    <w:p>
      <w:r>
        <w:t>Личный ассистент может отправлять провайдеру и инструкции, и документ. В обоих полях бывают имена, контакты, адреса, идентификаторы и ключи. PII Airlock проверяет локальную границу: правила и LM Studio предлагают spans исходника, Python проверяет и заменяет их, второй scan смотрит результат, а восстановить можно только токены текущей операции.</w:t>
      </w:r>
    </w:p>
    <w:p>
      <w:pPr>
        <w:pStyle w:val="Heading2"/>
      </w:pPr>
      <w:r>
        <w:t>Что означает статус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Интерфейс использует READY_FOR_REVIEW. Это значит лишь, что реализованные детерминированные проверки не нашли знакомого остатка. Статус не определяет документ как безопасный. Облако выключено, пока явно не заданы API-ключ и модель.</w:t>
      </w:r>
    </w:p>
    <w:p>
      <w:r>
        <w:br w:type="page"/>
      </w:r>
    </w:p>
    <w:p>
      <w:pPr>
        <w:pStyle w:val="Heading1"/>
      </w:pPr>
      <w:r>
        <w:t>2. Путь запроса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Правила связывают выбранные Unicode- и zero-width-обфускации с точными позициями; LM Studio добавляет смысловые кандидаты.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Пользователь может добавить, удалить или сменить тип участка; хеш исходника защищает от правки уже изменённого документа.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В opaque-режиме каждое вхождение получает отдельный маркер: тип сущности и повторы облаку не раскрываются.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API показывает ровно те отделённые как недоверенные поля, которые затем получает клиент провайдера.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Завершить операцию можно только один раз. Фоновая очистка соблюдает TTL, а хранилище ограничено 100 операциями.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Запросы из Web UI требуют HttpOnly cookie и того же origin; stateless-маршрут требует bearer-токен.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Неизвестный, обрезанный, изменённый, придуманный или лишний маркер блокирует восстановление; итог остаётся недоверенным.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347561"/>
            <wp:docPr id="1" name="Picture 1" descr="Web UI после локального dry-run · только синтетические знач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34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после локального dry-run · только синтетические значения</w:t>
      </w:r>
    </w:p>
    <w:p>
      <w:r>
        <w:br w:type="page"/>
      </w:r>
    </w:p>
    <w:p>
      <w:pPr>
        <w:pStyle w:val="Heading1"/>
      </w:pPr>
      <w:r>
        <w:t>3. Опубликованный прогон локальных моделей</w:t>
      </w:r>
    </w:p>
    <w:p>
      <w:r>
        <w:t>Benchmark использовал 26 русских и 26 английских синтетических документов. Шесть были чистыми контрольными, 20 — adversarial. Облачных вызовов не было.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Метрика</w:t>
            </w:r>
          </w:p>
        </w:tc>
        <w:tc>
          <w:tcPr>
            <w:tcW w:type="dxa" w:w="2196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Gemma 4 E4B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Entity recall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0,8472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0,8056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Entity precision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0,8243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0,9062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Ошибки детектора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Проходы runtime gate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Контрольные значения после runtime gate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Проекция review по fixture-разметке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Медиана времени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11,053 с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2,799 с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Максимум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20,86 с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14,254 с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19"/>
        </w:rPr>
        <w:t>Qwen сделал 11 semantic-предложений вне точной подстроки; детерминированные находки сохранились для review, но automatic completion остался заблокирован. У Gemma 9 размеченных значений прошли runtime gate. Fixture-oracle остановил их, потому что знал ответы; у произвольного документа такого oracle нет. Проекция review применяет fixture-разметку и не является измерением работы человека.</w:t>
      </w:r>
    </w:p>
    <w:p>
      <w:r>
        <w:br w:type="page"/>
      </w:r>
    </w:p>
    <w:p>
      <w:pPr>
        <w:pStyle w:val="Heading1"/>
      </w:pPr>
      <w:r>
        <w:t>4. Файлы и проверки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Web UI, CLI и версионированный API, включая ручную проверку участков исходника; по умолчанию работает dry-run.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TXT, Markdown, DOCX и PDF с текстовым слоем; парсеры возвращают манифест полноты и работают в ограниченных процессах.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96 offline-тестов, ruff, compile и чистые установки Python 3.11/3.12 из lock-файлов с хешами.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Скан секретов, аудит уязвимостей, CycloneDX SBOM и workflow аттестации сборки по тегу.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Подписанный receipt фиксирует проверенные участки и сборку, но не хранит исходные значения и маркеры.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Подготовлены слепой набор и заранее заданные пороги; независимой разметки пока нет.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README, архитектура и ограничения на двух языках, JSON по каждому кейсу, скриншот, DOCX и PDF.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Отдельный адаптер Гоши существует локально за выключенным флагом и не обходит gateway при ошибке.</w:t>
      </w:r>
    </w:p>
    <w:p>
      <w:pPr>
        <w:pStyle w:val="Heading1"/>
      </w:pPr>
      <w:r>
        <w:t>5. Решение</w:t>
      </w:r>
    </w:p>
    <w:p>
      <w:r>
        <w:t>Использовать проект как демонстрацию и инструмент просмотра в dry-run. Не считать READY_FOR_REVIEW автоматическим допуском для документов высокого риска. Флаг Гоши остаётся выключенным. Следующее доказательство — независимый ручной review на версионированном синтетическом наборе и уже зафиксированные пороги приёмки.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Синтетическая оценка · 21 июля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Локальная псевдонимизация перед облачным запросом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