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TECHNICAL CASE STUDY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Local pseudonymization before a cloud-model call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Repository: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Run: </w:t>
      </w:r>
      <w:r>
        <w:rPr>
          <w:rFonts w:ascii="Calibri" w:hAnsi="Calibri"/>
          <w:sz w:val="21"/>
        </w:rPr>
        <w:t>20 July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Data: </w:t>
      </w:r>
      <w:r>
        <w:rPr>
          <w:rFonts w:ascii="Calibri" w:hAnsi="Calibri"/>
          <w:sz w:val="21"/>
        </w:rPr>
        <w:t>30 synthetic documents</w:t>
      </w:r>
    </w:p>
    <w:p>
      <w:pPr>
        <w:spacing w:after="40"/>
      </w:pPr>
    </w:p>
    <w:p>
      <w:pPr>
        <w:pStyle w:val="Heading1"/>
      </w:pPr>
      <w:r>
        <w:t>1. Question and implementation</w:t>
      </w:r>
    </w:p>
    <w:p>
      <w:r>
        <w:t>A personal assistant may send both instructions and a document to a provider. Either field can contain names, contacts, addresses, identifiers, or credentials. PII Airlock tests a local boundary: LM Studio proposes exact substrings; Python validates and replaces them; a rules-based scan checks the resulting fields; only current-operation tokens may be restored.</w:t>
      </w:r>
    </w:p>
    <w:p>
      <w:pPr>
        <w:pStyle w:val="Heading2"/>
      </w:pPr>
      <w:r>
        <w:t>What the status means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The interface uses READY_FOR_REVIEW. It means that the implemented deterministic checks found no residual value they recognize. It is not a determination that the document is safe. Cloud use remains off until an API key and model are set.</w:t>
      </w:r>
    </w:p>
    <w:p>
      <w:r>
        <w:br w:type="page"/>
      </w:r>
    </w:p>
    <w:p>
      <w:pPr>
        <w:pStyle w:val="Heading1"/>
      </w:pPr>
      <w:r>
        <w:t>2. Request path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The task and document are analysed together through LM Studio on 127.0.0.1.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Only exact input substrings are accepted. Replacements run longest first and use a 128-bit operation nonce.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The API shows the same outbound instructions and input text later passed to the provider client.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 blocked, failed, completed, expired, or deleted operation loses its in-memory mapping.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Any unknown, truncated, case-changed, or invented __PII_ fragment in the provider answer blocks restoration.</w:t>
      </w:r>
    </w:p>
    <w:p>
      <w:r>
        <w:drawing>
          <wp:inline xmlns:a="http://schemas.openxmlformats.org/drawingml/2006/main" xmlns:pic="http://schemas.openxmlformats.org/drawingml/2006/picture">
            <wp:extent cx="5943600" cy="3807288"/>
            <wp:docPr id="1" name="Picture 1" descr="Web UI after a local dry-run · synthetic values on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after a local dry-run · synthetic values only</w:t>
      </w:r>
    </w:p>
    <w:p>
      <w:r>
        <w:br w:type="page"/>
      </w:r>
    </w:p>
    <w:p>
      <w:pPr>
        <w:pStyle w:val="Heading1"/>
      </w:pPr>
      <w:r>
        <w:t>3. Published local-model run</w:t>
      </w:r>
    </w:p>
    <w:p>
      <w:r>
        <w:t>The benchmark used 15 Russian and 15 English synthetic documents. It made no cloud calls.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Metric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Gemma 4 E4B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Entity recall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0.7037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0.7593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Extra replacement values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Detection failures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Runtime gate passes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Known-control leaks after runtime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Fixture-oracle passes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Median latency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1.948 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1.014 s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Maximum latency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4.152 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15.628 s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20"/>
        </w:rPr>
        <w:t>The runtime gate caught the labelled Qwen controls in this run but missed four Gemma cases. The fixture oracle stopped them because it knew the expected values; that oracle is unavailable for arbitrary documents. Qwen's four failures were non-exact substrings. Neither model produced invalid JSON/schema output in this run.</w:t>
      </w:r>
    </w:p>
    <w:p>
      <w:pPr>
        <w:pStyle w:val="Heading1"/>
      </w:pPr>
      <w:r>
        <w:t>4. Files and checks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Web UI, CLI, and five local API routes; provider calls are optional and dry-run is the default.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TXT, Markdown, DOCX, and text-layer PDF input with upload, expansion, page, and character limits.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52 offline tests plus ruff and compile checks; CI uses stubs and no model or provider credentials.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English and Russian README, architecture, security limits, per-case JSON, screenshot, DOCX, and PDF.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 separate Gosha adapter exists locally behind a disabled feature flag and fails closed on gateway errors.</w:t>
      </w:r>
    </w:p>
    <w:p>
      <w:pPr>
        <w:pStyle w:val="Heading1"/>
      </w:pPr>
      <w:r>
        <w:t>5. Decision</w:t>
      </w:r>
    </w:p>
    <w:p>
      <w:r>
        <w:t>Use the project as a demonstrator and dry-run inspection tool. Do not use READY_FOR_REVIEW as automatic authorization for high-risk documents. The Gosha flag remains off. A next version needs an independently evaluated detector and an explicit policy for the stateless API.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Synthetic evaluation · 20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pseudonymization before a cloud-model call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