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20"/>
        </w:rPr>
        <w:t>TECHNICAL CASE STUDY</w:t>
      </w:r>
    </w:p>
    <w:p>
      <w:pPr>
        <w:spacing w:after="40"/>
      </w:pPr>
      <w:r>
        <w:rPr>
          <w:rFonts w:ascii="Calibri" w:hAnsi="Calibri"/>
          <w:b/>
          <w:color w:val="1F4D78"/>
          <w:sz w:val="56"/>
        </w:rPr>
        <w:t>PII Airlock</w:t>
      </w:r>
    </w:p>
    <w:p>
      <w:pPr>
        <w:spacing w:after="280"/>
      </w:pPr>
      <w:r>
        <w:rPr>
          <w:rFonts w:ascii="Calibri" w:hAnsi="Calibri"/>
          <w:color w:val="5A626C"/>
          <w:sz w:val="28"/>
        </w:rPr>
        <w:t>Local pseudonymization before a cloud-model call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Repository: </w:t>
      </w:r>
      <w:r>
        <w:rPr>
          <w:rFonts w:ascii="Calibri" w:hAnsi="Calibri"/>
          <w:sz w:val="21"/>
        </w:rPr>
        <w:t>github.com/AI-Danil/pii-airlock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Run: </w:t>
      </w:r>
      <w:r>
        <w:rPr>
          <w:rFonts w:ascii="Calibri" w:hAnsi="Calibri"/>
          <w:sz w:val="21"/>
        </w:rPr>
        <w:t>21 July 2026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Data: </w:t>
      </w:r>
      <w:r>
        <w:rPr>
          <w:rFonts w:ascii="Calibri" w:hAnsi="Calibri"/>
          <w:sz w:val="21"/>
        </w:rPr>
        <w:t>52 synthetic documents</w:t>
      </w:r>
    </w:p>
    <w:p>
      <w:pPr>
        <w:spacing w:after="40"/>
      </w:pPr>
    </w:p>
    <w:p>
      <w:pPr>
        <w:pStyle w:val="Heading1"/>
      </w:pPr>
      <w:r>
        <w:t>1. Question and implementation</w:t>
      </w:r>
    </w:p>
    <w:p>
      <w:r>
        <w:t>A personal assistant may send both instructions and a document to a provider. Either field can contain names, contacts, addresses, identifiers, or credentials. PII Airlock tests a local boundary: deterministic rules and LM Studio propose source spans; Python validates and replaces them; a second scan checks the result; only current-operation tokens may be restored.</w:t>
      </w:r>
    </w:p>
    <w:p>
      <w:pPr>
        <w:pStyle w:val="Heading2"/>
      </w:pPr>
      <w:r>
        <w:t>What the status means</w:t>
      </w:r>
    </w:p>
    <w:p>
      <w:pPr>
        <w:spacing w:after="160"/>
        <w:shd w:fill="F2F4F7"/>
      </w:pPr>
      <w:r>
        <w:rPr>
          <w:rFonts w:ascii="Calibri" w:hAnsi="Calibri"/>
          <w:b/>
          <w:color w:val="1F4D78"/>
          <w:sz w:val="21"/>
        </w:rPr>
        <w:t>The interface uses READY_FOR_REVIEW. It means that the implemented deterministic checks found no residual value they recognize. It is not a determination that the document is safe. Cloud use remains off until an API key and model are set.</w:t>
      </w:r>
    </w:p>
    <w:p>
      <w:r>
        <w:br w:type="page"/>
      </w:r>
    </w:p>
    <w:p>
      <w:pPr>
        <w:pStyle w:val="Heading1"/>
      </w:pPr>
      <w:r>
        <w:t>2. Request path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Rules map selected Unicode and zero-width obfuscations back to exact source offsets; LM Studio adds semantic candidates.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The reviewer can add, remove, or retag exact spans. Source hashes prevent edits against a changed document.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The API shows the same delimited, untrusted outbound fields later passed to the provider client.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Completion is claimed at most once. One sweeper removes expired mappings; the pending store is capped at 100.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Browser writes require an HttpOnly session and same origin. The stateless route requires a bearer token.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Unknown, truncated, case-changed, invented, or over-repeated __PII_ fragments block restoration.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5231082"/>
            <wp:docPr id="1" name="Picture 1" descr="Web UI after a local dry-run · synthetic values onl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i-airlock-dry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231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Calibri" w:hAnsi="Calibri"/>
          <w:b w:val="0"/>
          <w:i/>
          <w:color w:val="5A626C"/>
          <w:sz w:val="17"/>
        </w:rPr>
        <w:t>Web UI after a local dry-run · synthetic values only</w:t>
      </w:r>
    </w:p>
    <w:p>
      <w:r>
        <w:br w:type="page"/>
      </w:r>
    </w:p>
    <w:p>
      <w:pPr>
        <w:pStyle w:val="Heading1"/>
      </w:pPr>
      <w:r>
        <w:t>3. Published local-model run</w:t>
      </w:r>
    </w:p>
    <w:p>
      <w:r>
        <w:t>The benchmark used 26 Russian and 26 English synthetic documents. Six were clean controls and 20 were tagged adversarial. It made no cloud calls.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Ind w:w="120" w:type="dxa"/>
      </w:tblPr>
      <w:tblGrid>
        <w:gridCol w:w="4968"/>
        <w:gridCol w:w="2196"/>
        <w:gridCol w:w="2196"/>
      </w:tblGrid>
      <w:tr>
        <w:trPr>
          <w:tblHeader/>
        </w:trPr>
        <w:tc>
          <w:tcPr>
            <w:tcW w:type="dxa" w:w="4968"/>
            <w:vAlign w:val="center"/>
            <w:tcMar>
              <w:top w:w="55" w:type="dxa"/>
              <w:bottom w:w="55" w:type="dxa"/>
              <w:start w:w="100" w:type="dxa"/>
              <w:end w:w="10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Metric</w:t>
            </w:r>
          </w:p>
        </w:tc>
        <w:tc>
          <w:tcPr>
            <w:tcW w:type="dxa" w:w="2196"/>
            <w:vAlign w:val="center"/>
            <w:tcMar>
              <w:top w:w="55" w:type="dxa"/>
              <w:bottom w:w="55" w:type="dxa"/>
              <w:start w:w="100" w:type="dxa"/>
              <w:end w:w="10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Qwen 3.5 9B</w:t>
            </w:r>
          </w:p>
        </w:tc>
        <w:tc>
          <w:tcPr>
            <w:tcW w:type="dxa" w:w="2196"/>
            <w:vAlign w:val="center"/>
            <w:tcMar>
              <w:top w:w="55" w:type="dxa"/>
              <w:bottom w:w="55" w:type="dxa"/>
              <w:start w:w="100" w:type="dxa"/>
              <w:end w:w="10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Gemma 4 E4B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Entity recall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0.8472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0.8056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Entity precision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0.8243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0.9062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Detection failures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Runtime gate passes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32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42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Known-control leaks after runtime gate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Fixture-assisted review projection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42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42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Median latency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11.053 s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2.799 s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Maximum latency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20.86 s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14.254 s</w:t>
            </w:r>
          </w:p>
        </w:tc>
      </w:tr>
    </w:tbl>
    <w:p>
      <w:pPr>
        <w:spacing w:before="120"/>
      </w:pPr>
      <w:r>
        <w:rPr>
          <w:rFonts w:ascii="Calibri" w:hAnsi="Calibri"/>
          <w:b w:val="0"/>
          <w:i/>
          <w:color w:val="5A626C"/>
          <w:sz w:val="19"/>
        </w:rPr>
        <w:t>Qwen produced 11 non-exact semantic proposals; deterministic findings remained available for review, but automatic completion stayed blocked. Gemma allowed 9 labelled values past the runtime gate. The fixture oracle stopped them because it knew the answers; arbitrary documents have no such oracle. The review projection applies fixture labels and is not a measured human-review result.</w:t>
      </w:r>
    </w:p>
    <w:p>
      <w:pPr>
        <w:pStyle w:val="Heading1"/>
      </w:pPr>
      <w:r>
        <w:t>4. Files and checks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Web UI, CLI, and versioned API routes, including source-bound manual span review; dry-run is the default.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TXT, Markdown, DOCX, and text-layer PDF input; DOCX/PDF parsing runs in bounded child processes.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88 offline tests plus ruff, compile, and clean Python 3.11/3.12 installs.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Exact dependency locks, secret scan, dependency audit, CycloneDX SBOM, and tagged-build attestation workflow.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English and Russian README, architecture, security limits, per-case JSON, screenshot, DOCX, and PDF.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A separate Gosha adapter exists locally behind a disabled feature flag and fails closed on gateway errors.</w:t>
      </w:r>
    </w:p>
    <w:p>
      <w:pPr>
        <w:pStyle w:val="Heading1"/>
      </w:pPr>
      <w:r>
        <w:t>5. Decision</w:t>
      </w:r>
    </w:p>
    <w:p>
      <w:r>
        <w:t>Use the project as a demonstrator and dry-run inspection tool. Do not use READY_FOR_REVIEW as automatic authorization for high-risk documents. The Gosha flag remains off. The next evidence should come from independent human review on a versioned synthetic set and explicit acceptance thresholds.</w:t>
      </w:r>
    </w:p>
    <w:sectPr>
      <w:headerReference w:type="default" r:id="rId9"/>
      <w:footerReference w:type="default" r:id="rId10"/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Synthetic evaluation · 21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A626C"/>
        <w:sz w:val="18"/>
      </w:rPr>
      <w:t>PII AIRLOCK  · 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pseudonymization before a cloud-model call</dc:title>
  <dc:subject>PII Airlock technical case study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