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TECHNICAL CASE STUDY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A local privacy gateway for cloud AI requests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5A626C"/>
                <w:sz w:val="19"/>
              </w:rPr>
              <w:t>Author</w:t>
            </w:r>
          </w:p>
        </w:tc>
        <w:tc>
          <w:tcPr>
            <w:tcW w:type="dxa" w:w="74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21"/>
              </w:rPr>
              <w:t>AI-Danil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5A626C"/>
                <w:sz w:val="19"/>
              </w:rPr>
              <w:t>Date</w:t>
            </w:r>
          </w:p>
        </w:tc>
        <w:tc>
          <w:tcPr>
            <w:tcW w:type="dxa" w:w="74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21"/>
              </w:rPr>
              <w:t>20 July 2026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5A626C"/>
                <w:sz w:val="19"/>
              </w:rPr>
              <w:t>Status</w:t>
            </w:r>
          </w:p>
        </w:tc>
        <w:tc>
          <w:tcPr>
            <w:tcW w:type="dxa" w:w="74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21"/>
              </w:rPr>
              <w:t>Reproducible public demonstrator</w:t>
            </w:r>
          </w:p>
        </w:tc>
      </w:tr>
    </w:tbl>
    <w:p/>
    <w:p>
      <w:pPr>
        <w:pStyle w:val="Heading1"/>
      </w:pPr>
      <w:r>
        <w:t>Outcome first</w:t>
      </w:r>
    </w:p>
    <w:p>
      <w:pPr>
        <w:pBdr>
          <w:bottom w:val="single" w:sz="10" w:color="2E74B5"/>
        </w:pBdr>
      </w:pPr>
      <w:r>
        <w:rPr>
          <w:rFonts w:ascii="Calibri" w:hAnsi="Calibri"/>
          <w:b/>
          <w:color w:val="1F4D78"/>
          <w:sz w:val="22"/>
        </w:rPr>
        <w:t>A working two-contour gateway now turns a document and task into a pseudonymized cloud payload, blocks unsafe cases, and restores only exact operation-scoped tokens. Cloud use is optional; the default is an inspectable dry-run. The project does not claim perfect anonymization.</w:t>
      </w:r>
    </w:p>
    <w:p>
      <w:pPr>
        <w:pStyle w:val="Heading1"/>
      </w:pPr>
      <w:r>
        <w:t>1. Problem and design decision</w:t>
      </w:r>
    </w:p>
    <w:p>
      <w:r>
        <w:t>A personal AI assistant can benefit from a cloud model while its local context contains names, contacts, addresses, IDs, and credentials. A local LLM alone is not a security boundary: it can miss an entity, invent a substring, return invalid JSON, or follow an instruction embedded in the document. The design therefore combines a semantic detector with deterministic checks.</w:t>
      </w:r>
    </w:p>
    <w:p>
      <w:r>
        <w:br w:type="page"/>
      </w:r>
    </w:p>
    <w:p>
      <w:pPr>
        <w:pStyle w:val="Heading1"/>
      </w:pPr>
      <w:r>
        <w:t>2. Two-contour flow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LM Studio receives the task and document only through 127.0.0.1 and returns schema-constrained entity candidates.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Code accepts exact source substrings, resolves overlap longest-first, and emits __PII_&lt;nonce&gt;_&lt;TYPE&gt;_&lt;N&gt;__ tokens.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 residual gate checks the exact outgoing fields. Any model/schema error or known residual secret stops the request.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OpenAI is optional. Without a key the exact payload is shown; with a key the Responses API is called with store: false.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The cloud response is untrusted. Unknown, altered, or forged tokens block restoration; the in-memory map is destroyed.</w:t>
      </w:r>
    </w:p>
    <w:p>
      <w:r>
        <w:drawing>
          <wp:inline xmlns:a="http://schemas.openxmlformats.org/drawingml/2006/main" xmlns:pic="http://schemas.openxmlformats.org/drawingml/2006/picture">
            <wp:extent cx="5943600" cy="4086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Real local Qwen dry-run · synthetic values only</w:t>
      </w:r>
    </w:p>
    <w:p>
      <w:r>
        <w:br w:type="page"/>
      </w:r>
    </w:p>
    <w:p>
      <w:pPr>
        <w:pStyle w:val="Heading1"/>
      </w:pPr>
      <w:r>
        <w:t>3. Evidence, not promises</w:t>
      </w:r>
    </w:p>
    <w:p>
      <w:r>
        <w:t>All figures below come from the new reproducible run on 30 synthetic documents (15 Russian, 15 English).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968"/>
        <w:gridCol w:w="2196"/>
        <w:gridCol w:w="2196"/>
      </w:tblGrid>
      <w:tr>
        <w:tc>
          <w:tcPr>
            <w:tcW w:type="dxa" w:w="4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Metric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Gemma 4 E4B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Approved payloads / 30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Control leaks in approved payloads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Entity-level recall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0.6667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0.7593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Extra replacement values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Schema / exact-substring failures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Dataset release blocks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Round-trip fidelity cases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Median / maximum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2.556 / 6.182 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1.567 / 4.116 s</w:t>
            </w:r>
          </w:p>
        </w:tc>
      </w:tr>
    </w:tbl>
    <w:p>
      <w:r>
        <w:rPr>
          <w:rFonts w:ascii="Calibri" w:hAnsi="Calibri"/>
          <w:b w:val="0"/>
          <w:i/>
          <w:color w:val="5A626C"/>
          <w:sz w:val="20"/>
        </w:rPr>
        <w:t>Interpretation: both models remain experimental. The dataset-only oracle withheld any payload still containing a known control value. Zero approved-payload leaks is bounded evidence for these fixtures—not proof for unseen documents.</w:t>
      </w:r>
    </w:p>
    <w:p>
      <w:pPr>
        <w:pStyle w:val="Heading1"/>
      </w:pPr>
      <w:r>
        <w:t>4. Delivered artifacts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Python 3.11 Web UI, CLI, and local API with a 10-minute in-memory mapping TTL.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TXT, Markdown, DOCX, and text-layer PDF parsing; OCR/images/archives and &gt;20,000 characters blocked in V1.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25 offline tests with stubs: span validation, overlap, tokens, TTL, formats, timeout, prompt-injection framing, logs, and round trip.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Full English/Russian README, threat model, SECURITY.md, synthetic fixtures, per-case JSON, screenshot, and GitHub Actions.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 local, disabled Gosha adapter with fail-closed behavior; 27/27 current Gosha tests passed and no service was restarted.</w:t>
      </w:r>
    </w:p>
    <w:p>
      <w:pPr>
        <w:pStyle w:val="Heading1"/>
      </w:pPr>
      <w:r>
        <w:t>5. Risks and next experiment</w:t>
      </w:r>
    </w:p>
    <w:p>
      <w:r>
        <w:t>Semantic PII can still be missed; rules are not universal DLP. Process memory, LM Studio internals, OS swap, and provider policy are outside the guarantee. High-risk use requires dry-run review. The next useful experiment is a larger adversarial fixture set plus improved semantic detection without weakening exact-substring validation.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AI-Danil  ·  2026  ·  Synthetic evidence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