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ТЕХНИЧЕСКИЙ КЕЙС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Локальный privacy-gateway для облачных ИИ-запросов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Автор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AI-Danil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Дата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20 июля 2026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5A626C"/>
                <w:sz w:val="19"/>
              </w:rPr>
              <w:t>Статус</w:t>
            </w:r>
          </w:p>
        </w:tc>
        <w:tc>
          <w:tcPr>
            <w:tcW w:type="dxa" w:w="74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21"/>
              </w:rPr>
              <w:t>Воспроизводимый публичный демонстратор</w:t>
            </w:r>
          </w:p>
        </w:tc>
      </w:tr>
    </w:tbl>
    <w:p/>
    <w:p>
      <w:pPr>
        <w:pStyle w:val="Heading1"/>
      </w:pPr>
      <w:r>
        <w:t>Результат</w:t>
      </w:r>
    </w:p>
    <w:p>
      <w:pPr>
        <w:pBdr>
          <w:bottom w:val="single" w:sz="10" w:color="2E74B5"/>
        </w:pBdr>
      </w:pPr>
      <w:r>
        <w:rPr>
          <w:rFonts w:ascii="Calibri" w:hAnsi="Calibri"/>
          <w:b/>
          <w:color w:val="1F4D78"/>
          <w:sz w:val="22"/>
        </w:rPr>
        <w:t>Работающий двухконтурный gateway превращает документ и задачу в псевдонимизированный cloud payload, блокирует небезопасные кейсы и восстанавливает только точные токены текущей операции. Облако опционально; по умолчанию включён видимый dry-run. Проект не обещает абсолютную анонимность.</w:t>
      </w:r>
    </w:p>
    <w:p>
      <w:pPr>
        <w:pStyle w:val="Heading1"/>
      </w:pPr>
      <w:r>
        <w:t>1. Проблема и архитектурное решение</w:t>
      </w:r>
    </w:p>
    <w:p>
      <w:r>
        <w:t>Личному ИИ-ассистенту полезна облачная модель, но локальный контекст содержит имена, контакты, адреса, ID и ключи. Одна локальная LLM не является границей безопасности: она может пропустить сущность, выдумать подстроку, вернуть битый JSON или подчиниться инструкции внутри документа. Поэтому semantic detector дополнен детерминированными проверками.</w:t>
      </w:r>
    </w:p>
    <w:p>
      <w:r>
        <w:br w:type="page"/>
      </w:r>
    </w:p>
    <w:p>
      <w:pPr>
        <w:pStyle w:val="Heading1"/>
      </w:pPr>
      <w:r>
        <w:t>2. Двухконтурный поток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LM Studio получает задачу и документ только через 127.0.0.1 и возвращает сущности по JSON schema.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Код принимает только точные подстроки, решает пересечения longest-first и создаёт __PII_&lt;nonce&gt;_&lt;TYPE&gt;_&lt;N&gt;__.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Residual gate проверяет фактические исходящие поля. Ошибка модели/schema или известный остаточный секрет останавливает запрос.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OpenAI опционален. Без ключа показывается точный payload; с ключом вызывается Responses API с store: false.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Ответ облака недоверенный: неизвестный, изменённый или поддельный токен блокирует восстановление; mapping уничтожается.</w:t>
      </w:r>
    </w:p>
    <w:p>
      <w:r>
        <w:drawing>
          <wp:inline xmlns:a="http://schemas.openxmlformats.org/drawingml/2006/main" xmlns:pic="http://schemas.openxmlformats.org/drawingml/2006/picture">
            <wp:extent cx="5943600" cy="4086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Real local Qwen dry-run · synthetic values only</w:t>
      </w:r>
    </w:p>
    <w:p>
      <w:r>
        <w:br w:type="page"/>
      </w:r>
    </w:p>
    <w:p>
      <w:pPr>
        <w:pStyle w:val="Heading1"/>
      </w:pPr>
      <w:r>
        <w:t>3. Доказательства вместо обещаний</w:t>
      </w:r>
    </w:p>
    <w:p>
      <w:r>
        <w:t>Все цифры ниже получены в новом воспроизводимом запуске на 30 синтетических документах: 15 RU + 15 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68"/>
        <w:gridCol w:w="2196"/>
        <w:gridCol w:w="2196"/>
      </w:tblGrid>
      <w:t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Метрика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Разрешённые payload / 30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Контрольные утечки в разрешённых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Entity-level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0.6667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0.7593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Лишние значения для замены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Schema / exact-substring ошибки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Блокировки dataset release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Round-trip fidelity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Медиана / максимум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2.556 / 6.182 с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sz w:val="18"/>
              </w:rPr>
              <w:t>1.567 / 4.116 с</w:t>
            </w:r>
          </w:p>
        </w:tc>
      </w:tr>
    </w:tbl>
    <w:p>
      <w:r>
        <w:rPr>
          <w:rFonts w:ascii="Calibri" w:hAnsi="Calibri"/>
          <w:b w:val="0"/>
          <w:i/>
          <w:color w:val="5A626C"/>
          <w:sz w:val="20"/>
        </w:rPr>
        <w:t>Интерпретация: обе модели экспериментальные. Dataset-only oracle не разрешал payload с известным контрольным значением. Ноль утечек среди разрешённых payload — доказательство только для этих fixtures, а не гарантия для неизвестных документов.</w:t>
      </w:r>
    </w:p>
    <w:p>
      <w:pPr>
        <w:pStyle w:val="Heading1"/>
      </w:pPr>
      <w:r>
        <w:t>4. Созданные артефакты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Python 3.11 Web UI, CLI и локальный API; mapping в памяти с TTL 10 минут.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 и PDF с текстовым слоем; OCR/изображения/архивы и &gt;20 000 символов блокируются в V1.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25 offline-тестов со stub: spans, overlap, tokens, TTL, форматы, timeout, prompt injection framing, логи и round trip.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Полные README RU/EN, threat model, SECURITY.md, fixtures, per-case JSON, screenshot и GitHub Actions.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Локальный выключенный адаптер Гоши с fail-closed; текущие тесты Гоши 27/27, сервис не перезапускался.</w:t>
      </w:r>
    </w:p>
    <w:p>
      <w:pPr>
        <w:pStyle w:val="Heading1"/>
      </w:pPr>
      <w:r>
        <w:t>5. Риски и следующий эксперимент</w:t>
      </w:r>
    </w:p>
    <w:p>
      <w:r>
        <w:t>Semantic PII всё ещё может быть пропущен; правила не являются универсальным DLP. Память процесса, внутренности LM Studio, OS swap и политика провайдера вне гарантии. Для рискованных документов нужен dry-run. Следующий эксперимент — расширить adversarial fixtures и улучшить semantic detection без ослабления exact-substring validation.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AI-Danil  ·  2026  ·  Synthetic evidence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